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62FC" w14:textId="77777777" w:rsidR="00B843DF" w:rsidRPr="002320E1" w:rsidRDefault="00B843DF" w:rsidP="002320E1">
      <w:pPr>
        <w:jc w:val="center"/>
        <w:rPr>
          <w:sz w:val="22"/>
          <w:szCs w:val="22"/>
          <w:lang w:val="sk-SK"/>
        </w:rPr>
      </w:pPr>
      <w:bookmarkStart w:id="0" w:name="_GoBack"/>
      <w:bookmarkEnd w:id="0"/>
    </w:p>
    <w:p w14:paraId="417E3B95" w14:textId="77777777" w:rsidR="00966F36" w:rsidRPr="00652B9D" w:rsidRDefault="00C4785F" w:rsidP="005F241E">
      <w:pPr>
        <w:jc w:val="center"/>
        <w:rPr>
          <w:b/>
          <w:bCs/>
          <w:iCs/>
          <w:sz w:val="22"/>
          <w:szCs w:val="22"/>
          <w:lang w:val="sk-SK" w:bidi="si-LK"/>
        </w:rPr>
      </w:pPr>
      <w:r w:rsidRPr="00652B9D">
        <w:rPr>
          <w:b/>
          <w:bCs/>
          <w:iCs/>
          <w:sz w:val="22"/>
          <w:szCs w:val="22"/>
          <w:lang w:val="sk-SK" w:bidi="si-LK"/>
        </w:rPr>
        <w:t>SÚHRN CHARAKTERISTICKÝCH VLASTNOSTÍ LIEKU</w:t>
      </w:r>
    </w:p>
    <w:p w14:paraId="22C09B66" w14:textId="77777777" w:rsidR="00966F36" w:rsidRPr="00652B9D" w:rsidRDefault="00966F36" w:rsidP="005F241E">
      <w:pPr>
        <w:jc w:val="both"/>
        <w:rPr>
          <w:sz w:val="22"/>
          <w:szCs w:val="22"/>
          <w:lang w:val="sk-SK"/>
        </w:rPr>
      </w:pPr>
    </w:p>
    <w:p w14:paraId="52164A7B" w14:textId="77777777" w:rsidR="00966F36" w:rsidRPr="00652B9D" w:rsidRDefault="00966F36" w:rsidP="005F241E">
      <w:pPr>
        <w:jc w:val="both"/>
        <w:rPr>
          <w:sz w:val="22"/>
          <w:szCs w:val="22"/>
          <w:lang w:val="sk-SK"/>
        </w:rPr>
      </w:pPr>
    </w:p>
    <w:p w14:paraId="3C3433E4" w14:textId="77777777" w:rsidR="00B843DF" w:rsidRPr="00652B9D" w:rsidRDefault="00966F36" w:rsidP="005F241E">
      <w:pPr>
        <w:rPr>
          <w:b/>
          <w:caps/>
          <w:sz w:val="22"/>
          <w:szCs w:val="22"/>
          <w:lang w:val="sk-SK"/>
        </w:rPr>
      </w:pPr>
      <w:r w:rsidRPr="00652B9D">
        <w:rPr>
          <w:b/>
          <w:caps/>
          <w:sz w:val="22"/>
          <w:szCs w:val="22"/>
          <w:lang w:val="sk-SK"/>
        </w:rPr>
        <w:t>1.</w:t>
      </w:r>
      <w:r w:rsidR="00A97DD5" w:rsidRPr="00652B9D">
        <w:rPr>
          <w:b/>
          <w:caps/>
          <w:sz w:val="22"/>
          <w:szCs w:val="22"/>
          <w:lang w:val="sk-SK"/>
        </w:rPr>
        <w:tab/>
      </w:r>
      <w:r w:rsidR="00F11017" w:rsidRPr="00652B9D">
        <w:rPr>
          <w:b/>
          <w:caps/>
          <w:sz w:val="22"/>
          <w:szCs w:val="22"/>
          <w:lang w:val="sk-SK"/>
        </w:rPr>
        <w:t>Názov lieku</w:t>
      </w:r>
    </w:p>
    <w:p w14:paraId="39B77830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4E8A926B" w14:textId="77777777" w:rsidR="003B220F" w:rsidRDefault="00D63E7A" w:rsidP="005F241E">
      <w:pPr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t>Malarone</w:t>
      </w:r>
      <w:proofErr w:type="spellEnd"/>
    </w:p>
    <w:p w14:paraId="351FE990" w14:textId="77777777" w:rsidR="00B843DF" w:rsidRPr="00652B9D" w:rsidRDefault="00BF7E6A" w:rsidP="005F241E">
      <w:pPr>
        <w:rPr>
          <w:rFonts w:cs="Arial"/>
          <w:sz w:val="22"/>
          <w:szCs w:val="22"/>
          <w:lang w:val="sk-SK"/>
        </w:rPr>
      </w:pPr>
      <w:r w:rsidRPr="003B220F">
        <w:rPr>
          <w:sz w:val="22"/>
          <w:szCs w:val="22"/>
          <w:lang w:val="sk-SK"/>
        </w:rPr>
        <w:t>250 mg/100 mg</w:t>
      </w:r>
      <w:r w:rsidR="00883102" w:rsidRPr="003B220F">
        <w:rPr>
          <w:sz w:val="22"/>
          <w:szCs w:val="22"/>
          <w:lang w:val="sk-SK"/>
        </w:rPr>
        <w:t xml:space="preserve"> f</w:t>
      </w:r>
      <w:r w:rsidR="00A440CE" w:rsidRPr="003B220F">
        <w:rPr>
          <w:rFonts w:cs="Arial"/>
          <w:sz w:val="22"/>
          <w:szCs w:val="22"/>
          <w:lang w:val="sk-SK"/>
        </w:rPr>
        <w:t>ilmom obalené tablety</w:t>
      </w:r>
    </w:p>
    <w:p w14:paraId="24501939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2FE4665E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6837E2A3" w14:textId="77777777" w:rsidR="00B843DF" w:rsidRPr="00652B9D" w:rsidRDefault="00966F36" w:rsidP="005F241E">
      <w:pPr>
        <w:rPr>
          <w:b/>
          <w:caps/>
          <w:sz w:val="22"/>
          <w:szCs w:val="22"/>
          <w:lang w:val="sk-SK"/>
        </w:rPr>
      </w:pPr>
      <w:r w:rsidRPr="00652B9D">
        <w:rPr>
          <w:b/>
          <w:caps/>
          <w:sz w:val="22"/>
          <w:szCs w:val="22"/>
          <w:lang w:val="sk-SK"/>
        </w:rPr>
        <w:t>2.</w:t>
      </w:r>
      <w:r w:rsidR="00A97DD5" w:rsidRPr="00652B9D">
        <w:rPr>
          <w:b/>
          <w:caps/>
          <w:sz w:val="22"/>
          <w:szCs w:val="22"/>
          <w:lang w:val="sk-SK"/>
        </w:rPr>
        <w:tab/>
      </w:r>
      <w:r w:rsidR="00F11017" w:rsidRPr="00652B9D">
        <w:rPr>
          <w:b/>
          <w:caps/>
          <w:sz w:val="22"/>
          <w:szCs w:val="22"/>
          <w:lang w:val="sk-SK"/>
        </w:rPr>
        <w:t>Kvalitatívne a kvantitatívne zloženie</w:t>
      </w:r>
    </w:p>
    <w:p w14:paraId="42FE73C9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36ACC76D" w14:textId="2CB10EC4" w:rsidR="00B843DF" w:rsidRPr="00652B9D" w:rsidRDefault="008A4D52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Každá tableta </w:t>
      </w:r>
      <w:proofErr w:type="spellStart"/>
      <w:r w:rsidR="00B843DF" w:rsidRPr="00652B9D">
        <w:rPr>
          <w:sz w:val="22"/>
          <w:szCs w:val="22"/>
          <w:lang w:val="sk-SK"/>
        </w:rPr>
        <w:t>Malarone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obsahuje</w:t>
      </w:r>
      <w:r w:rsidR="00BF7E6A"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sz w:val="22"/>
          <w:szCs w:val="22"/>
          <w:lang w:val="sk-SK"/>
        </w:rPr>
        <w:t>250</w:t>
      </w:r>
      <w:r w:rsidR="00C9419F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 xml:space="preserve">mg </w:t>
      </w:r>
      <w:proofErr w:type="spellStart"/>
      <w:r w:rsidR="00206CA2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206CA2" w:rsidRPr="00652B9D">
        <w:rPr>
          <w:sz w:val="22"/>
          <w:szCs w:val="22"/>
          <w:lang w:val="sk-SK"/>
        </w:rPr>
        <w:t>ónu</w:t>
      </w:r>
      <w:proofErr w:type="spellEnd"/>
      <w:r w:rsidR="00206CA2" w:rsidRPr="00652B9D">
        <w:rPr>
          <w:sz w:val="22"/>
          <w:szCs w:val="22"/>
          <w:lang w:val="sk-SK"/>
        </w:rPr>
        <w:t xml:space="preserve"> a</w:t>
      </w:r>
      <w:r w:rsidR="00C9419F">
        <w:rPr>
          <w:sz w:val="22"/>
          <w:szCs w:val="22"/>
          <w:lang w:val="sk-SK"/>
        </w:rPr>
        <w:t> </w:t>
      </w:r>
      <w:r w:rsidR="00206CA2" w:rsidRPr="00652B9D">
        <w:rPr>
          <w:sz w:val="22"/>
          <w:szCs w:val="22"/>
          <w:lang w:val="sk-SK"/>
        </w:rPr>
        <w:t>100</w:t>
      </w:r>
      <w:r w:rsidR="00C9419F">
        <w:rPr>
          <w:sz w:val="22"/>
          <w:szCs w:val="22"/>
          <w:lang w:val="sk-SK"/>
        </w:rPr>
        <w:t> </w:t>
      </w:r>
      <w:r w:rsidR="00206CA2" w:rsidRPr="00652B9D">
        <w:rPr>
          <w:sz w:val="22"/>
          <w:szCs w:val="22"/>
          <w:lang w:val="sk-SK"/>
        </w:rPr>
        <w:t xml:space="preserve">mg </w:t>
      </w:r>
      <w:proofErr w:type="spellStart"/>
      <w:r w:rsidR="00206CA2"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="00206CA2" w:rsidRPr="00652B9D">
        <w:rPr>
          <w:sz w:val="22"/>
          <w:szCs w:val="22"/>
          <w:lang w:val="sk-SK"/>
        </w:rPr>
        <w:t>an</w:t>
      </w:r>
      <w:r w:rsidR="00374D6A">
        <w:rPr>
          <w:sz w:val="22"/>
          <w:szCs w:val="22"/>
          <w:lang w:val="sk-SK"/>
        </w:rPr>
        <w:t>í</w:t>
      </w:r>
      <w:r w:rsidR="00206CA2" w:rsidRPr="00652B9D">
        <w:rPr>
          <w:sz w:val="22"/>
          <w:szCs w:val="22"/>
          <w:lang w:val="sk-SK"/>
        </w:rPr>
        <w:t>lium</w:t>
      </w:r>
      <w:proofErr w:type="spellEnd"/>
      <w:r w:rsidR="00374D6A">
        <w:rPr>
          <w:sz w:val="22"/>
          <w:szCs w:val="22"/>
          <w:lang w:val="sk-SK"/>
        </w:rPr>
        <w:t>-</w:t>
      </w:r>
      <w:r w:rsidR="00206CA2" w:rsidRPr="00652B9D">
        <w:rPr>
          <w:sz w:val="22"/>
          <w:szCs w:val="22"/>
          <w:lang w:val="sk-SK"/>
        </w:rPr>
        <w:t>chloridu</w:t>
      </w:r>
      <w:r w:rsidR="00BF7E6A" w:rsidRPr="00652B9D">
        <w:rPr>
          <w:sz w:val="22"/>
          <w:szCs w:val="22"/>
          <w:lang w:val="sk-SK"/>
        </w:rPr>
        <w:t>.</w:t>
      </w:r>
    </w:p>
    <w:p w14:paraId="1D6B7F89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40086391" w14:textId="77777777" w:rsidR="00B843DF" w:rsidRPr="00652B9D" w:rsidRDefault="000D53AD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Úplný zoznam p</w:t>
      </w:r>
      <w:r w:rsidR="008A4D52" w:rsidRPr="00652B9D">
        <w:rPr>
          <w:sz w:val="22"/>
          <w:szCs w:val="22"/>
          <w:lang w:val="sk-SK"/>
        </w:rPr>
        <w:t>omocn</w:t>
      </w:r>
      <w:r w:rsidRPr="00652B9D">
        <w:rPr>
          <w:sz w:val="22"/>
          <w:szCs w:val="22"/>
          <w:lang w:val="sk-SK"/>
        </w:rPr>
        <w:t>ých</w:t>
      </w:r>
      <w:r w:rsidR="008A4D52" w:rsidRPr="00652B9D">
        <w:rPr>
          <w:sz w:val="22"/>
          <w:szCs w:val="22"/>
          <w:lang w:val="sk-SK"/>
        </w:rPr>
        <w:t xml:space="preserve"> lát</w:t>
      </w:r>
      <w:r w:rsidRPr="00652B9D">
        <w:rPr>
          <w:sz w:val="22"/>
          <w:szCs w:val="22"/>
          <w:lang w:val="sk-SK"/>
        </w:rPr>
        <w:t>o</w:t>
      </w:r>
      <w:r w:rsidR="008A4D52" w:rsidRPr="00652B9D">
        <w:rPr>
          <w:sz w:val="22"/>
          <w:szCs w:val="22"/>
          <w:lang w:val="sk-SK"/>
        </w:rPr>
        <w:t>k, pozri časť</w:t>
      </w:r>
      <w:r w:rsidR="009D35DE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6.1</w:t>
      </w:r>
      <w:r w:rsidR="00095F5E" w:rsidRPr="00652B9D">
        <w:rPr>
          <w:sz w:val="22"/>
          <w:szCs w:val="22"/>
          <w:lang w:val="sk-SK"/>
        </w:rPr>
        <w:t>.</w:t>
      </w:r>
    </w:p>
    <w:p w14:paraId="1CE07F61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6B836D93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2C0F893B" w14:textId="77777777" w:rsidR="00B843DF" w:rsidRPr="00652B9D" w:rsidRDefault="00B843DF" w:rsidP="005F241E">
      <w:pPr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3.</w:t>
      </w:r>
      <w:r w:rsidR="00A97DD5" w:rsidRPr="00652B9D">
        <w:rPr>
          <w:b/>
          <w:sz w:val="22"/>
          <w:szCs w:val="22"/>
          <w:lang w:val="sk-SK"/>
        </w:rPr>
        <w:tab/>
      </w:r>
      <w:r w:rsidR="00F11017" w:rsidRPr="00652B9D">
        <w:rPr>
          <w:b/>
          <w:caps/>
          <w:sz w:val="22"/>
          <w:szCs w:val="22"/>
          <w:lang w:val="sk-SK"/>
        </w:rPr>
        <w:t>Lieková forma</w:t>
      </w:r>
    </w:p>
    <w:p w14:paraId="6B105467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6C82E78E" w14:textId="77777777" w:rsidR="00B843DF" w:rsidRPr="00652B9D" w:rsidRDefault="00B843DF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Film</w:t>
      </w:r>
      <w:r w:rsidR="008A4D52" w:rsidRPr="00652B9D">
        <w:rPr>
          <w:sz w:val="22"/>
          <w:szCs w:val="22"/>
          <w:lang w:val="sk-SK"/>
        </w:rPr>
        <w:t>om obalen</w:t>
      </w:r>
      <w:r w:rsidR="00BF7E6A" w:rsidRPr="00652B9D">
        <w:rPr>
          <w:sz w:val="22"/>
          <w:szCs w:val="22"/>
          <w:lang w:val="sk-SK"/>
        </w:rPr>
        <w:t>á</w:t>
      </w:r>
      <w:r w:rsidR="008A4D52" w:rsidRPr="00652B9D">
        <w:rPr>
          <w:sz w:val="22"/>
          <w:szCs w:val="22"/>
          <w:lang w:val="sk-SK"/>
        </w:rPr>
        <w:t xml:space="preserve"> tablet</w:t>
      </w:r>
      <w:r w:rsidR="00BF7E6A" w:rsidRPr="00652B9D">
        <w:rPr>
          <w:sz w:val="22"/>
          <w:szCs w:val="22"/>
          <w:lang w:val="sk-SK"/>
        </w:rPr>
        <w:t>a</w:t>
      </w:r>
      <w:r w:rsidRPr="00652B9D">
        <w:rPr>
          <w:sz w:val="22"/>
          <w:szCs w:val="22"/>
          <w:lang w:val="sk-SK"/>
        </w:rPr>
        <w:t>.</w:t>
      </w:r>
    </w:p>
    <w:p w14:paraId="74FA2167" w14:textId="77777777" w:rsidR="00A97DD5" w:rsidRPr="00652B9D" w:rsidRDefault="00A97DD5" w:rsidP="005F241E">
      <w:pPr>
        <w:rPr>
          <w:sz w:val="22"/>
          <w:szCs w:val="22"/>
          <w:lang w:val="sk-SK"/>
        </w:rPr>
      </w:pPr>
    </w:p>
    <w:p w14:paraId="3AE05F22" w14:textId="77777777" w:rsidR="00B843DF" w:rsidRPr="00652B9D" w:rsidRDefault="008A4D52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Okrúhle, bikonvexné, ružové tablety</w:t>
      </w:r>
      <w:r w:rsidR="003109DE">
        <w:rPr>
          <w:sz w:val="22"/>
          <w:szCs w:val="22"/>
          <w:lang w:val="sk-SK"/>
        </w:rPr>
        <w:t xml:space="preserve"> označené „GX CM3“ na jednej strane</w:t>
      </w:r>
      <w:r w:rsidR="00907392">
        <w:rPr>
          <w:sz w:val="22"/>
          <w:szCs w:val="22"/>
          <w:lang w:val="sk-SK"/>
        </w:rPr>
        <w:t>.</w:t>
      </w:r>
    </w:p>
    <w:p w14:paraId="4CAE78C9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5C5CA443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69169819" w14:textId="77777777" w:rsidR="00B843DF" w:rsidRPr="00652B9D" w:rsidRDefault="00B2789D" w:rsidP="005F241E">
      <w:pPr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4.</w:t>
      </w:r>
      <w:r w:rsidR="00A97DD5" w:rsidRPr="00652B9D">
        <w:rPr>
          <w:b/>
          <w:sz w:val="22"/>
          <w:szCs w:val="22"/>
          <w:lang w:val="sk-SK"/>
        </w:rPr>
        <w:tab/>
      </w:r>
      <w:r w:rsidRPr="00652B9D">
        <w:rPr>
          <w:b/>
          <w:caps/>
          <w:sz w:val="22"/>
          <w:szCs w:val="22"/>
          <w:lang w:val="sk-SK"/>
        </w:rPr>
        <w:t>Klinické údaje</w:t>
      </w:r>
    </w:p>
    <w:p w14:paraId="22D5D74B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00B1146B" w14:textId="77777777" w:rsidR="00B843DF" w:rsidRPr="00652B9D" w:rsidRDefault="00B843DF" w:rsidP="005F241E">
      <w:pPr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4.1</w:t>
      </w:r>
      <w:r w:rsidR="00A97DD5" w:rsidRPr="00652B9D">
        <w:rPr>
          <w:b/>
          <w:sz w:val="22"/>
          <w:szCs w:val="22"/>
          <w:lang w:val="sk-SK"/>
        </w:rPr>
        <w:tab/>
      </w:r>
      <w:r w:rsidRPr="00652B9D">
        <w:rPr>
          <w:b/>
          <w:sz w:val="22"/>
          <w:szCs w:val="22"/>
          <w:lang w:val="sk-SK"/>
        </w:rPr>
        <w:t>Terapeutic</w:t>
      </w:r>
      <w:r w:rsidR="00B2789D" w:rsidRPr="00652B9D">
        <w:rPr>
          <w:b/>
          <w:sz w:val="22"/>
          <w:szCs w:val="22"/>
          <w:lang w:val="sk-SK"/>
        </w:rPr>
        <w:t>ké indikácie</w:t>
      </w:r>
    </w:p>
    <w:p w14:paraId="2468FAE1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6A6D5172" w14:textId="7CF33926" w:rsidR="00A97DD5" w:rsidRPr="00652B9D" w:rsidRDefault="00B843DF" w:rsidP="005F241E">
      <w:pPr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t>Malarone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r w:rsidR="00813AED" w:rsidRPr="00652B9D">
        <w:rPr>
          <w:sz w:val="22"/>
          <w:szCs w:val="22"/>
          <w:lang w:val="sk-SK"/>
        </w:rPr>
        <w:t xml:space="preserve">je fixná kombinovaná dávka </w:t>
      </w:r>
      <w:proofErr w:type="spellStart"/>
      <w:r w:rsidR="002E0E6E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2E0E6E" w:rsidRPr="00652B9D">
        <w:rPr>
          <w:sz w:val="22"/>
          <w:szCs w:val="22"/>
          <w:lang w:val="sk-SK"/>
        </w:rPr>
        <w:t>ónu</w:t>
      </w:r>
      <w:proofErr w:type="spellEnd"/>
      <w:r w:rsidR="002E0E6E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a</w:t>
      </w:r>
      <w:r w:rsidR="00374D6A">
        <w:rPr>
          <w:sz w:val="22"/>
          <w:szCs w:val="22"/>
          <w:lang w:val="sk-SK"/>
        </w:rPr>
        <w:t> </w:t>
      </w:r>
      <w:proofErr w:type="spellStart"/>
      <w:r w:rsidR="002E0E6E"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="002E0E6E" w:rsidRPr="00652B9D">
        <w:rPr>
          <w:sz w:val="22"/>
          <w:szCs w:val="22"/>
          <w:lang w:val="sk-SK"/>
        </w:rPr>
        <w:t>an</w:t>
      </w:r>
      <w:r w:rsidR="00374D6A">
        <w:rPr>
          <w:sz w:val="22"/>
          <w:szCs w:val="22"/>
          <w:lang w:val="sk-SK"/>
        </w:rPr>
        <w:t>í</w:t>
      </w:r>
      <w:r w:rsidR="002E0E6E" w:rsidRPr="00652B9D">
        <w:rPr>
          <w:sz w:val="22"/>
          <w:szCs w:val="22"/>
          <w:lang w:val="sk-SK"/>
        </w:rPr>
        <w:t>lium</w:t>
      </w:r>
      <w:proofErr w:type="spellEnd"/>
      <w:r w:rsidR="00374D6A">
        <w:rPr>
          <w:sz w:val="22"/>
          <w:szCs w:val="22"/>
          <w:lang w:val="sk-SK"/>
        </w:rPr>
        <w:t>-</w:t>
      </w:r>
      <w:r w:rsidR="002E0E6E" w:rsidRPr="00652B9D">
        <w:rPr>
          <w:sz w:val="22"/>
          <w:szCs w:val="22"/>
          <w:lang w:val="sk-SK"/>
        </w:rPr>
        <w:t>chloridu</w:t>
      </w:r>
      <w:r w:rsidR="00813AED" w:rsidRPr="00652B9D">
        <w:rPr>
          <w:sz w:val="22"/>
          <w:szCs w:val="22"/>
          <w:lang w:val="sk-SK"/>
        </w:rPr>
        <w:t>, ktor</w:t>
      </w:r>
      <w:r w:rsidR="00843B66" w:rsidRPr="00652B9D">
        <w:rPr>
          <w:sz w:val="22"/>
          <w:szCs w:val="22"/>
          <w:lang w:val="sk-SK"/>
        </w:rPr>
        <w:t>á</w:t>
      </w:r>
      <w:r w:rsidR="00813AED" w:rsidRPr="00652B9D">
        <w:rPr>
          <w:sz w:val="22"/>
          <w:szCs w:val="22"/>
          <w:lang w:val="sk-SK"/>
        </w:rPr>
        <w:t xml:space="preserve"> pôsobí ako </w:t>
      </w:r>
      <w:r w:rsidR="00516FE2" w:rsidRPr="00652B9D">
        <w:rPr>
          <w:sz w:val="22"/>
          <w:szCs w:val="22"/>
          <w:lang w:val="sk-SK"/>
        </w:rPr>
        <w:t xml:space="preserve">krvný </w:t>
      </w:r>
      <w:proofErr w:type="spellStart"/>
      <w:r w:rsidRPr="00652B9D">
        <w:rPr>
          <w:sz w:val="22"/>
          <w:szCs w:val="22"/>
          <w:lang w:val="sk-SK"/>
        </w:rPr>
        <w:t>schizonticid</w:t>
      </w:r>
      <w:proofErr w:type="spellEnd"/>
      <w:r w:rsidRPr="00652B9D">
        <w:rPr>
          <w:sz w:val="22"/>
          <w:szCs w:val="22"/>
          <w:lang w:val="sk-SK"/>
        </w:rPr>
        <w:t xml:space="preserve"> a</w:t>
      </w:r>
      <w:r w:rsidR="00516FE2" w:rsidRPr="00652B9D">
        <w:rPr>
          <w:sz w:val="22"/>
          <w:szCs w:val="22"/>
          <w:lang w:val="sk-SK"/>
        </w:rPr>
        <w:t xml:space="preserve"> je účinn</w:t>
      </w:r>
      <w:r w:rsidR="00843B66" w:rsidRPr="00652B9D">
        <w:rPr>
          <w:sz w:val="22"/>
          <w:szCs w:val="22"/>
          <w:lang w:val="sk-SK"/>
        </w:rPr>
        <w:t>á</w:t>
      </w:r>
      <w:r w:rsidR="00516FE2" w:rsidRPr="00652B9D">
        <w:rPr>
          <w:sz w:val="22"/>
          <w:szCs w:val="22"/>
          <w:lang w:val="sk-SK"/>
        </w:rPr>
        <w:t xml:space="preserve"> aj proti </w:t>
      </w:r>
      <w:proofErr w:type="spellStart"/>
      <w:r w:rsidR="00516FE2" w:rsidRPr="00652B9D">
        <w:rPr>
          <w:sz w:val="22"/>
          <w:szCs w:val="22"/>
          <w:lang w:val="sk-SK"/>
        </w:rPr>
        <w:t>schizontom</w:t>
      </w:r>
      <w:proofErr w:type="spellEnd"/>
      <w:r w:rsidR="00516FE2" w:rsidRPr="00652B9D">
        <w:rPr>
          <w:sz w:val="22"/>
          <w:szCs w:val="22"/>
          <w:lang w:val="sk-SK"/>
        </w:rPr>
        <w:t xml:space="preserve"> </w:t>
      </w:r>
      <w:r w:rsidR="00B2789D" w:rsidRPr="00652B9D">
        <w:rPr>
          <w:sz w:val="22"/>
          <w:szCs w:val="22"/>
          <w:lang w:val="sk-SK"/>
        </w:rPr>
        <w:t>kmeňa</w:t>
      </w:r>
      <w:r w:rsidR="00F11017" w:rsidRPr="00652B9D">
        <w:rPr>
          <w:sz w:val="22"/>
          <w:szCs w:val="22"/>
          <w:lang w:val="sk-SK"/>
        </w:rPr>
        <w:t xml:space="preserve"> </w:t>
      </w:r>
      <w:proofErr w:type="spellStart"/>
      <w:r w:rsidR="00843B66" w:rsidRPr="00652B9D">
        <w:rPr>
          <w:i/>
          <w:iCs/>
          <w:sz w:val="22"/>
          <w:szCs w:val="22"/>
          <w:lang w:val="sk-SK"/>
        </w:rPr>
        <w:t>Plasmodi</w:t>
      </w:r>
      <w:r w:rsidR="00F11017" w:rsidRPr="00652B9D">
        <w:rPr>
          <w:i/>
          <w:iCs/>
          <w:sz w:val="22"/>
          <w:szCs w:val="22"/>
          <w:lang w:val="sk-SK"/>
        </w:rPr>
        <w:t>um</w:t>
      </w:r>
      <w:proofErr w:type="spellEnd"/>
      <w:r w:rsidR="00843B66" w:rsidRPr="00652B9D">
        <w:rPr>
          <w:i/>
          <w:iCs/>
          <w:sz w:val="22"/>
          <w:szCs w:val="22"/>
          <w:lang w:val="sk-SK"/>
        </w:rPr>
        <w:t xml:space="preserve"> </w:t>
      </w:r>
      <w:proofErr w:type="spellStart"/>
      <w:r w:rsidR="00843B66" w:rsidRPr="00652B9D">
        <w:rPr>
          <w:i/>
          <w:iCs/>
          <w:sz w:val="22"/>
          <w:szCs w:val="22"/>
          <w:lang w:val="sk-SK"/>
        </w:rPr>
        <w:t>falciparum</w:t>
      </w:r>
      <w:proofErr w:type="spellEnd"/>
      <w:r w:rsidR="00843B66" w:rsidRPr="00652B9D">
        <w:rPr>
          <w:sz w:val="22"/>
          <w:szCs w:val="22"/>
          <w:lang w:val="sk-SK"/>
        </w:rPr>
        <w:t xml:space="preserve"> </w:t>
      </w:r>
      <w:r w:rsidR="00516FE2" w:rsidRPr="00652B9D">
        <w:rPr>
          <w:sz w:val="22"/>
          <w:szCs w:val="22"/>
          <w:lang w:val="sk-SK"/>
        </w:rPr>
        <w:t>v pečeni</w:t>
      </w:r>
      <w:r w:rsidR="00843B66" w:rsidRPr="00652B9D">
        <w:rPr>
          <w:sz w:val="22"/>
          <w:szCs w:val="22"/>
          <w:lang w:val="sk-SK"/>
        </w:rPr>
        <w:t>.</w:t>
      </w:r>
    </w:p>
    <w:p w14:paraId="7EDA613B" w14:textId="77777777" w:rsidR="009B054A" w:rsidRPr="00652B9D" w:rsidRDefault="009B054A" w:rsidP="005F241E">
      <w:pPr>
        <w:rPr>
          <w:sz w:val="22"/>
          <w:szCs w:val="22"/>
          <w:lang w:val="sk-SK"/>
        </w:rPr>
      </w:pPr>
    </w:p>
    <w:p w14:paraId="1AD122A6" w14:textId="77777777" w:rsidR="00B843DF" w:rsidRPr="00652B9D" w:rsidRDefault="00843B66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Je indikovaný na</w:t>
      </w:r>
      <w:r w:rsidR="00B843DF" w:rsidRPr="00652B9D">
        <w:rPr>
          <w:sz w:val="22"/>
          <w:szCs w:val="22"/>
          <w:lang w:val="sk-SK"/>
        </w:rPr>
        <w:t>:</w:t>
      </w:r>
    </w:p>
    <w:p w14:paraId="642B0ADA" w14:textId="77777777" w:rsidR="00B843DF" w:rsidRPr="00652B9D" w:rsidRDefault="00A9488E" w:rsidP="005F241E">
      <w:pPr>
        <w:ind w:left="284" w:hanging="284"/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-</w:t>
      </w:r>
      <w:r w:rsidRPr="00652B9D">
        <w:rPr>
          <w:sz w:val="22"/>
          <w:szCs w:val="22"/>
          <w:lang w:val="sk-SK"/>
        </w:rPr>
        <w:tab/>
        <w:t>p</w:t>
      </w:r>
      <w:r w:rsidR="00B843DF" w:rsidRPr="00652B9D">
        <w:rPr>
          <w:sz w:val="22"/>
          <w:szCs w:val="22"/>
          <w:lang w:val="sk-SK"/>
        </w:rPr>
        <w:t>ro</w:t>
      </w:r>
      <w:r w:rsidR="00843B66" w:rsidRPr="00652B9D">
        <w:rPr>
          <w:sz w:val="22"/>
          <w:szCs w:val="22"/>
          <w:lang w:val="sk-SK"/>
        </w:rPr>
        <w:t>f</w:t>
      </w:r>
      <w:r w:rsidR="00B843DF" w:rsidRPr="00652B9D">
        <w:rPr>
          <w:sz w:val="22"/>
          <w:szCs w:val="22"/>
          <w:lang w:val="sk-SK"/>
        </w:rPr>
        <w:t>ylaxi</w:t>
      </w:r>
      <w:r w:rsidR="00F11017" w:rsidRPr="00652B9D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 xml:space="preserve"> </w:t>
      </w:r>
      <w:r w:rsidR="00843B66" w:rsidRPr="00652B9D">
        <w:rPr>
          <w:sz w:val="22"/>
          <w:szCs w:val="22"/>
          <w:lang w:val="sk-SK"/>
        </w:rPr>
        <w:t xml:space="preserve">malárie </w:t>
      </w:r>
      <w:r w:rsidR="009858E3" w:rsidRPr="00652B9D">
        <w:rPr>
          <w:sz w:val="22"/>
          <w:szCs w:val="22"/>
          <w:lang w:val="sk-SK"/>
        </w:rPr>
        <w:t>spôsobe</w:t>
      </w:r>
      <w:r w:rsidR="00B2789D" w:rsidRPr="00652B9D">
        <w:rPr>
          <w:sz w:val="22"/>
          <w:szCs w:val="22"/>
          <w:lang w:val="sk-SK"/>
        </w:rPr>
        <w:t>nej kmeňom</w:t>
      </w:r>
      <w:r w:rsidR="00843B66" w:rsidRPr="00652B9D">
        <w:rPr>
          <w:sz w:val="22"/>
          <w:szCs w:val="22"/>
          <w:lang w:val="sk-SK"/>
        </w:rPr>
        <w:t xml:space="preserve"> </w:t>
      </w:r>
      <w:proofErr w:type="spellStart"/>
      <w:r w:rsidR="00B843DF" w:rsidRPr="00652B9D">
        <w:rPr>
          <w:i/>
          <w:sz w:val="22"/>
          <w:szCs w:val="22"/>
          <w:lang w:val="sk-SK"/>
        </w:rPr>
        <w:t>Plasmodium</w:t>
      </w:r>
      <w:proofErr w:type="spellEnd"/>
      <w:r w:rsidR="00B843DF" w:rsidRPr="00652B9D">
        <w:rPr>
          <w:i/>
          <w:sz w:val="22"/>
          <w:szCs w:val="22"/>
          <w:lang w:val="sk-SK"/>
        </w:rPr>
        <w:t xml:space="preserve"> </w:t>
      </w:r>
      <w:proofErr w:type="spellStart"/>
      <w:r w:rsidR="00B843DF" w:rsidRPr="00652B9D">
        <w:rPr>
          <w:i/>
          <w:sz w:val="22"/>
          <w:szCs w:val="22"/>
          <w:lang w:val="sk-SK"/>
        </w:rPr>
        <w:t>falciparum</w:t>
      </w:r>
      <w:proofErr w:type="spellEnd"/>
      <w:r w:rsidRPr="00652B9D">
        <w:rPr>
          <w:i/>
          <w:sz w:val="22"/>
          <w:szCs w:val="22"/>
          <w:lang w:val="sk-SK"/>
        </w:rPr>
        <w:t>,</w:t>
      </w:r>
    </w:p>
    <w:p w14:paraId="624C3126" w14:textId="77777777" w:rsidR="00B843DF" w:rsidRPr="00652B9D" w:rsidRDefault="00A9488E" w:rsidP="005F241E">
      <w:pPr>
        <w:ind w:left="284" w:hanging="284"/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-</w:t>
      </w:r>
      <w:r w:rsidRPr="00652B9D">
        <w:rPr>
          <w:sz w:val="22"/>
          <w:szCs w:val="22"/>
          <w:lang w:val="sk-SK"/>
        </w:rPr>
        <w:tab/>
        <w:t>l</w:t>
      </w:r>
      <w:r w:rsidR="00F11017" w:rsidRPr="00652B9D">
        <w:rPr>
          <w:sz w:val="22"/>
          <w:szCs w:val="22"/>
          <w:lang w:val="sk-SK"/>
        </w:rPr>
        <w:t xml:space="preserve">iečbu akútnej, nekomplikovanej malárie </w:t>
      </w:r>
      <w:r w:rsidR="009858E3" w:rsidRPr="00652B9D">
        <w:rPr>
          <w:sz w:val="22"/>
          <w:szCs w:val="22"/>
          <w:lang w:val="sk-SK"/>
        </w:rPr>
        <w:t>spôsobenej</w:t>
      </w:r>
      <w:r w:rsidR="00B2789D" w:rsidRPr="00652B9D">
        <w:rPr>
          <w:sz w:val="22"/>
          <w:szCs w:val="22"/>
          <w:lang w:val="sk-SK"/>
        </w:rPr>
        <w:t xml:space="preserve"> kmeňom</w:t>
      </w:r>
      <w:r w:rsidR="00B843DF" w:rsidRPr="00652B9D">
        <w:rPr>
          <w:sz w:val="22"/>
          <w:szCs w:val="22"/>
          <w:lang w:val="sk-SK"/>
        </w:rPr>
        <w:t xml:space="preserve"> </w:t>
      </w:r>
      <w:proofErr w:type="spellStart"/>
      <w:r w:rsidR="00B843DF" w:rsidRPr="00652B9D">
        <w:rPr>
          <w:i/>
          <w:sz w:val="22"/>
          <w:szCs w:val="22"/>
          <w:lang w:val="sk-SK"/>
        </w:rPr>
        <w:t>Plasmodium</w:t>
      </w:r>
      <w:proofErr w:type="spellEnd"/>
      <w:r w:rsidR="00B843DF" w:rsidRPr="00652B9D">
        <w:rPr>
          <w:i/>
          <w:sz w:val="22"/>
          <w:szCs w:val="22"/>
          <w:lang w:val="sk-SK"/>
        </w:rPr>
        <w:t xml:space="preserve"> </w:t>
      </w:r>
      <w:proofErr w:type="spellStart"/>
      <w:r w:rsidR="00B843DF" w:rsidRPr="00652B9D">
        <w:rPr>
          <w:i/>
          <w:sz w:val="22"/>
          <w:szCs w:val="22"/>
          <w:lang w:val="sk-SK"/>
        </w:rPr>
        <w:t>falciparum</w:t>
      </w:r>
      <w:proofErr w:type="spellEnd"/>
      <w:r w:rsidR="00B843DF" w:rsidRPr="00652B9D">
        <w:rPr>
          <w:sz w:val="22"/>
          <w:szCs w:val="22"/>
          <w:lang w:val="sk-SK"/>
        </w:rPr>
        <w:t>.</w:t>
      </w:r>
    </w:p>
    <w:p w14:paraId="2006647C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3049AF2E" w14:textId="77777777" w:rsidR="00B843DF" w:rsidRPr="00652B9D" w:rsidRDefault="00F11017" w:rsidP="005F241E">
      <w:pPr>
        <w:rPr>
          <w:i/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Vzhľadom </w:t>
      </w:r>
      <w:r w:rsidR="009D35DE">
        <w:rPr>
          <w:sz w:val="22"/>
          <w:szCs w:val="22"/>
          <w:lang w:val="sk-SK"/>
        </w:rPr>
        <w:t>na</w:t>
      </w:r>
      <w:r w:rsidRPr="00652B9D">
        <w:rPr>
          <w:sz w:val="22"/>
          <w:szCs w:val="22"/>
          <w:lang w:val="sk-SK"/>
        </w:rPr>
        <w:t xml:space="preserve"> to, že </w:t>
      </w:r>
      <w:proofErr w:type="spellStart"/>
      <w:r w:rsidR="00B843DF" w:rsidRPr="00652B9D">
        <w:rPr>
          <w:sz w:val="22"/>
          <w:szCs w:val="22"/>
          <w:lang w:val="sk-SK"/>
        </w:rPr>
        <w:t>Malarone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je účinný proti </w:t>
      </w:r>
      <w:r w:rsidR="0006396F" w:rsidRPr="00652B9D">
        <w:rPr>
          <w:sz w:val="22"/>
          <w:szCs w:val="22"/>
          <w:lang w:val="sk-SK"/>
        </w:rPr>
        <w:t xml:space="preserve">kmeňom </w:t>
      </w:r>
      <w:r w:rsidRPr="00652B9D">
        <w:rPr>
          <w:i/>
          <w:iCs/>
          <w:sz w:val="22"/>
          <w:szCs w:val="22"/>
          <w:lang w:val="sk-SK"/>
        </w:rPr>
        <w:t xml:space="preserve">P. </w:t>
      </w:r>
      <w:proofErr w:type="spellStart"/>
      <w:r w:rsidRPr="00652B9D">
        <w:rPr>
          <w:i/>
          <w:iCs/>
          <w:sz w:val="22"/>
          <w:szCs w:val="22"/>
          <w:lang w:val="sk-SK"/>
        </w:rPr>
        <w:t>falciparum</w:t>
      </w:r>
      <w:proofErr w:type="spellEnd"/>
      <w:r w:rsidRPr="00652B9D">
        <w:rPr>
          <w:i/>
          <w:iCs/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citliv</w:t>
      </w:r>
      <w:r w:rsidR="0006396F" w:rsidRPr="00652B9D">
        <w:rPr>
          <w:sz w:val="22"/>
          <w:szCs w:val="22"/>
          <w:lang w:val="sk-SK"/>
        </w:rPr>
        <w:t>ým</w:t>
      </w:r>
      <w:r w:rsidRPr="00652B9D">
        <w:rPr>
          <w:sz w:val="22"/>
          <w:szCs w:val="22"/>
          <w:lang w:val="sk-SK"/>
        </w:rPr>
        <w:t xml:space="preserve"> na lieky a </w:t>
      </w:r>
      <w:r w:rsidR="00A9488E" w:rsidRPr="00652B9D">
        <w:rPr>
          <w:sz w:val="22"/>
          <w:szCs w:val="22"/>
          <w:lang w:val="sk-SK"/>
        </w:rPr>
        <w:t xml:space="preserve">proti kmeňom </w:t>
      </w:r>
      <w:r w:rsidR="00A9488E" w:rsidRPr="00652B9D">
        <w:rPr>
          <w:i/>
          <w:iCs/>
          <w:sz w:val="22"/>
          <w:szCs w:val="22"/>
          <w:lang w:val="sk-SK"/>
        </w:rPr>
        <w:t xml:space="preserve">P. </w:t>
      </w:r>
      <w:proofErr w:type="spellStart"/>
      <w:r w:rsidR="00A9488E" w:rsidRPr="00652B9D">
        <w:rPr>
          <w:i/>
          <w:iCs/>
          <w:sz w:val="22"/>
          <w:szCs w:val="22"/>
          <w:lang w:val="sk-SK"/>
        </w:rPr>
        <w:t>falciparum</w:t>
      </w:r>
      <w:proofErr w:type="spellEnd"/>
      <w:r w:rsidR="00A9488E" w:rsidRPr="00652B9D">
        <w:rPr>
          <w:i/>
          <w:iCs/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rezistentn</w:t>
      </w:r>
      <w:r w:rsidR="0006396F" w:rsidRPr="00652B9D">
        <w:rPr>
          <w:sz w:val="22"/>
          <w:szCs w:val="22"/>
          <w:lang w:val="sk-SK"/>
        </w:rPr>
        <w:t>ým</w:t>
      </w:r>
      <w:r w:rsidRPr="00652B9D">
        <w:rPr>
          <w:sz w:val="22"/>
          <w:szCs w:val="22"/>
          <w:lang w:val="sk-SK"/>
        </w:rPr>
        <w:t xml:space="preserve"> na lieky, odporúča sa najmä na profylaxiu a liečbu malárie </w:t>
      </w:r>
      <w:r w:rsidR="009858E3" w:rsidRPr="00652B9D">
        <w:rPr>
          <w:sz w:val="22"/>
          <w:szCs w:val="22"/>
          <w:lang w:val="sk-SK"/>
        </w:rPr>
        <w:t>spôsoben</w:t>
      </w:r>
      <w:r w:rsidR="0006396F" w:rsidRPr="00652B9D">
        <w:rPr>
          <w:sz w:val="22"/>
          <w:szCs w:val="22"/>
          <w:lang w:val="sk-SK"/>
        </w:rPr>
        <w:t>ej kmeňom</w:t>
      </w:r>
      <w:r w:rsidR="00B843DF"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i/>
          <w:sz w:val="22"/>
          <w:szCs w:val="22"/>
          <w:lang w:val="sk-SK"/>
        </w:rPr>
        <w:t>P</w:t>
      </w:r>
      <w:r w:rsidR="00B843DF" w:rsidRPr="00652B9D">
        <w:rPr>
          <w:sz w:val="22"/>
          <w:szCs w:val="22"/>
          <w:lang w:val="sk-SK"/>
        </w:rPr>
        <w:t xml:space="preserve">. </w:t>
      </w:r>
      <w:proofErr w:type="spellStart"/>
      <w:r w:rsidR="00B843DF" w:rsidRPr="00652B9D">
        <w:rPr>
          <w:i/>
          <w:sz w:val="22"/>
          <w:szCs w:val="22"/>
          <w:lang w:val="sk-SK"/>
        </w:rPr>
        <w:t>falciparum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v prípadoch, </w:t>
      </w:r>
      <w:r w:rsidR="00A9488E" w:rsidRPr="00652B9D">
        <w:rPr>
          <w:sz w:val="22"/>
          <w:szCs w:val="22"/>
          <w:lang w:val="sk-SK"/>
        </w:rPr>
        <w:t>v ktorých</w:t>
      </w:r>
      <w:r w:rsidR="009858E3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patogén môže byť rezistentný na ostatné </w:t>
      </w:r>
      <w:proofErr w:type="spellStart"/>
      <w:r w:rsidRPr="00652B9D">
        <w:rPr>
          <w:sz w:val="22"/>
          <w:szCs w:val="22"/>
          <w:lang w:val="sk-SK"/>
        </w:rPr>
        <w:t>antimalariká</w:t>
      </w:r>
      <w:proofErr w:type="spellEnd"/>
      <w:r w:rsidRPr="00652B9D">
        <w:rPr>
          <w:sz w:val="22"/>
          <w:szCs w:val="22"/>
          <w:lang w:val="sk-SK"/>
        </w:rPr>
        <w:t>.</w:t>
      </w:r>
    </w:p>
    <w:p w14:paraId="15D25227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40A65EDC" w14:textId="77777777" w:rsidR="00B843DF" w:rsidRPr="00652B9D" w:rsidRDefault="00F11017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Do úvahy sa majú vziať oficiálne odporúčania a miestne informácie o </w:t>
      </w:r>
      <w:proofErr w:type="spellStart"/>
      <w:r w:rsidRPr="00652B9D">
        <w:rPr>
          <w:sz w:val="22"/>
          <w:szCs w:val="22"/>
          <w:lang w:val="sk-SK"/>
        </w:rPr>
        <w:t>prevalencii</w:t>
      </w:r>
      <w:proofErr w:type="spellEnd"/>
      <w:r w:rsidRPr="00652B9D">
        <w:rPr>
          <w:sz w:val="22"/>
          <w:szCs w:val="22"/>
          <w:lang w:val="sk-SK"/>
        </w:rPr>
        <w:t xml:space="preserve"> rezistencie na</w:t>
      </w:r>
      <w:r w:rsidR="009D35DE">
        <w:rPr>
          <w:sz w:val="22"/>
          <w:szCs w:val="22"/>
          <w:lang w:val="sk-SK"/>
        </w:rPr>
        <w:t> </w:t>
      </w:r>
      <w:proofErr w:type="spellStart"/>
      <w:r w:rsidRPr="00652B9D">
        <w:rPr>
          <w:sz w:val="22"/>
          <w:szCs w:val="22"/>
          <w:lang w:val="sk-SK"/>
        </w:rPr>
        <w:t>antimalariká</w:t>
      </w:r>
      <w:proofErr w:type="spellEnd"/>
      <w:r w:rsidRPr="00652B9D">
        <w:rPr>
          <w:sz w:val="22"/>
          <w:szCs w:val="22"/>
          <w:lang w:val="sk-SK"/>
        </w:rPr>
        <w:t>.</w:t>
      </w:r>
      <w:r w:rsidR="00B843D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Oficiálne odporúčania obvykle zahŕňajú odporúčania SZO a úradov pre verejné zdravie.</w:t>
      </w:r>
    </w:p>
    <w:p w14:paraId="4991FCB5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00987CFB" w14:textId="77777777" w:rsidR="00B843DF" w:rsidRPr="00652B9D" w:rsidRDefault="00A9488E" w:rsidP="005F241E">
      <w:pPr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4.2</w:t>
      </w:r>
      <w:r w:rsidR="00481ED7">
        <w:rPr>
          <w:b/>
          <w:sz w:val="22"/>
          <w:szCs w:val="22"/>
          <w:lang w:val="sk-SK"/>
        </w:rPr>
        <w:tab/>
      </w:r>
      <w:r w:rsidR="005B0BBD" w:rsidRPr="00652B9D">
        <w:rPr>
          <w:b/>
          <w:sz w:val="22"/>
          <w:szCs w:val="22"/>
          <w:lang w:val="sk-SK"/>
        </w:rPr>
        <w:t>Dávkovanie a spôsob podávania</w:t>
      </w:r>
    </w:p>
    <w:p w14:paraId="74FF58C3" w14:textId="77777777" w:rsidR="00B843DF" w:rsidRPr="007317D8" w:rsidRDefault="00B843DF" w:rsidP="005F241E">
      <w:pPr>
        <w:rPr>
          <w:sz w:val="22"/>
          <w:szCs w:val="22"/>
          <w:lang w:val="sk-SK"/>
        </w:rPr>
      </w:pPr>
    </w:p>
    <w:p w14:paraId="02FD17CC" w14:textId="77777777" w:rsidR="000D53AD" w:rsidRPr="00606501" w:rsidRDefault="000D53AD" w:rsidP="005F241E">
      <w:pPr>
        <w:rPr>
          <w:bCs/>
          <w:sz w:val="22"/>
          <w:szCs w:val="22"/>
          <w:u w:val="single"/>
          <w:lang w:val="sk-SK"/>
        </w:rPr>
      </w:pPr>
      <w:r w:rsidRPr="00606501">
        <w:rPr>
          <w:bCs/>
          <w:sz w:val="22"/>
          <w:szCs w:val="22"/>
          <w:u w:val="single"/>
          <w:lang w:val="sk-SK"/>
        </w:rPr>
        <w:t>Spôsob podávania</w:t>
      </w:r>
    </w:p>
    <w:p w14:paraId="42869BCA" w14:textId="77777777" w:rsidR="000D53AD" w:rsidRPr="00652B9D" w:rsidRDefault="000D53AD" w:rsidP="005F241E">
      <w:pPr>
        <w:rPr>
          <w:sz w:val="22"/>
          <w:szCs w:val="22"/>
          <w:lang w:val="sk-SK"/>
        </w:rPr>
      </w:pPr>
    </w:p>
    <w:p w14:paraId="41137472" w14:textId="77777777" w:rsidR="00B843DF" w:rsidRPr="00652B9D" w:rsidRDefault="005B0BBD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Denná dávka sa má užiť s jedlom alebo mliečnym nápojom (aby sa zabezpečila maximálna absorpcia) každý deň v rovnakom čase.</w:t>
      </w:r>
    </w:p>
    <w:p w14:paraId="2266FEA6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6443F9D9" w14:textId="77777777" w:rsidR="00B843DF" w:rsidRPr="00652B9D" w:rsidRDefault="00A9488E" w:rsidP="005F241E">
      <w:pPr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t>Malarone</w:t>
      </w:r>
      <w:proofErr w:type="spellEnd"/>
      <w:r w:rsidRPr="00652B9D">
        <w:rPr>
          <w:sz w:val="22"/>
          <w:szCs w:val="22"/>
          <w:lang w:val="sk-SK"/>
        </w:rPr>
        <w:t xml:space="preserve"> sa má podať aj vtedy, keď </w:t>
      </w:r>
      <w:r w:rsidR="005B0BBD" w:rsidRPr="00652B9D">
        <w:rPr>
          <w:sz w:val="22"/>
          <w:szCs w:val="22"/>
          <w:lang w:val="sk-SK"/>
        </w:rPr>
        <w:t xml:space="preserve">pacienti nie sú schopní znášať jedlo, </w:t>
      </w:r>
      <w:r w:rsidR="00B2789D" w:rsidRPr="00652B9D">
        <w:rPr>
          <w:sz w:val="22"/>
          <w:szCs w:val="22"/>
          <w:lang w:val="sk-SK"/>
        </w:rPr>
        <w:t xml:space="preserve">ale systémová expozícia </w:t>
      </w:r>
      <w:proofErr w:type="spellStart"/>
      <w:r w:rsidR="00B2789D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2E0E6E" w:rsidRPr="00652B9D">
        <w:rPr>
          <w:sz w:val="22"/>
          <w:szCs w:val="22"/>
          <w:lang w:val="sk-SK"/>
        </w:rPr>
        <w:t>ó</w:t>
      </w:r>
      <w:r w:rsidR="00B2789D" w:rsidRPr="00652B9D">
        <w:rPr>
          <w:sz w:val="22"/>
          <w:szCs w:val="22"/>
          <w:lang w:val="sk-SK"/>
        </w:rPr>
        <w:t>nu</w:t>
      </w:r>
      <w:proofErr w:type="spellEnd"/>
      <w:r w:rsidR="00B2789D" w:rsidRPr="00652B9D">
        <w:rPr>
          <w:sz w:val="22"/>
          <w:szCs w:val="22"/>
          <w:lang w:val="sk-SK"/>
        </w:rPr>
        <w:t xml:space="preserve"> bude znížená. V prípade dávenia do 1</w:t>
      </w:r>
      <w:r w:rsidR="007317D8">
        <w:rPr>
          <w:sz w:val="22"/>
          <w:szCs w:val="22"/>
          <w:lang w:val="sk-SK"/>
        </w:rPr>
        <w:t> </w:t>
      </w:r>
      <w:r w:rsidR="00B2789D" w:rsidRPr="00652B9D">
        <w:rPr>
          <w:sz w:val="22"/>
          <w:szCs w:val="22"/>
          <w:lang w:val="sk-SK"/>
        </w:rPr>
        <w:t>hodiny po podaní dávky sa má užiť opakovaná dávka.</w:t>
      </w:r>
    </w:p>
    <w:p w14:paraId="1ED4E7FB" w14:textId="77777777" w:rsidR="00B843DF" w:rsidRPr="00652B9D" w:rsidRDefault="00B843DF" w:rsidP="00C126C3">
      <w:pPr>
        <w:rPr>
          <w:sz w:val="22"/>
          <w:szCs w:val="22"/>
          <w:lang w:val="sk-SK"/>
        </w:rPr>
      </w:pPr>
    </w:p>
    <w:p w14:paraId="68D43C1B" w14:textId="77777777" w:rsidR="00BF7E6A" w:rsidRPr="00606501" w:rsidRDefault="00606501" w:rsidP="005F241E">
      <w:pPr>
        <w:keepNext/>
        <w:rPr>
          <w:bCs/>
          <w:sz w:val="22"/>
          <w:szCs w:val="22"/>
          <w:u w:val="single"/>
          <w:lang w:val="sk-SK"/>
        </w:rPr>
      </w:pPr>
      <w:r w:rsidRPr="00606501">
        <w:rPr>
          <w:bCs/>
          <w:sz w:val="22"/>
          <w:szCs w:val="22"/>
          <w:u w:val="single"/>
          <w:lang w:val="sk-SK"/>
        </w:rPr>
        <w:lastRenderedPageBreak/>
        <w:t>Dávkovanie</w:t>
      </w:r>
    </w:p>
    <w:p w14:paraId="3112D34B" w14:textId="77777777" w:rsidR="00BF7E6A" w:rsidRPr="007317D8" w:rsidRDefault="00BF7E6A" w:rsidP="005F241E">
      <w:pPr>
        <w:keepNext/>
        <w:rPr>
          <w:sz w:val="22"/>
          <w:szCs w:val="22"/>
          <w:lang w:val="sk-SK"/>
        </w:rPr>
      </w:pPr>
    </w:p>
    <w:p w14:paraId="3A40A4E9" w14:textId="77777777" w:rsidR="00B843DF" w:rsidRPr="00652B9D" w:rsidRDefault="000D53AD" w:rsidP="005F241E">
      <w:pPr>
        <w:keepNext/>
        <w:rPr>
          <w:b/>
          <w:sz w:val="22"/>
          <w:szCs w:val="22"/>
          <w:u w:val="single"/>
          <w:lang w:val="sk-SK"/>
        </w:rPr>
      </w:pPr>
      <w:r w:rsidRPr="00652B9D">
        <w:rPr>
          <w:sz w:val="22"/>
          <w:szCs w:val="22"/>
          <w:u w:val="single"/>
          <w:lang w:val="sk-SK"/>
        </w:rPr>
        <w:t>Profylaxia</w:t>
      </w:r>
    </w:p>
    <w:p w14:paraId="5D034F1E" w14:textId="77777777" w:rsidR="00B843DF" w:rsidRPr="00652B9D" w:rsidRDefault="00B843DF" w:rsidP="005F241E">
      <w:pPr>
        <w:keepNext/>
        <w:rPr>
          <w:sz w:val="22"/>
          <w:szCs w:val="22"/>
          <w:lang w:val="sk-SK"/>
        </w:rPr>
      </w:pPr>
    </w:p>
    <w:p w14:paraId="62FF0EE2" w14:textId="77777777" w:rsidR="00A97DD5" w:rsidRPr="00652B9D" w:rsidRDefault="00B843DF" w:rsidP="005F241E">
      <w:pPr>
        <w:keepNext/>
        <w:rPr>
          <w:snapToGrid w:val="0"/>
          <w:sz w:val="22"/>
          <w:szCs w:val="22"/>
          <w:lang w:val="sk-SK"/>
        </w:rPr>
      </w:pPr>
      <w:r w:rsidRPr="00652B9D">
        <w:rPr>
          <w:snapToGrid w:val="0"/>
          <w:sz w:val="22"/>
          <w:szCs w:val="22"/>
          <w:lang w:val="sk-SK"/>
        </w:rPr>
        <w:t>Pro</w:t>
      </w:r>
      <w:r w:rsidR="0006396F" w:rsidRPr="00652B9D">
        <w:rPr>
          <w:snapToGrid w:val="0"/>
          <w:sz w:val="22"/>
          <w:szCs w:val="22"/>
          <w:lang w:val="sk-SK"/>
        </w:rPr>
        <w:t>f</w:t>
      </w:r>
      <w:r w:rsidRPr="00652B9D">
        <w:rPr>
          <w:snapToGrid w:val="0"/>
          <w:sz w:val="22"/>
          <w:szCs w:val="22"/>
          <w:lang w:val="sk-SK"/>
        </w:rPr>
        <w:t>ylaxi</w:t>
      </w:r>
      <w:r w:rsidR="0006396F" w:rsidRPr="00652B9D">
        <w:rPr>
          <w:snapToGrid w:val="0"/>
          <w:sz w:val="22"/>
          <w:szCs w:val="22"/>
          <w:lang w:val="sk-SK"/>
        </w:rPr>
        <w:t>a</w:t>
      </w:r>
    </w:p>
    <w:p w14:paraId="6DEADDE6" w14:textId="77777777" w:rsidR="00B843DF" w:rsidRPr="00652B9D" w:rsidRDefault="00B843DF" w:rsidP="005F241E">
      <w:pPr>
        <w:keepNext/>
        <w:rPr>
          <w:snapToGrid w:val="0"/>
          <w:sz w:val="22"/>
          <w:szCs w:val="22"/>
          <w:lang w:val="sk-SK"/>
        </w:rPr>
      </w:pPr>
    </w:p>
    <w:p w14:paraId="664FACAD" w14:textId="77777777" w:rsidR="00B843DF" w:rsidRPr="00652B9D" w:rsidRDefault="0006396F" w:rsidP="005F241E">
      <w:pPr>
        <w:keepNext/>
        <w:numPr>
          <w:ilvl w:val="0"/>
          <w:numId w:val="4"/>
        </w:numPr>
        <w:rPr>
          <w:snapToGrid w:val="0"/>
          <w:sz w:val="22"/>
          <w:szCs w:val="22"/>
          <w:lang w:val="sk-SK"/>
        </w:rPr>
      </w:pPr>
      <w:r w:rsidRPr="00652B9D">
        <w:rPr>
          <w:snapToGrid w:val="0"/>
          <w:sz w:val="22"/>
          <w:szCs w:val="22"/>
          <w:lang w:val="sk-SK"/>
        </w:rPr>
        <w:t xml:space="preserve">sa má začať </w:t>
      </w:r>
      <w:r w:rsidR="00B843DF" w:rsidRPr="00652B9D">
        <w:rPr>
          <w:snapToGrid w:val="0"/>
          <w:sz w:val="22"/>
          <w:szCs w:val="22"/>
          <w:lang w:val="sk-SK"/>
        </w:rPr>
        <w:t>24</w:t>
      </w:r>
      <w:r w:rsidR="007317D8">
        <w:rPr>
          <w:sz w:val="22"/>
          <w:szCs w:val="22"/>
          <w:lang w:val="sk-SK"/>
        </w:rPr>
        <w:t> </w:t>
      </w:r>
      <w:r w:rsidRPr="00652B9D">
        <w:rPr>
          <w:snapToGrid w:val="0"/>
          <w:sz w:val="22"/>
          <w:szCs w:val="22"/>
          <w:lang w:val="sk-SK"/>
        </w:rPr>
        <w:t>alebo</w:t>
      </w:r>
      <w:r w:rsidR="007317D8">
        <w:rPr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>48</w:t>
      </w:r>
      <w:r w:rsidR="007317D8">
        <w:rPr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>ho</w:t>
      </w:r>
      <w:r w:rsidRPr="00652B9D">
        <w:rPr>
          <w:snapToGrid w:val="0"/>
          <w:sz w:val="22"/>
          <w:szCs w:val="22"/>
          <w:lang w:val="sk-SK"/>
        </w:rPr>
        <w:t>dín pred vstupom do endemickej oblasti malárie</w:t>
      </w:r>
      <w:r w:rsidR="00B843DF" w:rsidRPr="00652B9D">
        <w:rPr>
          <w:snapToGrid w:val="0"/>
          <w:sz w:val="22"/>
          <w:szCs w:val="22"/>
          <w:lang w:val="sk-SK"/>
        </w:rPr>
        <w:t>,</w:t>
      </w:r>
    </w:p>
    <w:p w14:paraId="19A046E3" w14:textId="77777777" w:rsidR="00B843DF" w:rsidRPr="00652B9D" w:rsidRDefault="0006396F" w:rsidP="005F241E">
      <w:pPr>
        <w:keepNext/>
        <w:numPr>
          <w:ilvl w:val="0"/>
          <w:numId w:val="4"/>
        </w:numPr>
        <w:rPr>
          <w:snapToGrid w:val="0"/>
          <w:sz w:val="22"/>
          <w:szCs w:val="22"/>
          <w:lang w:val="sk-SK"/>
        </w:rPr>
      </w:pPr>
      <w:r w:rsidRPr="00652B9D">
        <w:rPr>
          <w:snapToGrid w:val="0"/>
          <w:sz w:val="22"/>
          <w:szCs w:val="22"/>
          <w:lang w:val="sk-SK"/>
        </w:rPr>
        <w:t>má pokračovať počas doby pobytu</w:t>
      </w:r>
      <w:r w:rsidR="00B843DF" w:rsidRPr="00652B9D">
        <w:rPr>
          <w:b/>
          <w:snapToGrid w:val="0"/>
          <w:sz w:val="22"/>
          <w:szCs w:val="22"/>
          <w:lang w:val="sk-SK"/>
        </w:rPr>
        <w:t>,</w:t>
      </w:r>
    </w:p>
    <w:p w14:paraId="34CC245E" w14:textId="77777777" w:rsidR="00B843DF" w:rsidRPr="00652B9D" w:rsidRDefault="0006396F" w:rsidP="005F241E">
      <w:pPr>
        <w:keepNext/>
        <w:numPr>
          <w:ilvl w:val="0"/>
          <w:numId w:val="4"/>
        </w:numPr>
        <w:rPr>
          <w:snapToGrid w:val="0"/>
          <w:sz w:val="22"/>
          <w:szCs w:val="22"/>
          <w:lang w:val="sk-SK"/>
        </w:rPr>
      </w:pPr>
      <w:r w:rsidRPr="00652B9D">
        <w:rPr>
          <w:snapToGrid w:val="0"/>
          <w:sz w:val="22"/>
          <w:szCs w:val="22"/>
          <w:lang w:val="sk-SK"/>
        </w:rPr>
        <w:t xml:space="preserve">má pokračovať počas </w:t>
      </w:r>
      <w:r w:rsidR="00B843DF" w:rsidRPr="00652B9D">
        <w:rPr>
          <w:snapToGrid w:val="0"/>
          <w:sz w:val="22"/>
          <w:szCs w:val="22"/>
          <w:lang w:val="sk-SK"/>
        </w:rPr>
        <w:t>7</w:t>
      </w:r>
      <w:r w:rsidR="007317D8">
        <w:rPr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>d</w:t>
      </w:r>
      <w:r w:rsidRPr="00652B9D">
        <w:rPr>
          <w:snapToGrid w:val="0"/>
          <w:sz w:val="22"/>
          <w:szCs w:val="22"/>
          <w:lang w:val="sk-SK"/>
        </w:rPr>
        <w:t>ní po odchode z oblasti</w:t>
      </w:r>
      <w:r w:rsidR="00B843DF" w:rsidRPr="00652B9D">
        <w:rPr>
          <w:snapToGrid w:val="0"/>
          <w:sz w:val="22"/>
          <w:szCs w:val="22"/>
          <w:lang w:val="sk-SK"/>
        </w:rPr>
        <w:t>.</w:t>
      </w:r>
    </w:p>
    <w:p w14:paraId="169C02F1" w14:textId="77777777" w:rsidR="00B843DF" w:rsidRPr="00652B9D" w:rsidRDefault="00B843DF" w:rsidP="005F241E">
      <w:pPr>
        <w:rPr>
          <w:snapToGrid w:val="0"/>
          <w:sz w:val="22"/>
          <w:szCs w:val="22"/>
          <w:lang w:val="sk-SK"/>
        </w:rPr>
      </w:pPr>
    </w:p>
    <w:p w14:paraId="7A299464" w14:textId="77777777" w:rsidR="00197D01" w:rsidRDefault="0006396F" w:rsidP="005F241E">
      <w:pPr>
        <w:rPr>
          <w:snapToGrid w:val="0"/>
          <w:sz w:val="22"/>
          <w:szCs w:val="22"/>
          <w:lang w:val="sk-SK"/>
        </w:rPr>
      </w:pPr>
      <w:r w:rsidRPr="00652B9D">
        <w:rPr>
          <w:snapToGrid w:val="0"/>
          <w:sz w:val="22"/>
          <w:szCs w:val="22"/>
          <w:lang w:val="sk-SK"/>
        </w:rPr>
        <w:t xml:space="preserve">U obyvateľov </w:t>
      </w:r>
      <w:r w:rsidR="00B843DF" w:rsidRPr="00652B9D">
        <w:rPr>
          <w:snapToGrid w:val="0"/>
          <w:sz w:val="22"/>
          <w:szCs w:val="22"/>
          <w:lang w:val="sk-SK"/>
        </w:rPr>
        <w:t>(</w:t>
      </w:r>
      <w:r w:rsidR="00772004" w:rsidRPr="00652B9D">
        <w:rPr>
          <w:snapToGrid w:val="0"/>
          <w:sz w:val="22"/>
          <w:szCs w:val="22"/>
          <w:lang w:val="sk-SK"/>
        </w:rPr>
        <w:t>čiastočne imúnnych jedincov</w:t>
      </w:r>
      <w:r w:rsidR="00B843DF" w:rsidRPr="00652B9D">
        <w:rPr>
          <w:snapToGrid w:val="0"/>
          <w:sz w:val="22"/>
          <w:szCs w:val="22"/>
          <w:lang w:val="sk-SK"/>
        </w:rPr>
        <w:t>) endemic</w:t>
      </w:r>
      <w:r w:rsidR="00D26870" w:rsidRPr="00652B9D">
        <w:rPr>
          <w:snapToGrid w:val="0"/>
          <w:sz w:val="22"/>
          <w:szCs w:val="22"/>
          <w:lang w:val="sk-SK"/>
        </w:rPr>
        <w:t xml:space="preserve">kých oblastí bola bezpečnosť a účinnosť </w:t>
      </w:r>
      <w:proofErr w:type="spellStart"/>
      <w:r w:rsidR="00D26870" w:rsidRPr="00652B9D">
        <w:rPr>
          <w:snapToGrid w:val="0"/>
          <w:sz w:val="22"/>
          <w:szCs w:val="22"/>
          <w:lang w:val="sk-SK"/>
        </w:rPr>
        <w:t>Malarone</w:t>
      </w:r>
      <w:proofErr w:type="spellEnd"/>
      <w:r w:rsidR="00D26870" w:rsidRPr="00652B9D">
        <w:rPr>
          <w:snapToGrid w:val="0"/>
          <w:sz w:val="22"/>
          <w:szCs w:val="22"/>
          <w:lang w:val="sk-SK"/>
        </w:rPr>
        <w:t xml:space="preserve"> </w:t>
      </w:r>
      <w:r w:rsidR="00D84018" w:rsidRPr="00652B9D">
        <w:rPr>
          <w:snapToGrid w:val="0"/>
          <w:sz w:val="22"/>
          <w:szCs w:val="22"/>
          <w:lang w:val="sk-SK"/>
        </w:rPr>
        <w:t>stanovená</w:t>
      </w:r>
      <w:r w:rsidR="00D26870" w:rsidRPr="00652B9D">
        <w:rPr>
          <w:snapToGrid w:val="0"/>
          <w:sz w:val="22"/>
          <w:szCs w:val="22"/>
          <w:lang w:val="sk-SK"/>
        </w:rPr>
        <w:t xml:space="preserve"> v štúdiách trvajúcich až 12</w:t>
      </w:r>
      <w:r w:rsidR="007317D8">
        <w:rPr>
          <w:sz w:val="22"/>
          <w:szCs w:val="22"/>
          <w:lang w:val="sk-SK"/>
        </w:rPr>
        <w:t> </w:t>
      </w:r>
      <w:r w:rsidR="00D26870" w:rsidRPr="00652B9D">
        <w:rPr>
          <w:snapToGrid w:val="0"/>
          <w:sz w:val="22"/>
          <w:szCs w:val="22"/>
          <w:lang w:val="sk-SK"/>
        </w:rPr>
        <w:t>týždňov.</w:t>
      </w:r>
    </w:p>
    <w:p w14:paraId="282EAD0D" w14:textId="77777777" w:rsidR="00B843DF" w:rsidRPr="00652B9D" w:rsidRDefault="00197D01" w:rsidP="005F241E">
      <w:pPr>
        <w:rPr>
          <w:snapToGrid w:val="0"/>
          <w:sz w:val="22"/>
          <w:szCs w:val="22"/>
          <w:lang w:val="sk-SK"/>
        </w:rPr>
      </w:pPr>
      <w:r>
        <w:rPr>
          <w:snapToGrid w:val="0"/>
          <w:sz w:val="22"/>
          <w:szCs w:val="22"/>
          <w:lang w:val="sk-SK"/>
        </w:rPr>
        <w:t>U neimúnnych jedincov bola priemerná dĺžka expozície v klinických štúdiách 27 dní.</w:t>
      </w:r>
    </w:p>
    <w:p w14:paraId="21B194C8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34A573F4" w14:textId="77777777" w:rsidR="00B843DF" w:rsidRPr="00652B9D" w:rsidRDefault="00B843DF" w:rsidP="005F241E">
      <w:pPr>
        <w:rPr>
          <w:bCs/>
          <w:i/>
          <w:iCs/>
          <w:sz w:val="22"/>
          <w:szCs w:val="22"/>
          <w:lang w:val="sk-SK"/>
        </w:rPr>
      </w:pPr>
      <w:r w:rsidRPr="00652B9D">
        <w:rPr>
          <w:bCs/>
          <w:i/>
          <w:iCs/>
          <w:sz w:val="22"/>
          <w:szCs w:val="22"/>
          <w:lang w:val="sk-SK"/>
        </w:rPr>
        <w:t>D</w:t>
      </w:r>
      <w:r w:rsidR="00772004" w:rsidRPr="00652B9D">
        <w:rPr>
          <w:bCs/>
          <w:i/>
          <w:iCs/>
          <w:sz w:val="22"/>
          <w:szCs w:val="22"/>
          <w:lang w:val="sk-SK"/>
        </w:rPr>
        <w:t>ávkovanie u dospelých</w:t>
      </w:r>
    </w:p>
    <w:p w14:paraId="4A5E336D" w14:textId="77777777" w:rsidR="00A97DD5" w:rsidRPr="00652B9D" w:rsidRDefault="00A97DD5" w:rsidP="005F241E">
      <w:pPr>
        <w:rPr>
          <w:snapToGrid w:val="0"/>
          <w:sz w:val="22"/>
          <w:szCs w:val="22"/>
          <w:lang w:val="sk-SK"/>
        </w:rPr>
      </w:pPr>
    </w:p>
    <w:p w14:paraId="1AE7C9FF" w14:textId="77777777" w:rsidR="00B843DF" w:rsidRPr="00652B9D" w:rsidRDefault="00772004" w:rsidP="005F241E">
      <w:pPr>
        <w:rPr>
          <w:snapToGrid w:val="0"/>
          <w:sz w:val="22"/>
          <w:szCs w:val="22"/>
          <w:lang w:val="sk-SK"/>
        </w:rPr>
      </w:pPr>
      <w:r w:rsidRPr="00652B9D">
        <w:rPr>
          <w:snapToGrid w:val="0"/>
          <w:sz w:val="22"/>
          <w:szCs w:val="22"/>
          <w:lang w:val="sk-SK"/>
        </w:rPr>
        <w:t>Jedna tableta</w:t>
      </w:r>
      <w:r w:rsidR="00B843DF" w:rsidRPr="00652B9D">
        <w:rPr>
          <w:snapToGrid w:val="0"/>
          <w:sz w:val="22"/>
          <w:szCs w:val="22"/>
          <w:lang w:val="sk-SK"/>
        </w:rPr>
        <w:t xml:space="preserve"> </w:t>
      </w:r>
      <w:proofErr w:type="spellStart"/>
      <w:r w:rsidR="00B843DF" w:rsidRPr="00652B9D">
        <w:rPr>
          <w:snapToGrid w:val="0"/>
          <w:sz w:val="22"/>
          <w:szCs w:val="22"/>
          <w:lang w:val="sk-SK"/>
        </w:rPr>
        <w:t>Malarone</w:t>
      </w:r>
      <w:proofErr w:type="spellEnd"/>
      <w:r w:rsidR="00B843DF" w:rsidRPr="00652B9D">
        <w:rPr>
          <w:snapToGrid w:val="0"/>
          <w:sz w:val="22"/>
          <w:szCs w:val="22"/>
          <w:lang w:val="sk-SK"/>
        </w:rPr>
        <w:t xml:space="preserve"> d</w:t>
      </w:r>
      <w:r w:rsidRPr="00652B9D">
        <w:rPr>
          <w:snapToGrid w:val="0"/>
          <w:sz w:val="22"/>
          <w:szCs w:val="22"/>
          <w:lang w:val="sk-SK"/>
        </w:rPr>
        <w:t>enne</w:t>
      </w:r>
      <w:r w:rsidR="00B843DF" w:rsidRPr="00652B9D">
        <w:rPr>
          <w:snapToGrid w:val="0"/>
          <w:sz w:val="22"/>
          <w:szCs w:val="22"/>
          <w:lang w:val="sk-SK"/>
        </w:rPr>
        <w:t>.</w:t>
      </w:r>
    </w:p>
    <w:p w14:paraId="493CF69B" w14:textId="77777777" w:rsidR="00B843DF" w:rsidRPr="00652B9D" w:rsidRDefault="00B843DF" w:rsidP="005F241E">
      <w:pPr>
        <w:rPr>
          <w:snapToGrid w:val="0"/>
          <w:sz w:val="22"/>
          <w:szCs w:val="22"/>
          <w:lang w:val="sk-SK"/>
        </w:rPr>
      </w:pPr>
    </w:p>
    <w:p w14:paraId="42CD7046" w14:textId="77777777" w:rsidR="00BF7E6A" w:rsidRDefault="00B843DF" w:rsidP="005F241E">
      <w:pPr>
        <w:rPr>
          <w:snapToGrid w:val="0"/>
          <w:sz w:val="22"/>
          <w:szCs w:val="22"/>
          <w:lang w:val="sk-SK"/>
        </w:rPr>
      </w:pPr>
      <w:proofErr w:type="spellStart"/>
      <w:r w:rsidRPr="00652B9D">
        <w:rPr>
          <w:snapToGrid w:val="0"/>
          <w:sz w:val="22"/>
          <w:szCs w:val="22"/>
          <w:lang w:val="sk-SK"/>
        </w:rPr>
        <w:t>Malarone</w:t>
      </w:r>
      <w:proofErr w:type="spellEnd"/>
      <w:r w:rsidRPr="00652B9D">
        <w:rPr>
          <w:snapToGrid w:val="0"/>
          <w:sz w:val="22"/>
          <w:szCs w:val="22"/>
          <w:lang w:val="sk-SK"/>
        </w:rPr>
        <w:t xml:space="preserve"> </w:t>
      </w:r>
      <w:r w:rsidR="00A9488E" w:rsidRPr="00652B9D">
        <w:rPr>
          <w:snapToGrid w:val="0"/>
          <w:sz w:val="22"/>
          <w:szCs w:val="22"/>
          <w:lang w:val="sk-SK"/>
        </w:rPr>
        <w:t xml:space="preserve">tablety </w:t>
      </w:r>
      <w:r w:rsidR="00772004" w:rsidRPr="00652B9D">
        <w:rPr>
          <w:snapToGrid w:val="0"/>
          <w:sz w:val="22"/>
          <w:szCs w:val="22"/>
          <w:lang w:val="sk-SK"/>
        </w:rPr>
        <w:t xml:space="preserve">sa neodporúčajú na profylaxiu malárie u osôb s telesnou hmotnosťou nižšou ako </w:t>
      </w:r>
      <w:smartTag w:uri="urn:schemas-microsoft-com:office:smarttags" w:element="metricconverter">
        <w:smartTagPr>
          <w:attr w:name="ProductID" w:val="40ﾠkg"/>
        </w:smartTagPr>
        <w:r w:rsidRPr="00652B9D">
          <w:rPr>
            <w:snapToGrid w:val="0"/>
            <w:sz w:val="22"/>
            <w:szCs w:val="22"/>
            <w:lang w:val="sk-SK"/>
          </w:rPr>
          <w:t>40</w:t>
        </w:r>
        <w:r w:rsidR="00A9488E" w:rsidRPr="00652B9D">
          <w:rPr>
            <w:snapToGrid w:val="0"/>
            <w:sz w:val="22"/>
            <w:szCs w:val="22"/>
            <w:lang w:val="sk-SK"/>
          </w:rPr>
          <w:t> </w:t>
        </w:r>
        <w:r w:rsidRPr="00652B9D">
          <w:rPr>
            <w:snapToGrid w:val="0"/>
            <w:sz w:val="22"/>
            <w:szCs w:val="22"/>
            <w:lang w:val="sk-SK"/>
          </w:rPr>
          <w:t>kg</w:t>
        </w:r>
      </w:smartTag>
      <w:r w:rsidRPr="00652B9D">
        <w:rPr>
          <w:snapToGrid w:val="0"/>
          <w:sz w:val="22"/>
          <w:szCs w:val="22"/>
          <w:lang w:val="sk-SK"/>
        </w:rPr>
        <w:t>.</w:t>
      </w:r>
    </w:p>
    <w:p w14:paraId="5E5910B5" w14:textId="77777777" w:rsidR="00606501" w:rsidRPr="00652B9D" w:rsidRDefault="00606501" w:rsidP="005F241E">
      <w:pPr>
        <w:rPr>
          <w:snapToGrid w:val="0"/>
          <w:sz w:val="22"/>
          <w:szCs w:val="22"/>
          <w:lang w:val="sk-SK"/>
        </w:rPr>
      </w:pPr>
      <w:r>
        <w:rPr>
          <w:snapToGrid w:val="0"/>
          <w:sz w:val="22"/>
          <w:szCs w:val="22"/>
          <w:lang w:val="sk-SK"/>
        </w:rPr>
        <w:t xml:space="preserve">Na profylaxiu malárie u osôb, ktoré vážia &lt; 40 kg, sa odporúčajú tablety </w:t>
      </w:r>
      <w:proofErr w:type="spellStart"/>
      <w:r>
        <w:rPr>
          <w:snapToGrid w:val="0"/>
          <w:sz w:val="22"/>
          <w:szCs w:val="22"/>
          <w:lang w:val="sk-SK"/>
        </w:rPr>
        <w:t>Malarone</w:t>
      </w:r>
      <w:proofErr w:type="spellEnd"/>
      <w:r>
        <w:rPr>
          <w:snapToGrid w:val="0"/>
          <w:sz w:val="22"/>
          <w:szCs w:val="22"/>
          <w:lang w:val="sk-SK"/>
        </w:rPr>
        <w:t xml:space="preserve"> určené pre deti.</w:t>
      </w:r>
    </w:p>
    <w:p w14:paraId="19E2E372" w14:textId="77777777" w:rsidR="00BF7E6A" w:rsidRPr="00652B9D" w:rsidRDefault="00BF7E6A" w:rsidP="005F241E">
      <w:pPr>
        <w:rPr>
          <w:snapToGrid w:val="0"/>
          <w:sz w:val="22"/>
          <w:szCs w:val="22"/>
          <w:lang w:val="sk-SK"/>
        </w:rPr>
      </w:pPr>
    </w:p>
    <w:p w14:paraId="303C5146" w14:textId="77777777" w:rsidR="00B843DF" w:rsidRPr="00652B9D" w:rsidRDefault="00772004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u w:val="single"/>
          <w:lang w:val="sk-SK"/>
        </w:rPr>
        <w:t>L</w:t>
      </w:r>
      <w:r w:rsidR="00C535C3" w:rsidRPr="00652B9D">
        <w:rPr>
          <w:sz w:val="22"/>
          <w:szCs w:val="22"/>
          <w:u w:val="single"/>
          <w:lang w:val="sk-SK"/>
        </w:rPr>
        <w:t>iečba</w:t>
      </w:r>
    </w:p>
    <w:p w14:paraId="1506C180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3F3A0186" w14:textId="77777777" w:rsidR="00B843DF" w:rsidRPr="00652B9D" w:rsidRDefault="00B843DF" w:rsidP="005F241E">
      <w:pPr>
        <w:rPr>
          <w:bCs/>
          <w:i/>
          <w:iCs/>
          <w:sz w:val="22"/>
          <w:szCs w:val="22"/>
          <w:lang w:val="sk-SK"/>
        </w:rPr>
      </w:pPr>
      <w:r w:rsidRPr="00652B9D">
        <w:rPr>
          <w:bCs/>
          <w:i/>
          <w:iCs/>
          <w:sz w:val="22"/>
          <w:szCs w:val="22"/>
          <w:lang w:val="sk-SK"/>
        </w:rPr>
        <w:t>D</w:t>
      </w:r>
      <w:r w:rsidR="00772004" w:rsidRPr="00652B9D">
        <w:rPr>
          <w:bCs/>
          <w:i/>
          <w:iCs/>
          <w:sz w:val="22"/>
          <w:szCs w:val="22"/>
          <w:lang w:val="sk-SK"/>
        </w:rPr>
        <w:t>ávkovanie u dospelých</w:t>
      </w:r>
    </w:p>
    <w:p w14:paraId="2F594A19" w14:textId="77777777" w:rsidR="00A97DD5" w:rsidRPr="00652B9D" w:rsidRDefault="00A97DD5" w:rsidP="005F241E">
      <w:pPr>
        <w:rPr>
          <w:sz w:val="22"/>
          <w:szCs w:val="22"/>
          <w:lang w:val="sk-SK"/>
        </w:rPr>
      </w:pPr>
    </w:p>
    <w:p w14:paraId="0F7C6173" w14:textId="77777777" w:rsidR="00B843DF" w:rsidRPr="00652B9D" w:rsidRDefault="00772004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Štyri tablety </w:t>
      </w:r>
      <w:proofErr w:type="spellStart"/>
      <w:r w:rsidR="00B843DF" w:rsidRPr="00652B9D">
        <w:rPr>
          <w:sz w:val="22"/>
          <w:szCs w:val="22"/>
          <w:lang w:val="sk-SK"/>
        </w:rPr>
        <w:t>Malarone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ako jednorazová dávka počas troch po sebe nasledujúcich dní. </w:t>
      </w:r>
    </w:p>
    <w:p w14:paraId="31B32D61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41E0A958" w14:textId="77777777" w:rsidR="00B843DF" w:rsidRPr="00652B9D" w:rsidRDefault="00772004" w:rsidP="005F241E">
      <w:pPr>
        <w:rPr>
          <w:bCs/>
          <w:i/>
          <w:iCs/>
          <w:sz w:val="22"/>
          <w:szCs w:val="22"/>
          <w:lang w:val="sk-SK"/>
        </w:rPr>
      </w:pPr>
      <w:r w:rsidRPr="00652B9D">
        <w:rPr>
          <w:bCs/>
          <w:i/>
          <w:iCs/>
          <w:sz w:val="22"/>
          <w:szCs w:val="22"/>
          <w:lang w:val="sk-SK"/>
        </w:rPr>
        <w:t>Dávkovanie u detí</w:t>
      </w:r>
    </w:p>
    <w:p w14:paraId="62CD7D44" w14:textId="77777777" w:rsidR="00A97DD5" w:rsidRPr="00652B9D" w:rsidRDefault="00A97DD5" w:rsidP="005F241E">
      <w:pPr>
        <w:rPr>
          <w:sz w:val="22"/>
          <w:szCs w:val="22"/>
          <w:lang w:val="sk-SK"/>
        </w:rPr>
      </w:pPr>
    </w:p>
    <w:p w14:paraId="004B93EA" w14:textId="77777777" w:rsidR="00B843DF" w:rsidRPr="00652B9D" w:rsidRDefault="00B843DF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11</w:t>
      </w:r>
      <w:r w:rsidR="007317D8">
        <w:rPr>
          <w:sz w:val="22"/>
          <w:szCs w:val="22"/>
          <w:lang w:val="sk-SK"/>
        </w:rPr>
        <w:t> </w:t>
      </w:r>
      <w:r w:rsidR="007317D8">
        <w:rPr>
          <w:sz w:val="22"/>
          <w:szCs w:val="22"/>
          <w:lang w:val="sk-SK"/>
        </w:rPr>
        <w:noBreakHyphen/>
        <w:t> </w:t>
      </w:r>
      <w:smartTag w:uri="urn:schemas-microsoft-com:office:smarttags" w:element="metricconverter">
        <w:smartTagPr>
          <w:attr w:name="ProductID" w:val="20ﾠkg"/>
        </w:smartTagPr>
        <w:r w:rsidRPr="00652B9D">
          <w:rPr>
            <w:sz w:val="22"/>
            <w:szCs w:val="22"/>
            <w:lang w:val="sk-SK"/>
          </w:rPr>
          <w:t>20</w:t>
        </w:r>
        <w:r w:rsidR="00481ED7">
          <w:rPr>
            <w:sz w:val="22"/>
            <w:szCs w:val="22"/>
            <w:lang w:val="sk-SK"/>
          </w:rPr>
          <w:t> </w:t>
        </w:r>
        <w:r w:rsidRPr="00652B9D">
          <w:rPr>
            <w:sz w:val="22"/>
            <w:szCs w:val="22"/>
            <w:lang w:val="sk-SK"/>
          </w:rPr>
          <w:t>kg</w:t>
        </w:r>
      </w:smartTag>
      <w:r w:rsidRPr="00652B9D">
        <w:rPr>
          <w:sz w:val="22"/>
          <w:szCs w:val="22"/>
          <w:lang w:val="sk-SK"/>
        </w:rPr>
        <w:t xml:space="preserve"> </w:t>
      </w:r>
      <w:r w:rsidR="00772004" w:rsidRPr="00652B9D">
        <w:rPr>
          <w:sz w:val="22"/>
          <w:szCs w:val="22"/>
          <w:lang w:val="sk-SK"/>
        </w:rPr>
        <w:t>telesnej hmotnosti</w:t>
      </w:r>
      <w:r w:rsidR="00A9488E" w:rsidRPr="00652B9D">
        <w:rPr>
          <w:sz w:val="22"/>
          <w:szCs w:val="22"/>
          <w:lang w:val="sk-SK"/>
        </w:rPr>
        <w:t>:</w:t>
      </w:r>
      <w:r w:rsidRPr="00652B9D">
        <w:rPr>
          <w:sz w:val="22"/>
          <w:szCs w:val="22"/>
          <w:lang w:val="sk-SK"/>
        </w:rPr>
        <w:tab/>
      </w:r>
      <w:r w:rsidR="00A9488E" w:rsidRPr="00652B9D">
        <w:rPr>
          <w:sz w:val="22"/>
          <w:szCs w:val="22"/>
          <w:lang w:val="sk-SK"/>
        </w:rPr>
        <w:t>j</w:t>
      </w:r>
      <w:r w:rsidR="00772004" w:rsidRPr="00652B9D">
        <w:rPr>
          <w:sz w:val="22"/>
          <w:szCs w:val="22"/>
          <w:lang w:val="sk-SK"/>
        </w:rPr>
        <w:t>edna tableta denne počas troch po sebe nasledujúcich dní</w:t>
      </w:r>
      <w:r w:rsidRPr="00652B9D">
        <w:rPr>
          <w:sz w:val="22"/>
          <w:szCs w:val="22"/>
          <w:lang w:val="sk-SK"/>
        </w:rPr>
        <w:t>.</w:t>
      </w:r>
    </w:p>
    <w:p w14:paraId="6E76354C" w14:textId="77777777" w:rsidR="00B843DF" w:rsidRPr="00652B9D" w:rsidRDefault="00B843DF" w:rsidP="005F241E">
      <w:pPr>
        <w:ind w:left="2835" w:hanging="2835"/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21</w:t>
      </w:r>
      <w:r w:rsidR="007317D8">
        <w:rPr>
          <w:sz w:val="22"/>
          <w:szCs w:val="22"/>
          <w:lang w:val="sk-SK"/>
        </w:rPr>
        <w:t> </w:t>
      </w:r>
      <w:r w:rsidR="007317D8">
        <w:rPr>
          <w:sz w:val="22"/>
          <w:szCs w:val="22"/>
          <w:lang w:val="sk-SK"/>
        </w:rPr>
        <w:noBreakHyphen/>
        <w:t> </w:t>
      </w:r>
      <w:smartTag w:uri="urn:schemas-microsoft-com:office:smarttags" w:element="metricconverter">
        <w:smartTagPr>
          <w:attr w:name="ProductID" w:val="30ﾠkg"/>
        </w:smartTagPr>
        <w:r w:rsidRPr="00652B9D">
          <w:rPr>
            <w:sz w:val="22"/>
            <w:szCs w:val="22"/>
            <w:lang w:val="sk-SK"/>
          </w:rPr>
          <w:t>30</w:t>
        </w:r>
        <w:r w:rsidR="00481ED7">
          <w:rPr>
            <w:sz w:val="22"/>
            <w:szCs w:val="22"/>
            <w:lang w:val="sk-SK"/>
          </w:rPr>
          <w:t> </w:t>
        </w:r>
        <w:r w:rsidRPr="00652B9D">
          <w:rPr>
            <w:sz w:val="22"/>
            <w:szCs w:val="22"/>
            <w:lang w:val="sk-SK"/>
          </w:rPr>
          <w:t>kg</w:t>
        </w:r>
      </w:smartTag>
      <w:r w:rsidRPr="00652B9D">
        <w:rPr>
          <w:sz w:val="22"/>
          <w:szCs w:val="22"/>
          <w:lang w:val="sk-SK"/>
        </w:rPr>
        <w:t xml:space="preserve"> </w:t>
      </w:r>
      <w:r w:rsidR="00772004" w:rsidRPr="00652B9D">
        <w:rPr>
          <w:sz w:val="22"/>
          <w:szCs w:val="22"/>
          <w:lang w:val="sk-SK"/>
        </w:rPr>
        <w:t>telesnej hmotnosti</w:t>
      </w:r>
      <w:r w:rsidR="00A9488E" w:rsidRPr="00652B9D">
        <w:rPr>
          <w:sz w:val="22"/>
          <w:szCs w:val="22"/>
          <w:lang w:val="sk-SK"/>
        </w:rPr>
        <w:t>:</w:t>
      </w:r>
      <w:r w:rsidRPr="00652B9D">
        <w:rPr>
          <w:sz w:val="22"/>
          <w:szCs w:val="22"/>
          <w:lang w:val="sk-SK"/>
        </w:rPr>
        <w:tab/>
      </w:r>
      <w:r w:rsidR="00A9488E" w:rsidRPr="00652B9D">
        <w:rPr>
          <w:sz w:val="22"/>
          <w:szCs w:val="22"/>
          <w:lang w:val="sk-SK"/>
        </w:rPr>
        <w:t>d</w:t>
      </w:r>
      <w:r w:rsidR="00772004" w:rsidRPr="00652B9D">
        <w:rPr>
          <w:sz w:val="22"/>
          <w:szCs w:val="22"/>
          <w:lang w:val="sk-SK"/>
        </w:rPr>
        <w:t xml:space="preserve">ve tablety ako jednorazová dávka počas troch po sebe </w:t>
      </w:r>
      <w:r w:rsidR="00A9488E" w:rsidRPr="00652B9D">
        <w:rPr>
          <w:sz w:val="22"/>
          <w:szCs w:val="22"/>
          <w:lang w:val="sk-SK"/>
        </w:rPr>
        <w:t>n</w:t>
      </w:r>
      <w:r w:rsidR="00772004" w:rsidRPr="00652B9D">
        <w:rPr>
          <w:sz w:val="22"/>
          <w:szCs w:val="22"/>
          <w:lang w:val="sk-SK"/>
        </w:rPr>
        <w:t>asledujúcich dní.</w:t>
      </w:r>
    </w:p>
    <w:p w14:paraId="47E794C7" w14:textId="77777777" w:rsidR="00B843DF" w:rsidRPr="00652B9D" w:rsidRDefault="00B843DF" w:rsidP="005F241E">
      <w:pPr>
        <w:ind w:left="2835" w:hanging="2835"/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31</w:t>
      </w:r>
      <w:r w:rsidR="007317D8">
        <w:rPr>
          <w:sz w:val="22"/>
          <w:szCs w:val="22"/>
          <w:lang w:val="sk-SK"/>
        </w:rPr>
        <w:t> </w:t>
      </w:r>
      <w:r w:rsidR="007317D8">
        <w:rPr>
          <w:sz w:val="22"/>
          <w:szCs w:val="22"/>
          <w:lang w:val="sk-SK"/>
        </w:rPr>
        <w:noBreakHyphen/>
        <w:t> </w:t>
      </w:r>
      <w:smartTag w:uri="urn:schemas-microsoft-com:office:smarttags" w:element="metricconverter">
        <w:smartTagPr>
          <w:attr w:name="ProductID" w:val="40ﾠkg"/>
        </w:smartTagPr>
        <w:r w:rsidRPr="00652B9D">
          <w:rPr>
            <w:sz w:val="22"/>
            <w:szCs w:val="22"/>
            <w:lang w:val="sk-SK"/>
          </w:rPr>
          <w:t>40</w:t>
        </w:r>
        <w:r w:rsidR="00481ED7">
          <w:rPr>
            <w:sz w:val="22"/>
            <w:szCs w:val="22"/>
            <w:lang w:val="sk-SK"/>
          </w:rPr>
          <w:t> </w:t>
        </w:r>
        <w:r w:rsidRPr="00652B9D">
          <w:rPr>
            <w:sz w:val="22"/>
            <w:szCs w:val="22"/>
            <w:lang w:val="sk-SK"/>
          </w:rPr>
          <w:t>kg</w:t>
        </w:r>
      </w:smartTag>
      <w:r w:rsidRPr="00652B9D">
        <w:rPr>
          <w:sz w:val="22"/>
          <w:szCs w:val="22"/>
          <w:lang w:val="sk-SK"/>
        </w:rPr>
        <w:t xml:space="preserve"> </w:t>
      </w:r>
      <w:r w:rsidR="00772004" w:rsidRPr="00652B9D">
        <w:rPr>
          <w:sz w:val="22"/>
          <w:szCs w:val="22"/>
          <w:lang w:val="sk-SK"/>
        </w:rPr>
        <w:t>telesnej hmotnosti</w:t>
      </w:r>
      <w:r w:rsidR="00A9488E" w:rsidRPr="00652B9D">
        <w:rPr>
          <w:sz w:val="22"/>
          <w:szCs w:val="22"/>
          <w:lang w:val="sk-SK"/>
        </w:rPr>
        <w:t>:</w:t>
      </w:r>
      <w:r w:rsidRPr="00652B9D">
        <w:rPr>
          <w:sz w:val="22"/>
          <w:szCs w:val="22"/>
          <w:lang w:val="sk-SK"/>
        </w:rPr>
        <w:tab/>
      </w:r>
      <w:r w:rsidR="00A9488E" w:rsidRPr="00652B9D">
        <w:rPr>
          <w:sz w:val="22"/>
          <w:szCs w:val="22"/>
          <w:lang w:val="sk-SK"/>
        </w:rPr>
        <w:t>t</w:t>
      </w:r>
      <w:r w:rsidR="00772004" w:rsidRPr="00652B9D">
        <w:rPr>
          <w:sz w:val="22"/>
          <w:szCs w:val="22"/>
          <w:lang w:val="sk-SK"/>
        </w:rPr>
        <w:t xml:space="preserve">ri tablety ako jednorazová dávka počas troch po sebe nasledujúcich </w:t>
      </w:r>
      <w:r w:rsidR="00A9488E" w:rsidRPr="00652B9D">
        <w:rPr>
          <w:sz w:val="22"/>
          <w:szCs w:val="22"/>
          <w:lang w:val="sk-SK"/>
        </w:rPr>
        <w:tab/>
      </w:r>
      <w:r w:rsidR="00772004" w:rsidRPr="00652B9D">
        <w:rPr>
          <w:sz w:val="22"/>
          <w:szCs w:val="22"/>
          <w:lang w:val="sk-SK"/>
        </w:rPr>
        <w:t>dní</w:t>
      </w:r>
      <w:r w:rsidRPr="00652B9D">
        <w:rPr>
          <w:sz w:val="22"/>
          <w:szCs w:val="22"/>
          <w:lang w:val="sk-SK"/>
        </w:rPr>
        <w:t>.</w:t>
      </w:r>
    </w:p>
    <w:p w14:paraId="1A437B60" w14:textId="77777777" w:rsidR="00B843DF" w:rsidRPr="00652B9D" w:rsidRDefault="00A9488E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&gt;</w:t>
      </w:r>
      <w:r w:rsidR="00512B43" w:rsidRPr="00652B9D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40</w:t>
      </w:r>
      <w:r w:rsidR="00481ED7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 xml:space="preserve">kg </w:t>
      </w:r>
      <w:r w:rsidR="00772004" w:rsidRPr="00652B9D">
        <w:rPr>
          <w:sz w:val="22"/>
          <w:szCs w:val="22"/>
          <w:lang w:val="sk-SK"/>
        </w:rPr>
        <w:t>telesnej hmotnosti</w:t>
      </w:r>
      <w:r w:rsidRPr="00652B9D">
        <w:rPr>
          <w:sz w:val="22"/>
          <w:szCs w:val="22"/>
          <w:lang w:val="sk-SK"/>
        </w:rPr>
        <w:t>:</w:t>
      </w:r>
      <w:r w:rsidR="00B843DF" w:rsidRPr="00652B9D">
        <w:rPr>
          <w:sz w:val="22"/>
          <w:szCs w:val="22"/>
          <w:lang w:val="sk-SK"/>
        </w:rPr>
        <w:tab/>
      </w:r>
      <w:r w:rsidRPr="00652B9D">
        <w:rPr>
          <w:sz w:val="22"/>
          <w:szCs w:val="22"/>
          <w:lang w:val="sk-SK"/>
        </w:rPr>
        <w:t>d</w:t>
      </w:r>
      <w:r w:rsidR="00772004" w:rsidRPr="00652B9D">
        <w:rPr>
          <w:sz w:val="22"/>
          <w:szCs w:val="22"/>
          <w:lang w:val="sk-SK"/>
        </w:rPr>
        <w:t>ávka ako pre dospelých</w:t>
      </w:r>
      <w:r w:rsidR="00B843DF" w:rsidRPr="00652B9D">
        <w:rPr>
          <w:sz w:val="22"/>
          <w:szCs w:val="22"/>
          <w:lang w:val="sk-SK"/>
        </w:rPr>
        <w:t>.</w:t>
      </w:r>
    </w:p>
    <w:p w14:paraId="29E0C6A0" w14:textId="77777777" w:rsidR="00B843DF" w:rsidRPr="00652B9D" w:rsidRDefault="00B843DF" w:rsidP="005F241E">
      <w:pPr>
        <w:rPr>
          <w:i/>
          <w:sz w:val="22"/>
          <w:szCs w:val="22"/>
          <w:lang w:val="sk-SK"/>
        </w:rPr>
      </w:pPr>
    </w:p>
    <w:p w14:paraId="2F30BD2C" w14:textId="77777777" w:rsidR="00B843DF" w:rsidRPr="00652B9D" w:rsidRDefault="00B843DF" w:rsidP="005F241E">
      <w:pPr>
        <w:rPr>
          <w:bCs/>
          <w:i/>
          <w:iCs/>
          <w:sz w:val="22"/>
          <w:szCs w:val="22"/>
          <w:lang w:val="sk-SK"/>
        </w:rPr>
      </w:pPr>
      <w:r w:rsidRPr="00652B9D">
        <w:rPr>
          <w:bCs/>
          <w:i/>
          <w:iCs/>
          <w:sz w:val="22"/>
          <w:szCs w:val="22"/>
          <w:lang w:val="sk-SK"/>
        </w:rPr>
        <w:t>D</w:t>
      </w:r>
      <w:r w:rsidR="00772004" w:rsidRPr="00652B9D">
        <w:rPr>
          <w:bCs/>
          <w:i/>
          <w:iCs/>
          <w:sz w:val="22"/>
          <w:szCs w:val="22"/>
          <w:lang w:val="sk-SK"/>
        </w:rPr>
        <w:t>ávkovanie u starších osôb</w:t>
      </w:r>
    </w:p>
    <w:p w14:paraId="7BD5FAAD" w14:textId="77777777" w:rsidR="00A97DD5" w:rsidRPr="00652B9D" w:rsidRDefault="00A97DD5" w:rsidP="005F241E">
      <w:pPr>
        <w:rPr>
          <w:sz w:val="22"/>
          <w:szCs w:val="22"/>
          <w:lang w:val="sk-SK"/>
        </w:rPr>
      </w:pPr>
    </w:p>
    <w:p w14:paraId="5AFEB9CE" w14:textId="77777777" w:rsidR="00B843DF" w:rsidRPr="00652B9D" w:rsidRDefault="00772004" w:rsidP="005F241E">
      <w:pPr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t>Farmakokinetická</w:t>
      </w:r>
      <w:proofErr w:type="spellEnd"/>
      <w:r w:rsidRPr="00652B9D">
        <w:rPr>
          <w:sz w:val="22"/>
          <w:szCs w:val="22"/>
          <w:lang w:val="sk-SK"/>
        </w:rPr>
        <w:t xml:space="preserve"> štúdia svedčí o tom, že u starších pacientov nie sú potrebné žiadne úpravy dávky</w:t>
      </w:r>
      <w:r w:rsidR="00B843DF" w:rsidRPr="00652B9D">
        <w:rPr>
          <w:sz w:val="22"/>
          <w:szCs w:val="22"/>
          <w:lang w:val="sk-SK"/>
        </w:rPr>
        <w:t xml:space="preserve"> (</w:t>
      </w:r>
      <w:r w:rsidRPr="00652B9D">
        <w:rPr>
          <w:sz w:val="22"/>
          <w:szCs w:val="22"/>
          <w:lang w:val="sk-SK"/>
        </w:rPr>
        <w:t>pozri časť</w:t>
      </w:r>
      <w:r w:rsidR="003B76C1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5.2).</w:t>
      </w:r>
    </w:p>
    <w:p w14:paraId="792AF085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7F5A129A" w14:textId="77777777" w:rsidR="00B843DF" w:rsidRPr="00652B9D" w:rsidRDefault="00B843DF" w:rsidP="005F241E">
      <w:pPr>
        <w:rPr>
          <w:bCs/>
          <w:i/>
          <w:iCs/>
          <w:sz w:val="22"/>
          <w:szCs w:val="22"/>
          <w:lang w:val="sk-SK"/>
        </w:rPr>
      </w:pPr>
      <w:r w:rsidRPr="00652B9D">
        <w:rPr>
          <w:bCs/>
          <w:i/>
          <w:iCs/>
          <w:sz w:val="22"/>
          <w:szCs w:val="22"/>
          <w:lang w:val="sk-SK"/>
        </w:rPr>
        <w:t>D</w:t>
      </w:r>
      <w:r w:rsidR="00772004" w:rsidRPr="00652B9D">
        <w:rPr>
          <w:bCs/>
          <w:i/>
          <w:iCs/>
          <w:sz w:val="22"/>
          <w:szCs w:val="22"/>
          <w:lang w:val="sk-SK"/>
        </w:rPr>
        <w:t>ávkovanie u pacientov s poruchou funkcie pečene</w:t>
      </w:r>
    </w:p>
    <w:p w14:paraId="3D889A8D" w14:textId="77777777" w:rsidR="00A97DD5" w:rsidRPr="00652B9D" w:rsidRDefault="00A97DD5" w:rsidP="005F241E">
      <w:pPr>
        <w:rPr>
          <w:sz w:val="22"/>
          <w:szCs w:val="22"/>
          <w:lang w:val="sk-SK"/>
        </w:rPr>
      </w:pPr>
    </w:p>
    <w:p w14:paraId="3C9DEFC2" w14:textId="77777777" w:rsidR="00B843DF" w:rsidRPr="00652B9D" w:rsidRDefault="00772004" w:rsidP="005F241E">
      <w:pPr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t>Farmakokinetická</w:t>
      </w:r>
      <w:proofErr w:type="spellEnd"/>
      <w:r w:rsidRPr="00652B9D">
        <w:rPr>
          <w:sz w:val="22"/>
          <w:szCs w:val="22"/>
          <w:lang w:val="sk-SK"/>
        </w:rPr>
        <w:t xml:space="preserve"> štúdia svedčí o tom, že u pacientov s miernou až stredne ťažkou poruchou funkcie pečene nie sú potrebné žiadne úpravy dávky</w:t>
      </w:r>
      <w:r w:rsidR="00B843DF" w:rsidRPr="00652B9D">
        <w:rPr>
          <w:sz w:val="22"/>
          <w:szCs w:val="22"/>
          <w:lang w:val="sk-SK"/>
        </w:rPr>
        <w:t xml:space="preserve">. </w:t>
      </w:r>
      <w:r w:rsidRPr="00652B9D">
        <w:rPr>
          <w:sz w:val="22"/>
          <w:szCs w:val="22"/>
          <w:lang w:val="sk-SK"/>
        </w:rPr>
        <w:t xml:space="preserve">Aj napriek tomu, že </w:t>
      </w:r>
      <w:r w:rsidR="00A9488E" w:rsidRPr="00652B9D">
        <w:rPr>
          <w:sz w:val="22"/>
          <w:szCs w:val="22"/>
          <w:lang w:val="sk-SK"/>
        </w:rPr>
        <w:t xml:space="preserve">sa neuskutočnili žiadne štúdie </w:t>
      </w:r>
      <w:r w:rsidRPr="00652B9D">
        <w:rPr>
          <w:sz w:val="22"/>
          <w:szCs w:val="22"/>
          <w:lang w:val="sk-SK"/>
        </w:rPr>
        <w:t>u</w:t>
      </w:r>
      <w:r w:rsidR="003B76C1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 xml:space="preserve">pacientov s ťažkou poruchou pečene, </w:t>
      </w:r>
      <w:r w:rsidR="006E5277" w:rsidRPr="00652B9D">
        <w:rPr>
          <w:sz w:val="22"/>
          <w:szCs w:val="22"/>
          <w:lang w:val="sk-SK"/>
        </w:rPr>
        <w:t xml:space="preserve">nie sú potrebné </w:t>
      </w:r>
      <w:r w:rsidRPr="00652B9D">
        <w:rPr>
          <w:sz w:val="22"/>
          <w:szCs w:val="22"/>
          <w:lang w:val="sk-SK"/>
        </w:rPr>
        <w:t xml:space="preserve">žiadne </w:t>
      </w:r>
      <w:r w:rsidR="009858E3" w:rsidRPr="00652B9D">
        <w:rPr>
          <w:sz w:val="22"/>
          <w:szCs w:val="22"/>
          <w:lang w:val="sk-SK"/>
        </w:rPr>
        <w:t>osobitné</w:t>
      </w:r>
      <w:r w:rsidRPr="00652B9D">
        <w:rPr>
          <w:sz w:val="22"/>
          <w:szCs w:val="22"/>
          <w:lang w:val="sk-SK"/>
        </w:rPr>
        <w:t xml:space="preserve"> opatrenia alebo úprava dávky</w:t>
      </w:r>
      <w:r w:rsidR="00B843DF" w:rsidRPr="00652B9D">
        <w:rPr>
          <w:sz w:val="22"/>
          <w:szCs w:val="22"/>
          <w:lang w:val="sk-SK"/>
        </w:rPr>
        <w:t xml:space="preserve"> (</w:t>
      </w:r>
      <w:r w:rsidRPr="00652B9D">
        <w:rPr>
          <w:sz w:val="22"/>
          <w:szCs w:val="22"/>
          <w:lang w:val="sk-SK"/>
        </w:rPr>
        <w:t>pozri časť</w:t>
      </w:r>
      <w:r w:rsidR="003B76C1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5.2).</w:t>
      </w:r>
    </w:p>
    <w:p w14:paraId="1203CBD5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36AF6280" w14:textId="77777777" w:rsidR="00B843DF" w:rsidRPr="00652B9D" w:rsidRDefault="00B843DF" w:rsidP="005F241E">
      <w:pPr>
        <w:keepNext/>
        <w:keepLines/>
        <w:rPr>
          <w:bCs/>
          <w:i/>
          <w:iCs/>
          <w:sz w:val="22"/>
          <w:szCs w:val="22"/>
          <w:lang w:val="sk-SK"/>
        </w:rPr>
      </w:pPr>
      <w:r w:rsidRPr="00652B9D">
        <w:rPr>
          <w:bCs/>
          <w:i/>
          <w:iCs/>
          <w:sz w:val="22"/>
          <w:szCs w:val="22"/>
          <w:lang w:val="sk-SK"/>
        </w:rPr>
        <w:lastRenderedPageBreak/>
        <w:t>D</w:t>
      </w:r>
      <w:r w:rsidR="00772004" w:rsidRPr="00652B9D">
        <w:rPr>
          <w:bCs/>
          <w:i/>
          <w:iCs/>
          <w:sz w:val="22"/>
          <w:szCs w:val="22"/>
          <w:lang w:val="sk-SK"/>
        </w:rPr>
        <w:t>ávkovanie u pacientov s poruchou funkcie obličiek</w:t>
      </w:r>
    </w:p>
    <w:p w14:paraId="0162A437" w14:textId="77777777" w:rsidR="00A97DD5" w:rsidRPr="00652B9D" w:rsidRDefault="00A97DD5" w:rsidP="005F241E">
      <w:pPr>
        <w:keepNext/>
        <w:keepLines/>
        <w:rPr>
          <w:sz w:val="22"/>
          <w:szCs w:val="22"/>
          <w:lang w:val="sk-SK"/>
        </w:rPr>
      </w:pPr>
    </w:p>
    <w:p w14:paraId="4042920B" w14:textId="77777777" w:rsidR="00B843DF" w:rsidRPr="00652B9D" w:rsidRDefault="0025034A" w:rsidP="005F241E">
      <w:pPr>
        <w:keepNext/>
        <w:keepLines/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t>Farmakokinetické</w:t>
      </w:r>
      <w:proofErr w:type="spellEnd"/>
      <w:r w:rsidRPr="00652B9D">
        <w:rPr>
          <w:sz w:val="22"/>
          <w:szCs w:val="22"/>
          <w:lang w:val="sk-SK"/>
        </w:rPr>
        <w:t xml:space="preserve"> štúdie svedčia o tom, že u pacientov s miernou až stredne ťažkou poruchou funkcie obličiek nie sú potrebné žiadne úpravy dávky</w:t>
      </w:r>
      <w:r w:rsidR="00B843DF" w:rsidRPr="00652B9D">
        <w:rPr>
          <w:sz w:val="22"/>
          <w:szCs w:val="22"/>
          <w:lang w:val="sk-SK"/>
        </w:rPr>
        <w:t xml:space="preserve">. </w:t>
      </w:r>
      <w:r w:rsidRPr="00652B9D">
        <w:rPr>
          <w:sz w:val="22"/>
          <w:szCs w:val="22"/>
          <w:lang w:val="sk-SK"/>
        </w:rPr>
        <w:t>U pacientov s ťažkou poruchou funkcie obličiek (</w:t>
      </w:r>
      <w:proofErr w:type="spellStart"/>
      <w:r w:rsidRPr="00652B9D">
        <w:rPr>
          <w:sz w:val="22"/>
          <w:szCs w:val="22"/>
          <w:lang w:val="sk-SK"/>
        </w:rPr>
        <w:t>klírens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proofErr w:type="spellStart"/>
      <w:r w:rsidRPr="00652B9D">
        <w:rPr>
          <w:sz w:val="22"/>
          <w:szCs w:val="22"/>
          <w:lang w:val="sk-SK"/>
        </w:rPr>
        <w:t>kreatinínu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r w:rsidR="006E5277" w:rsidRPr="00652B9D">
        <w:rPr>
          <w:sz w:val="22"/>
          <w:szCs w:val="22"/>
          <w:lang w:val="sk-SK"/>
        </w:rPr>
        <w:t>&lt;</w:t>
      </w:r>
      <w:r w:rsidR="00C9419F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30</w:t>
      </w:r>
      <w:r w:rsidR="00C9419F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m</w:t>
      </w:r>
      <w:r w:rsidRPr="00652B9D">
        <w:rPr>
          <w:sz w:val="22"/>
          <w:szCs w:val="22"/>
          <w:lang w:val="sk-SK"/>
        </w:rPr>
        <w:t>l</w:t>
      </w:r>
      <w:r w:rsidR="00B843DF" w:rsidRPr="00652B9D">
        <w:rPr>
          <w:sz w:val="22"/>
          <w:szCs w:val="22"/>
          <w:lang w:val="sk-SK"/>
        </w:rPr>
        <w:t xml:space="preserve">/min) </w:t>
      </w:r>
      <w:r w:rsidRPr="00652B9D">
        <w:rPr>
          <w:sz w:val="22"/>
          <w:szCs w:val="22"/>
          <w:lang w:val="sk-SK"/>
        </w:rPr>
        <w:t xml:space="preserve">sa na liečbu akútnej malárie vyvolanej kmeňom </w:t>
      </w:r>
      <w:r w:rsidRPr="00652B9D">
        <w:rPr>
          <w:i/>
          <w:iCs/>
          <w:sz w:val="22"/>
          <w:szCs w:val="22"/>
          <w:lang w:val="sk-SK"/>
        </w:rPr>
        <w:t xml:space="preserve">P. </w:t>
      </w:r>
      <w:proofErr w:type="spellStart"/>
      <w:r w:rsidRPr="00652B9D">
        <w:rPr>
          <w:i/>
          <w:iCs/>
          <w:sz w:val="22"/>
          <w:szCs w:val="22"/>
          <w:lang w:val="sk-SK"/>
        </w:rPr>
        <w:t>falciparum</w:t>
      </w:r>
      <w:proofErr w:type="spellEnd"/>
      <w:r w:rsidRPr="00652B9D">
        <w:rPr>
          <w:i/>
          <w:iCs/>
          <w:sz w:val="22"/>
          <w:szCs w:val="22"/>
          <w:lang w:val="sk-SK"/>
        </w:rPr>
        <w:t xml:space="preserve"> </w:t>
      </w:r>
      <w:r w:rsidR="006E5277" w:rsidRPr="00652B9D">
        <w:rPr>
          <w:sz w:val="22"/>
          <w:szCs w:val="22"/>
          <w:lang w:val="sk-SK"/>
        </w:rPr>
        <w:t>majú vždy, keď je to možné</w:t>
      </w:r>
      <w:r w:rsidR="00A12476" w:rsidRPr="00652B9D">
        <w:rPr>
          <w:sz w:val="22"/>
          <w:szCs w:val="22"/>
          <w:lang w:val="sk-SK"/>
        </w:rPr>
        <w:t>,</w:t>
      </w:r>
      <w:r w:rsidR="006E5277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odporúčať alternatívy </w:t>
      </w:r>
      <w:proofErr w:type="spellStart"/>
      <w:r w:rsidR="00B843DF" w:rsidRPr="00652B9D">
        <w:rPr>
          <w:sz w:val="22"/>
          <w:szCs w:val="22"/>
          <w:lang w:val="sk-SK"/>
        </w:rPr>
        <w:t>Malarone</w:t>
      </w:r>
      <w:proofErr w:type="spellEnd"/>
      <w:r w:rsidR="00B843DF" w:rsidRPr="00652B9D">
        <w:rPr>
          <w:sz w:val="22"/>
          <w:szCs w:val="22"/>
          <w:lang w:val="sk-SK"/>
        </w:rPr>
        <w:t xml:space="preserve"> (</w:t>
      </w:r>
      <w:r w:rsidRPr="00652B9D">
        <w:rPr>
          <w:sz w:val="22"/>
          <w:szCs w:val="22"/>
          <w:lang w:val="sk-SK"/>
        </w:rPr>
        <w:t>pozri časti</w:t>
      </w:r>
      <w:r w:rsidR="003B76C1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4.4</w:t>
      </w:r>
      <w:r w:rsidR="003B76C1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a</w:t>
      </w:r>
      <w:r w:rsidR="003B76C1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 xml:space="preserve">5.2). </w:t>
      </w:r>
      <w:r w:rsidRPr="00652B9D">
        <w:rPr>
          <w:sz w:val="22"/>
          <w:szCs w:val="22"/>
          <w:lang w:val="sk-SK"/>
        </w:rPr>
        <w:t>P</w:t>
      </w:r>
      <w:r w:rsidR="00B843DF" w:rsidRPr="00652B9D">
        <w:rPr>
          <w:sz w:val="22"/>
          <w:szCs w:val="22"/>
          <w:lang w:val="sk-SK"/>
        </w:rPr>
        <w:t>ro</w:t>
      </w:r>
      <w:r w:rsidRPr="00652B9D">
        <w:rPr>
          <w:sz w:val="22"/>
          <w:szCs w:val="22"/>
          <w:lang w:val="sk-SK"/>
        </w:rPr>
        <w:t>f</w:t>
      </w:r>
      <w:r w:rsidR="00B843DF" w:rsidRPr="00652B9D">
        <w:rPr>
          <w:sz w:val="22"/>
          <w:szCs w:val="22"/>
          <w:lang w:val="sk-SK"/>
        </w:rPr>
        <w:t>ylaxi</w:t>
      </w:r>
      <w:r w:rsidRPr="00652B9D">
        <w:rPr>
          <w:sz w:val="22"/>
          <w:szCs w:val="22"/>
          <w:lang w:val="sk-SK"/>
        </w:rPr>
        <w:t xml:space="preserve">a malárie </w:t>
      </w:r>
      <w:r w:rsidR="009858E3" w:rsidRPr="00652B9D">
        <w:rPr>
          <w:sz w:val="22"/>
          <w:szCs w:val="22"/>
          <w:lang w:val="sk-SK"/>
        </w:rPr>
        <w:t>spôsobe</w:t>
      </w:r>
      <w:r w:rsidRPr="00652B9D">
        <w:rPr>
          <w:sz w:val="22"/>
          <w:szCs w:val="22"/>
          <w:lang w:val="sk-SK"/>
        </w:rPr>
        <w:t xml:space="preserve">nej kmeňom </w:t>
      </w:r>
      <w:r w:rsidR="00B843DF" w:rsidRPr="00652B9D">
        <w:rPr>
          <w:i/>
          <w:sz w:val="22"/>
          <w:szCs w:val="22"/>
          <w:lang w:val="sk-SK"/>
        </w:rPr>
        <w:t xml:space="preserve">P. </w:t>
      </w:r>
      <w:proofErr w:type="spellStart"/>
      <w:r w:rsidR="00B843DF" w:rsidRPr="00652B9D">
        <w:rPr>
          <w:i/>
          <w:sz w:val="22"/>
          <w:szCs w:val="22"/>
          <w:lang w:val="sk-SK"/>
        </w:rPr>
        <w:t>falciparum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u pacientov s ťažkou poruchou funkcie obličiek, pozri časť</w:t>
      </w:r>
      <w:r w:rsidR="003B76C1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4.3.</w:t>
      </w:r>
    </w:p>
    <w:p w14:paraId="54E99573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20173FD6" w14:textId="77777777" w:rsidR="00B843DF" w:rsidRPr="00652B9D" w:rsidRDefault="006E5277" w:rsidP="005F241E">
      <w:pPr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4.3</w:t>
      </w:r>
      <w:r w:rsidR="00A97DD5" w:rsidRPr="00652B9D">
        <w:rPr>
          <w:b/>
          <w:sz w:val="22"/>
          <w:szCs w:val="22"/>
          <w:lang w:val="sk-SK"/>
        </w:rPr>
        <w:tab/>
      </w:r>
      <w:r w:rsidR="0025034A" w:rsidRPr="00652B9D">
        <w:rPr>
          <w:b/>
          <w:sz w:val="22"/>
          <w:szCs w:val="22"/>
          <w:lang w:val="sk-SK"/>
        </w:rPr>
        <w:t>K</w:t>
      </w:r>
      <w:r w:rsidR="00B843DF" w:rsidRPr="00652B9D">
        <w:rPr>
          <w:b/>
          <w:sz w:val="22"/>
          <w:szCs w:val="22"/>
          <w:lang w:val="sk-SK"/>
        </w:rPr>
        <w:t>ontraindi</w:t>
      </w:r>
      <w:r w:rsidR="0025034A" w:rsidRPr="00652B9D">
        <w:rPr>
          <w:b/>
          <w:sz w:val="22"/>
          <w:szCs w:val="22"/>
          <w:lang w:val="sk-SK"/>
        </w:rPr>
        <w:t>kácie</w:t>
      </w:r>
    </w:p>
    <w:p w14:paraId="36F8AD2A" w14:textId="77777777" w:rsidR="00B843DF" w:rsidRPr="004D25D4" w:rsidRDefault="00B843DF" w:rsidP="005F241E">
      <w:pPr>
        <w:rPr>
          <w:sz w:val="22"/>
          <w:szCs w:val="22"/>
          <w:lang w:val="sk-SK"/>
        </w:rPr>
      </w:pPr>
    </w:p>
    <w:p w14:paraId="7D17F57A" w14:textId="77777777" w:rsidR="00B843DF" w:rsidRPr="00652B9D" w:rsidRDefault="00BF7E6A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Precitlivenosť na liečivá alebo na </w:t>
      </w:r>
      <w:r w:rsidR="004711E2">
        <w:rPr>
          <w:sz w:val="22"/>
          <w:szCs w:val="22"/>
          <w:lang w:val="sk-SK"/>
        </w:rPr>
        <w:t>ktorúkoľvek</w:t>
      </w:r>
      <w:r w:rsidRPr="00652B9D">
        <w:rPr>
          <w:sz w:val="22"/>
          <w:szCs w:val="22"/>
          <w:lang w:val="sk-SK"/>
        </w:rPr>
        <w:t xml:space="preserve"> z pomocných látok</w:t>
      </w:r>
      <w:r w:rsidR="00606501">
        <w:rPr>
          <w:sz w:val="22"/>
          <w:szCs w:val="22"/>
          <w:lang w:val="sk-SK"/>
        </w:rPr>
        <w:t xml:space="preserve"> uvedených v časti 6.1</w:t>
      </w:r>
      <w:r w:rsidRPr="00652B9D">
        <w:rPr>
          <w:sz w:val="22"/>
          <w:szCs w:val="22"/>
          <w:lang w:val="sk-SK"/>
        </w:rPr>
        <w:t>.</w:t>
      </w:r>
    </w:p>
    <w:p w14:paraId="1B3145A1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4C48F227" w14:textId="77777777" w:rsidR="00B843DF" w:rsidRPr="00652B9D" w:rsidRDefault="00B456D9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Profylaxia malárie vyvolanej kmeňom </w:t>
      </w:r>
      <w:r w:rsidRPr="00652B9D">
        <w:rPr>
          <w:i/>
          <w:iCs/>
          <w:sz w:val="22"/>
          <w:szCs w:val="22"/>
          <w:lang w:val="sk-SK"/>
        </w:rPr>
        <w:t xml:space="preserve">P. </w:t>
      </w:r>
      <w:proofErr w:type="spellStart"/>
      <w:r w:rsidRPr="00652B9D">
        <w:rPr>
          <w:i/>
          <w:iCs/>
          <w:sz w:val="22"/>
          <w:szCs w:val="22"/>
          <w:lang w:val="sk-SK"/>
        </w:rPr>
        <w:t>falciparum</w:t>
      </w:r>
      <w:proofErr w:type="spellEnd"/>
      <w:r w:rsidRPr="00652B9D">
        <w:rPr>
          <w:i/>
          <w:iCs/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u pacientov s ťažkou poruchou funkcie obličiek </w:t>
      </w:r>
      <w:r w:rsidR="00B843DF" w:rsidRPr="00652B9D">
        <w:rPr>
          <w:sz w:val="22"/>
          <w:szCs w:val="22"/>
          <w:lang w:val="sk-SK"/>
        </w:rPr>
        <w:t>(</w:t>
      </w:r>
      <w:proofErr w:type="spellStart"/>
      <w:r w:rsidRPr="00652B9D">
        <w:rPr>
          <w:sz w:val="22"/>
          <w:szCs w:val="22"/>
          <w:lang w:val="sk-SK"/>
        </w:rPr>
        <w:t>klírens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proofErr w:type="spellStart"/>
      <w:r w:rsidRPr="00652B9D">
        <w:rPr>
          <w:sz w:val="22"/>
          <w:szCs w:val="22"/>
          <w:lang w:val="sk-SK"/>
        </w:rPr>
        <w:t>kreatinínu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="006E5277" w:rsidRPr="00652B9D">
        <w:rPr>
          <w:sz w:val="22"/>
          <w:szCs w:val="22"/>
          <w:lang w:val="sk-SK"/>
        </w:rPr>
        <w:t>&lt;</w:t>
      </w:r>
      <w:r w:rsidR="00C9419F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30</w:t>
      </w:r>
      <w:r w:rsidR="00C9419F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m</w:t>
      </w:r>
      <w:r w:rsidRPr="00652B9D">
        <w:rPr>
          <w:sz w:val="22"/>
          <w:szCs w:val="22"/>
          <w:lang w:val="sk-SK"/>
        </w:rPr>
        <w:t>l</w:t>
      </w:r>
      <w:r w:rsidR="00B843DF" w:rsidRPr="00652B9D">
        <w:rPr>
          <w:sz w:val="22"/>
          <w:szCs w:val="22"/>
          <w:lang w:val="sk-SK"/>
        </w:rPr>
        <w:t>/min).</w:t>
      </w:r>
    </w:p>
    <w:p w14:paraId="257E92A5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03CC7A91" w14:textId="77777777" w:rsidR="00B843DF" w:rsidRPr="00652B9D" w:rsidRDefault="00E065AC" w:rsidP="005F241E">
      <w:pPr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4.4</w:t>
      </w:r>
      <w:r w:rsidR="00A97DD5" w:rsidRPr="00652B9D">
        <w:rPr>
          <w:b/>
          <w:sz w:val="22"/>
          <w:szCs w:val="22"/>
          <w:lang w:val="sk-SK"/>
        </w:rPr>
        <w:tab/>
      </w:r>
      <w:r w:rsidR="00632632" w:rsidRPr="00652B9D">
        <w:rPr>
          <w:b/>
          <w:sz w:val="22"/>
          <w:szCs w:val="22"/>
          <w:lang w:val="sk-SK"/>
        </w:rPr>
        <w:t>Osobitné upozornenia a opatrenia pri používaní</w:t>
      </w:r>
    </w:p>
    <w:p w14:paraId="5686D01C" w14:textId="77777777" w:rsidR="00B843DF" w:rsidRPr="00652B9D" w:rsidRDefault="00B843DF" w:rsidP="005F241E">
      <w:pPr>
        <w:rPr>
          <w:sz w:val="22"/>
          <w:szCs w:val="22"/>
          <w:u w:val="single"/>
          <w:lang w:val="sk-SK"/>
        </w:rPr>
      </w:pPr>
    </w:p>
    <w:p w14:paraId="0CEAAE4C" w14:textId="77777777" w:rsidR="00B843DF" w:rsidRPr="00652B9D" w:rsidRDefault="00632632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Osoby užívajúce </w:t>
      </w:r>
      <w:proofErr w:type="spellStart"/>
      <w:r w:rsidR="00B843DF" w:rsidRPr="00652B9D">
        <w:rPr>
          <w:sz w:val="22"/>
          <w:szCs w:val="22"/>
          <w:lang w:val="sk-SK"/>
        </w:rPr>
        <w:t>Malarone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na profylaxiu alebo liečbu malárie majú užiť opakovanú dávku, ak do 1</w:t>
      </w:r>
      <w:r w:rsidR="006E5277" w:rsidRPr="00652B9D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 xml:space="preserve">hodiny od </w:t>
      </w:r>
      <w:r w:rsidR="006E5277" w:rsidRPr="00652B9D">
        <w:rPr>
          <w:sz w:val="22"/>
          <w:szCs w:val="22"/>
          <w:lang w:val="sk-SK"/>
        </w:rPr>
        <w:t>užitia</w:t>
      </w:r>
      <w:r w:rsidRPr="00652B9D">
        <w:rPr>
          <w:sz w:val="22"/>
          <w:szCs w:val="22"/>
          <w:lang w:val="sk-SK"/>
        </w:rPr>
        <w:t xml:space="preserve"> dávky dávili. V prípade hnačky sa má pokračovať v obvyklom dávkovaní. </w:t>
      </w:r>
      <w:r w:rsidR="00B843DF" w:rsidRPr="00652B9D">
        <w:rPr>
          <w:sz w:val="22"/>
          <w:szCs w:val="22"/>
          <w:lang w:val="sk-SK"/>
        </w:rPr>
        <w:t>Absorp</w:t>
      </w:r>
      <w:r w:rsidRPr="00652B9D">
        <w:rPr>
          <w:sz w:val="22"/>
          <w:szCs w:val="22"/>
          <w:lang w:val="sk-SK"/>
        </w:rPr>
        <w:t>c</w:t>
      </w:r>
      <w:r w:rsidR="00B843DF" w:rsidRPr="00652B9D">
        <w:rPr>
          <w:sz w:val="22"/>
          <w:szCs w:val="22"/>
          <w:lang w:val="sk-SK"/>
        </w:rPr>
        <w:t>i</w:t>
      </w:r>
      <w:r w:rsidRPr="00652B9D">
        <w:rPr>
          <w:sz w:val="22"/>
          <w:szCs w:val="22"/>
          <w:lang w:val="sk-SK"/>
        </w:rPr>
        <w:t>a</w:t>
      </w:r>
      <w:r w:rsidR="00B843DF" w:rsidRPr="00652B9D">
        <w:rPr>
          <w:sz w:val="22"/>
          <w:szCs w:val="22"/>
          <w:lang w:val="sk-SK"/>
        </w:rPr>
        <w:t xml:space="preserve"> </w:t>
      </w:r>
      <w:proofErr w:type="spellStart"/>
      <w:r w:rsidR="002E0E6E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2E0E6E" w:rsidRPr="00652B9D">
        <w:rPr>
          <w:sz w:val="22"/>
          <w:szCs w:val="22"/>
          <w:lang w:val="sk-SK"/>
        </w:rPr>
        <w:t>ónu</w:t>
      </w:r>
      <w:proofErr w:type="spellEnd"/>
      <w:r w:rsidR="002E0E6E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môže byť znížená u pacientov, ktorí majú hnačku alebo dávia, ale v klinických štúdiách </w:t>
      </w:r>
      <w:r w:rsidR="006E5277" w:rsidRPr="00652B9D">
        <w:rPr>
          <w:sz w:val="22"/>
          <w:szCs w:val="22"/>
          <w:lang w:val="sk-SK"/>
        </w:rPr>
        <w:t xml:space="preserve">profylaxie malárie </w:t>
      </w:r>
      <w:r w:rsidRPr="00652B9D">
        <w:rPr>
          <w:sz w:val="22"/>
          <w:szCs w:val="22"/>
          <w:lang w:val="sk-SK"/>
        </w:rPr>
        <w:t xml:space="preserve">s </w:t>
      </w:r>
      <w:proofErr w:type="spellStart"/>
      <w:r w:rsidRPr="00652B9D">
        <w:rPr>
          <w:sz w:val="22"/>
          <w:szCs w:val="22"/>
          <w:lang w:val="sk-SK"/>
        </w:rPr>
        <w:t>Malarone</w:t>
      </w:r>
      <w:proofErr w:type="spellEnd"/>
      <w:r w:rsidRPr="00652B9D">
        <w:rPr>
          <w:sz w:val="22"/>
          <w:szCs w:val="22"/>
          <w:lang w:val="sk-SK"/>
        </w:rPr>
        <w:t xml:space="preserve"> sa hnačka ani dávenie nespájali so zníženou účinnosťou. Tak ako </w:t>
      </w:r>
      <w:r w:rsidR="003B76C1">
        <w:rPr>
          <w:sz w:val="22"/>
          <w:szCs w:val="22"/>
          <w:lang w:val="sk-SK"/>
        </w:rPr>
        <w:t>pri</w:t>
      </w:r>
      <w:r w:rsidRPr="00652B9D">
        <w:rPr>
          <w:sz w:val="22"/>
          <w:szCs w:val="22"/>
          <w:lang w:val="sk-SK"/>
        </w:rPr>
        <w:t xml:space="preserve"> ostatných </w:t>
      </w:r>
      <w:proofErr w:type="spellStart"/>
      <w:r w:rsidRPr="00652B9D">
        <w:rPr>
          <w:sz w:val="22"/>
          <w:szCs w:val="22"/>
          <w:lang w:val="sk-SK"/>
        </w:rPr>
        <w:t>antimalar</w:t>
      </w:r>
      <w:r w:rsidR="003B76C1">
        <w:rPr>
          <w:sz w:val="22"/>
          <w:szCs w:val="22"/>
          <w:lang w:val="sk-SK"/>
        </w:rPr>
        <w:t>i</w:t>
      </w:r>
      <w:r w:rsidRPr="00652B9D">
        <w:rPr>
          <w:sz w:val="22"/>
          <w:szCs w:val="22"/>
          <w:lang w:val="sk-SK"/>
        </w:rPr>
        <w:t>k</w:t>
      </w:r>
      <w:r w:rsidR="003B76C1">
        <w:rPr>
          <w:sz w:val="22"/>
          <w:szCs w:val="22"/>
          <w:lang w:val="sk-SK"/>
        </w:rPr>
        <w:t>ách</w:t>
      </w:r>
      <w:proofErr w:type="spellEnd"/>
      <w:r w:rsidR="002F7907" w:rsidRPr="00652B9D">
        <w:rPr>
          <w:sz w:val="22"/>
          <w:szCs w:val="22"/>
          <w:lang w:val="sk-SK"/>
        </w:rPr>
        <w:t>,</w:t>
      </w:r>
      <w:r w:rsidRPr="00652B9D">
        <w:rPr>
          <w:sz w:val="22"/>
          <w:szCs w:val="22"/>
          <w:lang w:val="sk-SK"/>
        </w:rPr>
        <w:t xml:space="preserve"> sa </w:t>
      </w:r>
      <w:r w:rsidR="002F7907" w:rsidRPr="00652B9D">
        <w:rPr>
          <w:sz w:val="22"/>
          <w:szCs w:val="22"/>
          <w:lang w:val="sk-SK"/>
        </w:rPr>
        <w:t xml:space="preserve">má </w:t>
      </w:r>
      <w:r w:rsidRPr="00652B9D">
        <w:rPr>
          <w:sz w:val="22"/>
          <w:szCs w:val="22"/>
          <w:lang w:val="sk-SK"/>
        </w:rPr>
        <w:t xml:space="preserve">jedincom, ktorí majú hnačku alebo dávia odporučiť, aby </w:t>
      </w:r>
      <w:r w:rsidR="00D91FCB" w:rsidRPr="00652B9D">
        <w:rPr>
          <w:sz w:val="22"/>
          <w:szCs w:val="22"/>
          <w:lang w:val="sk-SK"/>
        </w:rPr>
        <w:t>pokračovali v</w:t>
      </w:r>
      <w:r w:rsidR="00FE0B65">
        <w:rPr>
          <w:sz w:val="22"/>
          <w:szCs w:val="22"/>
          <w:lang w:val="sk-SK"/>
        </w:rPr>
        <w:t xml:space="preserve"> preventívnych opatreniach proti malárií </w:t>
      </w:r>
      <w:r w:rsidR="00D91FCB" w:rsidRPr="00652B9D">
        <w:rPr>
          <w:sz w:val="22"/>
          <w:szCs w:val="22"/>
          <w:lang w:val="sk-SK"/>
        </w:rPr>
        <w:t>dodržiavaní</w:t>
      </w:r>
      <w:r w:rsidR="00FE0B65">
        <w:rPr>
          <w:sz w:val="22"/>
          <w:szCs w:val="22"/>
          <w:lang w:val="sk-SK"/>
        </w:rPr>
        <w:t>m</w:t>
      </w:r>
      <w:r w:rsidR="00D91FCB" w:rsidRPr="00652B9D">
        <w:rPr>
          <w:sz w:val="22"/>
          <w:szCs w:val="22"/>
          <w:lang w:val="sk-SK"/>
        </w:rPr>
        <w:t xml:space="preserve"> osobných ochranných opatrení (</w:t>
      </w:r>
      <w:proofErr w:type="spellStart"/>
      <w:r w:rsidR="00D91FCB" w:rsidRPr="00652B9D">
        <w:rPr>
          <w:sz w:val="22"/>
          <w:szCs w:val="22"/>
          <w:lang w:val="sk-SK"/>
        </w:rPr>
        <w:t>repelent</w:t>
      </w:r>
      <w:r w:rsidR="006E5277" w:rsidRPr="00652B9D">
        <w:rPr>
          <w:sz w:val="22"/>
          <w:szCs w:val="22"/>
          <w:lang w:val="sk-SK"/>
        </w:rPr>
        <w:t>né</w:t>
      </w:r>
      <w:proofErr w:type="spellEnd"/>
      <w:r w:rsidR="006E5277" w:rsidRPr="00652B9D">
        <w:rPr>
          <w:sz w:val="22"/>
          <w:szCs w:val="22"/>
          <w:lang w:val="sk-SK"/>
        </w:rPr>
        <w:t xml:space="preserve"> prostriedk</w:t>
      </w:r>
      <w:r w:rsidR="00D91FCB" w:rsidRPr="00652B9D">
        <w:rPr>
          <w:sz w:val="22"/>
          <w:szCs w:val="22"/>
          <w:lang w:val="sk-SK"/>
        </w:rPr>
        <w:t>y, sie</w:t>
      </w:r>
      <w:r w:rsidR="006E5277" w:rsidRPr="00652B9D">
        <w:rPr>
          <w:sz w:val="22"/>
          <w:szCs w:val="22"/>
          <w:lang w:val="sk-SK"/>
        </w:rPr>
        <w:t>ťky proti hmyzu</w:t>
      </w:r>
      <w:r w:rsidR="00D91FCB" w:rsidRPr="00652B9D">
        <w:rPr>
          <w:sz w:val="22"/>
          <w:szCs w:val="22"/>
          <w:lang w:val="sk-SK"/>
        </w:rPr>
        <w:t>)</w:t>
      </w:r>
      <w:r w:rsidR="00B843DF" w:rsidRPr="00652B9D">
        <w:rPr>
          <w:sz w:val="22"/>
          <w:szCs w:val="22"/>
          <w:lang w:val="sk-SK"/>
        </w:rPr>
        <w:t>.</w:t>
      </w:r>
    </w:p>
    <w:p w14:paraId="222D5135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3F912F8D" w14:textId="77777777" w:rsidR="00B843DF" w:rsidRPr="00652B9D" w:rsidRDefault="00D91FCB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U pacientov s akútnou maláriou, ktorí majú hnačku alebo dávia, sa má zvážiť alternatívna liečba. Ak</w:t>
      </w:r>
      <w:r w:rsidR="00B843DF" w:rsidRPr="00652B9D">
        <w:rPr>
          <w:sz w:val="22"/>
          <w:szCs w:val="22"/>
          <w:lang w:val="sk-SK"/>
        </w:rPr>
        <w:t xml:space="preserve"> </w:t>
      </w:r>
      <w:r w:rsidR="006E5277" w:rsidRPr="00652B9D">
        <w:rPr>
          <w:sz w:val="22"/>
          <w:szCs w:val="22"/>
          <w:lang w:val="sk-SK"/>
        </w:rPr>
        <w:t xml:space="preserve">sa u týchto pacientov </w:t>
      </w:r>
      <w:proofErr w:type="spellStart"/>
      <w:r w:rsidR="00B843DF" w:rsidRPr="00652B9D">
        <w:rPr>
          <w:sz w:val="22"/>
          <w:szCs w:val="22"/>
          <w:lang w:val="sk-SK"/>
        </w:rPr>
        <w:t>Malarone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používa </w:t>
      </w:r>
      <w:r w:rsidR="006E5277" w:rsidRPr="00652B9D">
        <w:rPr>
          <w:sz w:val="22"/>
          <w:szCs w:val="22"/>
          <w:lang w:val="sk-SK"/>
        </w:rPr>
        <w:t>na liečbu malárie</w:t>
      </w:r>
      <w:r w:rsidRPr="00652B9D">
        <w:rPr>
          <w:sz w:val="22"/>
          <w:szCs w:val="22"/>
          <w:lang w:val="sk-SK"/>
        </w:rPr>
        <w:t xml:space="preserve">, musí sa prísne sledovať </w:t>
      </w:r>
      <w:proofErr w:type="spellStart"/>
      <w:r w:rsidRPr="00652B9D">
        <w:rPr>
          <w:sz w:val="22"/>
          <w:szCs w:val="22"/>
          <w:lang w:val="sk-SK"/>
        </w:rPr>
        <w:t>parazitémia</w:t>
      </w:r>
      <w:proofErr w:type="spellEnd"/>
      <w:r w:rsidR="00FE0B65">
        <w:rPr>
          <w:sz w:val="22"/>
          <w:szCs w:val="22"/>
          <w:lang w:val="sk-SK"/>
        </w:rPr>
        <w:t xml:space="preserve"> a klinický stav pacienta</w:t>
      </w:r>
      <w:r w:rsidRPr="00652B9D">
        <w:rPr>
          <w:sz w:val="22"/>
          <w:szCs w:val="22"/>
          <w:lang w:val="sk-SK"/>
        </w:rPr>
        <w:t>.</w:t>
      </w:r>
    </w:p>
    <w:p w14:paraId="3FDA1122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2BD0282F" w14:textId="77777777" w:rsidR="00B843DF" w:rsidRPr="00652B9D" w:rsidRDefault="00B843DF" w:rsidP="005F241E">
      <w:pPr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t>Malarone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r w:rsidR="000E166A" w:rsidRPr="00652B9D">
        <w:rPr>
          <w:sz w:val="22"/>
          <w:szCs w:val="22"/>
          <w:lang w:val="sk-SK"/>
        </w:rPr>
        <w:t xml:space="preserve">sa nehodnotil </w:t>
      </w:r>
      <w:r w:rsidR="00D84018" w:rsidRPr="00652B9D">
        <w:rPr>
          <w:sz w:val="22"/>
          <w:szCs w:val="22"/>
          <w:lang w:val="sk-SK"/>
        </w:rPr>
        <w:t xml:space="preserve">ako </w:t>
      </w:r>
      <w:r w:rsidR="00E67FF7" w:rsidRPr="00652B9D">
        <w:rPr>
          <w:sz w:val="22"/>
          <w:szCs w:val="22"/>
          <w:lang w:val="sk-SK"/>
        </w:rPr>
        <w:t xml:space="preserve">liek na </w:t>
      </w:r>
      <w:r w:rsidR="000E166A" w:rsidRPr="00652B9D">
        <w:rPr>
          <w:sz w:val="22"/>
          <w:szCs w:val="22"/>
          <w:lang w:val="sk-SK"/>
        </w:rPr>
        <w:t>liečb</w:t>
      </w:r>
      <w:r w:rsidR="00E67FF7" w:rsidRPr="00652B9D">
        <w:rPr>
          <w:sz w:val="22"/>
          <w:szCs w:val="22"/>
          <w:lang w:val="sk-SK"/>
        </w:rPr>
        <w:t>u</w:t>
      </w:r>
      <w:r w:rsidR="000E166A" w:rsidRPr="00652B9D">
        <w:rPr>
          <w:sz w:val="22"/>
          <w:szCs w:val="22"/>
          <w:lang w:val="sk-SK"/>
        </w:rPr>
        <w:t xml:space="preserve"> mozgovej malárie alebo ďalších ťažkých prejavov komplikovanej malárie zahŕňajúcej </w:t>
      </w:r>
      <w:proofErr w:type="spellStart"/>
      <w:r w:rsidR="000E166A" w:rsidRPr="00652B9D">
        <w:rPr>
          <w:sz w:val="22"/>
          <w:szCs w:val="22"/>
          <w:lang w:val="sk-SK"/>
        </w:rPr>
        <w:t>hyperparazitémiu</w:t>
      </w:r>
      <w:proofErr w:type="spellEnd"/>
      <w:r w:rsidR="000E166A" w:rsidRPr="00652B9D">
        <w:rPr>
          <w:sz w:val="22"/>
          <w:szCs w:val="22"/>
          <w:lang w:val="sk-SK"/>
        </w:rPr>
        <w:t>, pľúcny edém alebo zlyhanie obličiek.</w:t>
      </w:r>
    </w:p>
    <w:p w14:paraId="6BA25CF4" w14:textId="77777777" w:rsidR="00B843DF" w:rsidRDefault="00B843DF" w:rsidP="005F241E">
      <w:pPr>
        <w:rPr>
          <w:sz w:val="22"/>
          <w:szCs w:val="22"/>
          <w:lang w:val="sk-SK"/>
        </w:rPr>
      </w:pPr>
    </w:p>
    <w:p w14:paraId="4ED4DA3A" w14:textId="77777777" w:rsidR="004711E2" w:rsidRPr="004711E2" w:rsidRDefault="004711E2" w:rsidP="005F241E">
      <w:pPr>
        <w:rPr>
          <w:sz w:val="22"/>
          <w:szCs w:val="22"/>
          <w:lang w:val="sk-SK"/>
        </w:rPr>
      </w:pPr>
      <w:r w:rsidRPr="004711E2">
        <w:rPr>
          <w:sz w:val="22"/>
          <w:szCs w:val="22"/>
          <w:lang w:val="sk-SK"/>
        </w:rPr>
        <w:t xml:space="preserve">U pacientov liečených </w:t>
      </w:r>
      <w:proofErr w:type="spellStart"/>
      <w:r w:rsidRPr="004711E2">
        <w:rPr>
          <w:sz w:val="22"/>
          <w:szCs w:val="22"/>
          <w:lang w:val="sk-SK"/>
        </w:rPr>
        <w:t>Malarone</w:t>
      </w:r>
      <w:proofErr w:type="spellEnd"/>
      <w:r w:rsidRPr="004711E2">
        <w:rPr>
          <w:sz w:val="22"/>
          <w:szCs w:val="22"/>
          <w:lang w:val="sk-SK"/>
        </w:rPr>
        <w:t xml:space="preserve"> sa ojedinele hlásili ťažké alergické reakcie (vrátane </w:t>
      </w:r>
      <w:proofErr w:type="spellStart"/>
      <w:r w:rsidRPr="004711E2">
        <w:rPr>
          <w:sz w:val="22"/>
          <w:szCs w:val="22"/>
          <w:lang w:val="sk-SK"/>
        </w:rPr>
        <w:t>anafylaxie</w:t>
      </w:r>
      <w:proofErr w:type="spellEnd"/>
      <w:r w:rsidRPr="004711E2">
        <w:rPr>
          <w:sz w:val="22"/>
          <w:szCs w:val="22"/>
          <w:lang w:val="sk-SK"/>
        </w:rPr>
        <w:t>). Ak sa u pacienta vyskytne alergická reakcia (pozri časť</w:t>
      </w:r>
      <w:r w:rsidR="00514887">
        <w:rPr>
          <w:sz w:val="22"/>
          <w:szCs w:val="22"/>
          <w:lang w:val="sk-SK"/>
        </w:rPr>
        <w:t> </w:t>
      </w:r>
      <w:r w:rsidRPr="004711E2">
        <w:rPr>
          <w:sz w:val="22"/>
          <w:szCs w:val="22"/>
          <w:lang w:val="sk-SK"/>
        </w:rPr>
        <w:t xml:space="preserve">4.8), musí sa podávanie </w:t>
      </w:r>
      <w:proofErr w:type="spellStart"/>
      <w:r w:rsidRPr="004711E2">
        <w:rPr>
          <w:sz w:val="22"/>
          <w:szCs w:val="22"/>
          <w:lang w:val="sk-SK"/>
        </w:rPr>
        <w:t>Malarone</w:t>
      </w:r>
      <w:proofErr w:type="spellEnd"/>
      <w:r w:rsidRPr="004711E2">
        <w:rPr>
          <w:sz w:val="22"/>
          <w:szCs w:val="22"/>
          <w:lang w:val="sk-SK"/>
        </w:rPr>
        <w:t> ihneď ukončiť a začať náležitá liečba.</w:t>
      </w:r>
    </w:p>
    <w:p w14:paraId="56C4B7F7" w14:textId="77777777" w:rsidR="004711E2" w:rsidRPr="00652B9D" w:rsidRDefault="004711E2" w:rsidP="005F241E">
      <w:pPr>
        <w:rPr>
          <w:sz w:val="22"/>
          <w:szCs w:val="22"/>
          <w:lang w:val="sk-SK"/>
        </w:rPr>
      </w:pPr>
    </w:p>
    <w:p w14:paraId="53D250DA" w14:textId="77777777" w:rsidR="00B843DF" w:rsidRPr="00652B9D" w:rsidRDefault="00FE0B65" w:rsidP="005F241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Preukázalo sa, že </w:t>
      </w:r>
      <w:proofErr w:type="spellStart"/>
      <w:r>
        <w:rPr>
          <w:sz w:val="22"/>
          <w:szCs w:val="22"/>
          <w:lang w:val="sk-SK"/>
        </w:rPr>
        <w:t>Malarone</w:t>
      </w:r>
      <w:proofErr w:type="spellEnd"/>
      <w:r>
        <w:rPr>
          <w:sz w:val="22"/>
          <w:szCs w:val="22"/>
          <w:lang w:val="sk-SK"/>
        </w:rPr>
        <w:t xml:space="preserve"> nie je účinný proti </w:t>
      </w:r>
      <w:proofErr w:type="spellStart"/>
      <w:r>
        <w:rPr>
          <w:sz w:val="22"/>
          <w:szCs w:val="22"/>
          <w:lang w:val="sk-SK"/>
        </w:rPr>
        <w:t>hypnozoitom</w:t>
      </w:r>
      <w:proofErr w:type="spellEnd"/>
      <w:r>
        <w:rPr>
          <w:sz w:val="22"/>
          <w:szCs w:val="22"/>
          <w:lang w:val="sk-SK"/>
        </w:rPr>
        <w:t xml:space="preserve"> </w:t>
      </w:r>
      <w:proofErr w:type="spellStart"/>
      <w:r>
        <w:rPr>
          <w:i/>
          <w:iCs/>
          <w:sz w:val="22"/>
          <w:szCs w:val="22"/>
          <w:lang w:val="sk-SK"/>
        </w:rPr>
        <w:t>Plasmodium</w:t>
      </w:r>
      <w:proofErr w:type="spellEnd"/>
      <w:r>
        <w:rPr>
          <w:i/>
          <w:iCs/>
          <w:sz w:val="22"/>
          <w:szCs w:val="22"/>
          <w:lang w:val="sk-SK"/>
        </w:rPr>
        <w:t xml:space="preserve"> </w:t>
      </w:r>
      <w:proofErr w:type="spellStart"/>
      <w:r>
        <w:rPr>
          <w:i/>
          <w:iCs/>
          <w:sz w:val="22"/>
          <w:szCs w:val="22"/>
          <w:lang w:val="sk-SK"/>
        </w:rPr>
        <w:t>vivax</w:t>
      </w:r>
      <w:proofErr w:type="spellEnd"/>
      <w:r w:rsidRPr="00FE0B65">
        <w:rPr>
          <w:sz w:val="22"/>
          <w:szCs w:val="22"/>
          <w:lang w:val="sk-SK"/>
        </w:rPr>
        <w:t xml:space="preserve">, </w:t>
      </w:r>
      <w:r>
        <w:rPr>
          <w:sz w:val="22"/>
          <w:szCs w:val="22"/>
          <w:lang w:val="sk-SK"/>
        </w:rPr>
        <w:t>keďže r</w:t>
      </w:r>
      <w:r w:rsidR="00196EC3" w:rsidRPr="00652B9D">
        <w:rPr>
          <w:sz w:val="22"/>
          <w:szCs w:val="22"/>
          <w:lang w:val="sk-SK"/>
        </w:rPr>
        <w:t xml:space="preserve">ecidíva ochorenia </w:t>
      </w:r>
      <w:r w:rsidR="009858E3" w:rsidRPr="00652B9D">
        <w:rPr>
          <w:sz w:val="22"/>
          <w:szCs w:val="22"/>
          <w:lang w:val="sk-SK"/>
        </w:rPr>
        <w:t>spôsoben</w:t>
      </w:r>
      <w:r w:rsidR="00196EC3" w:rsidRPr="00652B9D">
        <w:rPr>
          <w:sz w:val="22"/>
          <w:szCs w:val="22"/>
          <w:lang w:val="sk-SK"/>
        </w:rPr>
        <w:t xml:space="preserve">ého parazitom sa vyskytovala často v prípadoch, </w:t>
      </w:r>
      <w:r w:rsidR="00E67FF7" w:rsidRPr="00652B9D">
        <w:rPr>
          <w:sz w:val="22"/>
          <w:szCs w:val="22"/>
          <w:lang w:val="sk-SK"/>
        </w:rPr>
        <w:t>v ktorých</w:t>
      </w:r>
      <w:r w:rsidR="00196EC3" w:rsidRPr="00652B9D">
        <w:rPr>
          <w:sz w:val="22"/>
          <w:szCs w:val="22"/>
          <w:lang w:val="sk-SK"/>
        </w:rPr>
        <w:t xml:space="preserve"> bola malária </w:t>
      </w:r>
      <w:r w:rsidR="009858E3" w:rsidRPr="00652B9D">
        <w:rPr>
          <w:sz w:val="22"/>
          <w:szCs w:val="22"/>
          <w:lang w:val="sk-SK"/>
        </w:rPr>
        <w:t>spôsobená</w:t>
      </w:r>
      <w:r w:rsidR="00196EC3" w:rsidRPr="00652B9D">
        <w:rPr>
          <w:sz w:val="22"/>
          <w:szCs w:val="22"/>
          <w:lang w:val="sk-SK"/>
        </w:rPr>
        <w:t xml:space="preserve"> parazitom </w:t>
      </w:r>
      <w:r w:rsidR="00B843DF" w:rsidRPr="00652B9D">
        <w:rPr>
          <w:i/>
          <w:sz w:val="22"/>
          <w:szCs w:val="22"/>
          <w:lang w:val="sk-SK"/>
        </w:rPr>
        <w:t xml:space="preserve">P. </w:t>
      </w:r>
      <w:proofErr w:type="spellStart"/>
      <w:r w:rsidR="00B843DF" w:rsidRPr="00652B9D">
        <w:rPr>
          <w:i/>
          <w:sz w:val="22"/>
          <w:szCs w:val="22"/>
          <w:lang w:val="sk-SK"/>
        </w:rPr>
        <w:t>vivax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="00196EC3" w:rsidRPr="00652B9D">
        <w:rPr>
          <w:sz w:val="22"/>
          <w:szCs w:val="22"/>
          <w:lang w:val="sk-SK"/>
        </w:rPr>
        <w:t xml:space="preserve">liečená </w:t>
      </w:r>
      <w:r w:rsidR="004566BD" w:rsidRPr="00652B9D">
        <w:rPr>
          <w:sz w:val="22"/>
          <w:szCs w:val="22"/>
          <w:lang w:val="sk-SK"/>
        </w:rPr>
        <w:t>s</w:t>
      </w:r>
      <w:r w:rsidR="007216DA" w:rsidRPr="00652B9D">
        <w:rPr>
          <w:sz w:val="22"/>
          <w:szCs w:val="22"/>
          <w:lang w:val="sk-SK"/>
        </w:rPr>
        <w:t>amostatným</w:t>
      </w:r>
      <w:r w:rsidR="004566BD" w:rsidRPr="00652B9D">
        <w:rPr>
          <w:sz w:val="22"/>
          <w:szCs w:val="22"/>
          <w:lang w:val="sk-SK"/>
        </w:rPr>
        <w:t xml:space="preserve"> </w:t>
      </w:r>
      <w:proofErr w:type="spellStart"/>
      <w:r w:rsidR="00B843DF" w:rsidRPr="00652B9D">
        <w:rPr>
          <w:sz w:val="22"/>
          <w:szCs w:val="22"/>
          <w:lang w:val="sk-SK"/>
        </w:rPr>
        <w:t>Malarone</w:t>
      </w:r>
      <w:proofErr w:type="spellEnd"/>
      <w:r w:rsidR="00B843DF" w:rsidRPr="00652B9D">
        <w:rPr>
          <w:sz w:val="22"/>
          <w:szCs w:val="22"/>
          <w:lang w:val="sk-SK"/>
        </w:rPr>
        <w:t xml:space="preserve">. </w:t>
      </w:r>
      <w:r w:rsidR="00196EC3" w:rsidRPr="00652B9D">
        <w:rPr>
          <w:sz w:val="22"/>
          <w:szCs w:val="22"/>
          <w:lang w:val="sk-SK"/>
        </w:rPr>
        <w:t xml:space="preserve">Cestovatelia s intenzívnou expozíciou parazitom </w:t>
      </w:r>
      <w:r w:rsidR="00B843DF" w:rsidRPr="00652B9D">
        <w:rPr>
          <w:i/>
          <w:snapToGrid w:val="0"/>
          <w:sz w:val="22"/>
          <w:szCs w:val="22"/>
          <w:lang w:val="sk-SK"/>
        </w:rPr>
        <w:t>P.</w:t>
      </w:r>
      <w:r>
        <w:rPr>
          <w:i/>
          <w:snapToGrid w:val="0"/>
          <w:sz w:val="22"/>
          <w:szCs w:val="22"/>
          <w:lang w:val="sk-SK"/>
        </w:rPr>
        <w:t> </w:t>
      </w:r>
      <w:proofErr w:type="spellStart"/>
      <w:r w:rsidR="00B843DF" w:rsidRPr="00652B9D">
        <w:rPr>
          <w:i/>
          <w:snapToGrid w:val="0"/>
          <w:sz w:val="22"/>
          <w:szCs w:val="22"/>
          <w:lang w:val="sk-SK"/>
        </w:rPr>
        <w:t>vivax</w:t>
      </w:r>
      <w:proofErr w:type="spellEnd"/>
      <w:r w:rsidR="00B843DF" w:rsidRPr="00652B9D">
        <w:rPr>
          <w:snapToGrid w:val="0"/>
          <w:sz w:val="22"/>
          <w:szCs w:val="22"/>
          <w:lang w:val="sk-SK"/>
        </w:rPr>
        <w:t xml:space="preserve"> </w:t>
      </w:r>
      <w:r w:rsidR="00196EC3" w:rsidRPr="00652B9D">
        <w:rPr>
          <w:snapToGrid w:val="0"/>
          <w:sz w:val="22"/>
          <w:szCs w:val="22"/>
          <w:lang w:val="sk-SK"/>
        </w:rPr>
        <w:t>alebo</w:t>
      </w:r>
      <w:r w:rsidR="00B843DF" w:rsidRPr="00652B9D">
        <w:rPr>
          <w:snapToGrid w:val="0"/>
          <w:sz w:val="22"/>
          <w:szCs w:val="22"/>
          <w:lang w:val="sk-SK"/>
        </w:rPr>
        <w:t xml:space="preserve"> </w:t>
      </w:r>
      <w:r w:rsidR="00B843DF" w:rsidRPr="00652B9D">
        <w:rPr>
          <w:i/>
          <w:snapToGrid w:val="0"/>
          <w:sz w:val="22"/>
          <w:szCs w:val="22"/>
          <w:lang w:val="sk-SK"/>
        </w:rPr>
        <w:t>P. ovale</w:t>
      </w:r>
      <w:r w:rsidR="00B843DF" w:rsidRPr="00652B9D">
        <w:rPr>
          <w:snapToGrid w:val="0"/>
          <w:sz w:val="22"/>
          <w:szCs w:val="22"/>
          <w:lang w:val="sk-SK"/>
        </w:rPr>
        <w:t>, a</w:t>
      </w:r>
      <w:r w:rsidR="00196EC3" w:rsidRPr="00652B9D">
        <w:rPr>
          <w:snapToGrid w:val="0"/>
          <w:sz w:val="22"/>
          <w:szCs w:val="22"/>
          <w:lang w:val="sk-SK"/>
        </w:rPr>
        <w:t xml:space="preserve"> jedinci, u ktorých vznikne malária spôsobená jedným z týchto parazitov, si budú vyžadovať </w:t>
      </w:r>
      <w:r w:rsidR="00E67FF7" w:rsidRPr="00652B9D">
        <w:rPr>
          <w:snapToGrid w:val="0"/>
          <w:sz w:val="22"/>
          <w:szCs w:val="22"/>
          <w:lang w:val="sk-SK"/>
        </w:rPr>
        <w:t xml:space="preserve">dodatočnú </w:t>
      </w:r>
      <w:r w:rsidR="00196EC3" w:rsidRPr="00652B9D">
        <w:rPr>
          <w:snapToGrid w:val="0"/>
          <w:sz w:val="22"/>
          <w:szCs w:val="22"/>
          <w:lang w:val="sk-SK"/>
        </w:rPr>
        <w:t>liečbu</w:t>
      </w:r>
      <w:r w:rsidR="00E67FF7" w:rsidRPr="00652B9D">
        <w:rPr>
          <w:snapToGrid w:val="0"/>
          <w:sz w:val="22"/>
          <w:szCs w:val="22"/>
          <w:lang w:val="sk-SK"/>
        </w:rPr>
        <w:t xml:space="preserve"> </w:t>
      </w:r>
      <w:r w:rsidR="00196EC3" w:rsidRPr="00652B9D">
        <w:rPr>
          <w:snapToGrid w:val="0"/>
          <w:sz w:val="22"/>
          <w:szCs w:val="22"/>
          <w:lang w:val="sk-SK"/>
        </w:rPr>
        <w:t xml:space="preserve">liekom, ktorý je účinný proti </w:t>
      </w:r>
      <w:proofErr w:type="spellStart"/>
      <w:r w:rsidR="00196EC3" w:rsidRPr="00652B9D">
        <w:rPr>
          <w:snapToGrid w:val="0"/>
          <w:sz w:val="22"/>
          <w:szCs w:val="22"/>
          <w:lang w:val="sk-SK"/>
        </w:rPr>
        <w:t>hypnozoitom</w:t>
      </w:r>
      <w:proofErr w:type="spellEnd"/>
      <w:r w:rsidR="00196EC3" w:rsidRPr="00652B9D">
        <w:rPr>
          <w:snapToGrid w:val="0"/>
          <w:sz w:val="22"/>
          <w:szCs w:val="22"/>
          <w:lang w:val="sk-SK"/>
        </w:rPr>
        <w:t>.</w:t>
      </w:r>
    </w:p>
    <w:p w14:paraId="46749808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01F946C6" w14:textId="77777777" w:rsidR="00B843DF" w:rsidRPr="00652B9D" w:rsidRDefault="00AE1E91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V prípade opakujúcich sa infekcií spôsobených kmeňom</w:t>
      </w:r>
      <w:r w:rsidR="00B843DF"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i/>
          <w:sz w:val="22"/>
          <w:szCs w:val="22"/>
          <w:lang w:val="sk-SK"/>
        </w:rPr>
        <w:t xml:space="preserve">P. </w:t>
      </w:r>
      <w:proofErr w:type="spellStart"/>
      <w:r w:rsidR="00B843DF" w:rsidRPr="00652B9D">
        <w:rPr>
          <w:i/>
          <w:sz w:val="22"/>
          <w:szCs w:val="22"/>
          <w:lang w:val="sk-SK"/>
        </w:rPr>
        <w:t>falciparum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po liečbe</w:t>
      </w:r>
      <w:r w:rsidR="00B843DF" w:rsidRPr="00652B9D">
        <w:rPr>
          <w:sz w:val="22"/>
          <w:szCs w:val="22"/>
          <w:lang w:val="sk-SK"/>
        </w:rPr>
        <w:t xml:space="preserve"> </w:t>
      </w:r>
      <w:proofErr w:type="spellStart"/>
      <w:r w:rsidR="00B843DF" w:rsidRPr="00652B9D">
        <w:rPr>
          <w:sz w:val="22"/>
          <w:szCs w:val="22"/>
          <w:lang w:val="sk-SK"/>
        </w:rPr>
        <w:t>Malarone</w:t>
      </w:r>
      <w:proofErr w:type="spellEnd"/>
      <w:r w:rsidRPr="00652B9D">
        <w:rPr>
          <w:sz w:val="22"/>
          <w:szCs w:val="22"/>
          <w:lang w:val="sk-SK"/>
        </w:rPr>
        <w:t xml:space="preserve"> alebo</w:t>
      </w:r>
      <w:r w:rsidR="00514887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po</w:t>
      </w:r>
      <w:r w:rsidR="00514887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 xml:space="preserve">zlyhaní </w:t>
      </w:r>
      <w:proofErr w:type="spellStart"/>
      <w:r w:rsidRPr="00652B9D">
        <w:rPr>
          <w:sz w:val="22"/>
          <w:szCs w:val="22"/>
          <w:lang w:val="sk-SK"/>
        </w:rPr>
        <w:t>chemoprofylaxie</w:t>
      </w:r>
      <w:proofErr w:type="spellEnd"/>
      <w:r w:rsidR="00FE0B65">
        <w:rPr>
          <w:sz w:val="22"/>
          <w:szCs w:val="22"/>
          <w:lang w:val="sk-SK"/>
        </w:rPr>
        <w:t xml:space="preserve"> s </w:t>
      </w:r>
      <w:proofErr w:type="spellStart"/>
      <w:r w:rsidR="00FE0B65">
        <w:rPr>
          <w:sz w:val="22"/>
          <w:szCs w:val="22"/>
          <w:lang w:val="sk-SK"/>
        </w:rPr>
        <w:t>Malarone</w:t>
      </w:r>
      <w:proofErr w:type="spellEnd"/>
      <w:r w:rsidRPr="00652B9D">
        <w:rPr>
          <w:sz w:val="22"/>
          <w:szCs w:val="22"/>
          <w:lang w:val="sk-SK"/>
        </w:rPr>
        <w:t xml:space="preserve">, sa pacienti </w:t>
      </w:r>
      <w:r w:rsidR="004566BD" w:rsidRPr="00652B9D">
        <w:rPr>
          <w:sz w:val="22"/>
          <w:szCs w:val="22"/>
          <w:lang w:val="sk-SK"/>
        </w:rPr>
        <w:t xml:space="preserve">majú </w:t>
      </w:r>
      <w:r w:rsidRPr="00652B9D">
        <w:rPr>
          <w:sz w:val="22"/>
          <w:szCs w:val="22"/>
          <w:lang w:val="sk-SK"/>
        </w:rPr>
        <w:t xml:space="preserve">liečiť rôznymi krvnými </w:t>
      </w:r>
      <w:proofErr w:type="spellStart"/>
      <w:r w:rsidR="00B843DF" w:rsidRPr="00652B9D">
        <w:rPr>
          <w:sz w:val="22"/>
          <w:szCs w:val="22"/>
          <w:lang w:val="sk-SK"/>
        </w:rPr>
        <w:t>schizonticid</w:t>
      </w:r>
      <w:r w:rsidRPr="00652B9D">
        <w:rPr>
          <w:sz w:val="22"/>
          <w:szCs w:val="22"/>
          <w:lang w:val="sk-SK"/>
        </w:rPr>
        <w:t>mi</w:t>
      </w:r>
      <w:proofErr w:type="spellEnd"/>
      <w:r w:rsidR="00FE0B65">
        <w:rPr>
          <w:sz w:val="22"/>
          <w:szCs w:val="22"/>
          <w:lang w:val="sk-SK"/>
        </w:rPr>
        <w:t xml:space="preserve">, keďže takéto prípady môžu </w:t>
      </w:r>
      <w:r w:rsidR="00A0407D">
        <w:rPr>
          <w:sz w:val="22"/>
          <w:szCs w:val="22"/>
          <w:lang w:val="sk-SK"/>
        </w:rPr>
        <w:t>odzrkadľovať rezistenciu parazita</w:t>
      </w:r>
      <w:r w:rsidR="00B843DF" w:rsidRPr="00652B9D">
        <w:rPr>
          <w:sz w:val="22"/>
          <w:szCs w:val="22"/>
          <w:lang w:val="sk-SK"/>
        </w:rPr>
        <w:t>.</w:t>
      </w:r>
    </w:p>
    <w:p w14:paraId="531CC191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113AB4E4" w14:textId="77777777" w:rsidR="00B843DF" w:rsidRDefault="00B843DF" w:rsidP="005F241E">
      <w:pPr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t>Para</w:t>
      </w:r>
      <w:r w:rsidR="00AE1E91" w:rsidRPr="00652B9D">
        <w:rPr>
          <w:sz w:val="22"/>
          <w:szCs w:val="22"/>
          <w:lang w:val="sk-SK"/>
        </w:rPr>
        <w:t>z</w:t>
      </w:r>
      <w:r w:rsidRPr="00652B9D">
        <w:rPr>
          <w:sz w:val="22"/>
          <w:szCs w:val="22"/>
          <w:lang w:val="sk-SK"/>
        </w:rPr>
        <w:t>it</w:t>
      </w:r>
      <w:r w:rsidR="00AE1E91" w:rsidRPr="00652B9D">
        <w:rPr>
          <w:sz w:val="22"/>
          <w:szCs w:val="22"/>
          <w:lang w:val="sk-SK"/>
        </w:rPr>
        <w:t>é</w:t>
      </w:r>
      <w:r w:rsidRPr="00652B9D">
        <w:rPr>
          <w:sz w:val="22"/>
          <w:szCs w:val="22"/>
          <w:lang w:val="sk-SK"/>
        </w:rPr>
        <w:t>mia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r w:rsidR="00AE1E91" w:rsidRPr="00652B9D">
        <w:rPr>
          <w:sz w:val="22"/>
          <w:szCs w:val="22"/>
          <w:lang w:val="sk-SK"/>
        </w:rPr>
        <w:t xml:space="preserve">sa má pozorne sledovať u pacientov, ktorí </w:t>
      </w:r>
      <w:r w:rsidR="00674352" w:rsidRPr="00652B9D">
        <w:rPr>
          <w:sz w:val="22"/>
          <w:szCs w:val="22"/>
          <w:lang w:val="sk-SK"/>
        </w:rPr>
        <w:t xml:space="preserve">súbežne </w:t>
      </w:r>
      <w:r w:rsidR="00AE1E91" w:rsidRPr="00652B9D">
        <w:rPr>
          <w:sz w:val="22"/>
          <w:szCs w:val="22"/>
          <w:lang w:val="sk-SK"/>
        </w:rPr>
        <w:t xml:space="preserve">užívajú tetracyklín </w:t>
      </w:r>
      <w:r w:rsidRPr="00652B9D">
        <w:rPr>
          <w:sz w:val="22"/>
          <w:szCs w:val="22"/>
          <w:lang w:val="sk-SK"/>
        </w:rPr>
        <w:t>(</w:t>
      </w:r>
      <w:r w:rsidR="00AE1E91" w:rsidRPr="00652B9D">
        <w:rPr>
          <w:sz w:val="22"/>
          <w:szCs w:val="22"/>
          <w:lang w:val="sk-SK"/>
        </w:rPr>
        <w:t>pozri časť</w:t>
      </w:r>
      <w:r w:rsidR="00514887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4.5).</w:t>
      </w:r>
    </w:p>
    <w:p w14:paraId="143A57D0" w14:textId="77777777" w:rsidR="00A0407D" w:rsidRDefault="00A0407D" w:rsidP="005F241E">
      <w:pPr>
        <w:rPr>
          <w:sz w:val="22"/>
          <w:szCs w:val="22"/>
          <w:lang w:val="sk-SK"/>
        </w:rPr>
      </w:pPr>
    </w:p>
    <w:p w14:paraId="1D4776E5" w14:textId="77777777" w:rsidR="00A0407D" w:rsidRPr="00652B9D" w:rsidRDefault="009D37A8" w:rsidP="005F241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Je potrebné vyhnúť sa s</w:t>
      </w:r>
      <w:r w:rsidR="00A0407D">
        <w:rPr>
          <w:sz w:val="22"/>
          <w:szCs w:val="22"/>
          <w:lang w:val="sk-SK"/>
        </w:rPr>
        <w:t xml:space="preserve">úbežnému podávaniu </w:t>
      </w:r>
      <w:proofErr w:type="spellStart"/>
      <w:r w:rsidR="00A0407D">
        <w:rPr>
          <w:sz w:val="22"/>
          <w:szCs w:val="22"/>
          <w:lang w:val="sk-SK"/>
        </w:rPr>
        <w:t>Malarone</w:t>
      </w:r>
      <w:proofErr w:type="spellEnd"/>
      <w:r w:rsidR="00A0407D">
        <w:rPr>
          <w:sz w:val="22"/>
          <w:szCs w:val="22"/>
          <w:lang w:val="sk-SK"/>
        </w:rPr>
        <w:t xml:space="preserve"> a </w:t>
      </w:r>
      <w:proofErr w:type="spellStart"/>
      <w:r w:rsidR="00A0407D">
        <w:rPr>
          <w:sz w:val="22"/>
          <w:szCs w:val="22"/>
          <w:lang w:val="sk-SK"/>
        </w:rPr>
        <w:t>efavirenzu</w:t>
      </w:r>
      <w:proofErr w:type="spellEnd"/>
      <w:r w:rsidR="00A0407D">
        <w:rPr>
          <w:sz w:val="22"/>
          <w:szCs w:val="22"/>
          <w:lang w:val="sk-SK"/>
        </w:rPr>
        <w:t xml:space="preserve"> alebo posilnených inhibítorov</w:t>
      </w:r>
      <w:r>
        <w:rPr>
          <w:sz w:val="22"/>
          <w:szCs w:val="22"/>
          <w:lang w:val="sk-SK"/>
        </w:rPr>
        <w:t xml:space="preserve"> </w:t>
      </w:r>
      <w:proofErr w:type="spellStart"/>
      <w:r w:rsidR="007936E5">
        <w:rPr>
          <w:sz w:val="22"/>
          <w:szCs w:val="22"/>
          <w:lang w:val="sk-SK"/>
        </w:rPr>
        <w:t>proteáz</w:t>
      </w:r>
      <w:proofErr w:type="spellEnd"/>
      <w:r w:rsidR="007936E5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vždy, </w:t>
      </w:r>
      <w:r w:rsidR="00A0407D">
        <w:rPr>
          <w:sz w:val="22"/>
          <w:szCs w:val="22"/>
          <w:lang w:val="sk-SK"/>
        </w:rPr>
        <w:t>keď je to možné (pozri časť</w:t>
      </w:r>
      <w:r w:rsidR="00514887">
        <w:rPr>
          <w:sz w:val="22"/>
          <w:szCs w:val="22"/>
          <w:lang w:val="sk-SK"/>
        </w:rPr>
        <w:t> </w:t>
      </w:r>
      <w:r w:rsidR="00A0407D">
        <w:rPr>
          <w:sz w:val="22"/>
          <w:szCs w:val="22"/>
          <w:lang w:val="sk-SK"/>
        </w:rPr>
        <w:t>4.5).</w:t>
      </w:r>
    </w:p>
    <w:p w14:paraId="59A8E8BC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3FF56151" w14:textId="77777777" w:rsidR="00B843DF" w:rsidRDefault="00674352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Súbežné </w:t>
      </w:r>
      <w:r w:rsidR="00AE1E91" w:rsidRPr="00652B9D">
        <w:rPr>
          <w:sz w:val="22"/>
          <w:szCs w:val="22"/>
          <w:lang w:val="sk-SK"/>
        </w:rPr>
        <w:t xml:space="preserve">podávanie </w:t>
      </w:r>
      <w:proofErr w:type="spellStart"/>
      <w:r w:rsidR="00B843DF" w:rsidRPr="00652B9D">
        <w:rPr>
          <w:sz w:val="22"/>
          <w:szCs w:val="22"/>
          <w:lang w:val="sk-SK"/>
        </w:rPr>
        <w:t>Malarone</w:t>
      </w:r>
      <w:proofErr w:type="spellEnd"/>
      <w:r w:rsidR="00B843DF" w:rsidRPr="00652B9D">
        <w:rPr>
          <w:sz w:val="22"/>
          <w:szCs w:val="22"/>
          <w:lang w:val="sk-SK"/>
        </w:rPr>
        <w:t xml:space="preserve"> a</w:t>
      </w:r>
      <w:r w:rsidR="00AE1E91" w:rsidRPr="00652B9D">
        <w:rPr>
          <w:sz w:val="22"/>
          <w:szCs w:val="22"/>
          <w:lang w:val="sk-SK"/>
        </w:rPr>
        <w:t xml:space="preserve"> </w:t>
      </w:r>
      <w:proofErr w:type="spellStart"/>
      <w:r w:rsidR="00B843DF" w:rsidRPr="00652B9D">
        <w:rPr>
          <w:sz w:val="22"/>
          <w:szCs w:val="22"/>
          <w:lang w:val="sk-SK"/>
        </w:rPr>
        <w:t>rifampic</w:t>
      </w:r>
      <w:r w:rsidR="00AE1E91" w:rsidRPr="00652B9D">
        <w:rPr>
          <w:sz w:val="22"/>
          <w:szCs w:val="22"/>
          <w:lang w:val="sk-SK"/>
        </w:rPr>
        <w:t>í</w:t>
      </w:r>
      <w:r w:rsidR="00B843DF" w:rsidRPr="00652B9D">
        <w:rPr>
          <w:sz w:val="22"/>
          <w:szCs w:val="22"/>
          <w:lang w:val="sk-SK"/>
        </w:rPr>
        <w:t>n</w:t>
      </w:r>
      <w:r w:rsidR="00AE1E91" w:rsidRPr="00652B9D">
        <w:rPr>
          <w:sz w:val="22"/>
          <w:szCs w:val="22"/>
          <w:lang w:val="sk-SK"/>
        </w:rPr>
        <w:t>u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="00AE1E91" w:rsidRPr="00652B9D">
        <w:rPr>
          <w:sz w:val="22"/>
          <w:szCs w:val="22"/>
          <w:lang w:val="sk-SK"/>
        </w:rPr>
        <w:t>alebo</w:t>
      </w:r>
      <w:r w:rsidR="00B843DF" w:rsidRPr="00652B9D">
        <w:rPr>
          <w:sz w:val="22"/>
          <w:szCs w:val="22"/>
          <w:lang w:val="sk-SK"/>
        </w:rPr>
        <w:t xml:space="preserve"> </w:t>
      </w:r>
      <w:proofErr w:type="spellStart"/>
      <w:r w:rsidR="00B843DF" w:rsidRPr="00652B9D">
        <w:rPr>
          <w:sz w:val="22"/>
          <w:szCs w:val="22"/>
          <w:lang w:val="sk-SK"/>
        </w:rPr>
        <w:t>rifabut</w:t>
      </w:r>
      <w:r w:rsidR="00AE1E91" w:rsidRPr="00652B9D">
        <w:rPr>
          <w:sz w:val="22"/>
          <w:szCs w:val="22"/>
          <w:lang w:val="sk-SK"/>
        </w:rPr>
        <w:t>ínu</w:t>
      </w:r>
      <w:proofErr w:type="spellEnd"/>
      <w:r w:rsidR="00AE1E91" w:rsidRPr="00652B9D">
        <w:rPr>
          <w:sz w:val="22"/>
          <w:szCs w:val="22"/>
          <w:lang w:val="sk-SK"/>
        </w:rPr>
        <w:t xml:space="preserve"> sa neodporúča </w:t>
      </w:r>
      <w:r w:rsidR="00B843DF" w:rsidRPr="00652B9D">
        <w:rPr>
          <w:sz w:val="22"/>
          <w:szCs w:val="22"/>
          <w:lang w:val="sk-SK"/>
        </w:rPr>
        <w:t>(</w:t>
      </w:r>
      <w:r w:rsidR="00AE1E91" w:rsidRPr="00652B9D">
        <w:rPr>
          <w:sz w:val="22"/>
          <w:szCs w:val="22"/>
          <w:lang w:val="sk-SK"/>
        </w:rPr>
        <w:t>pozri časť</w:t>
      </w:r>
      <w:r w:rsidR="00514887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4.5).</w:t>
      </w:r>
    </w:p>
    <w:p w14:paraId="43A34548" w14:textId="77777777" w:rsidR="009D37A8" w:rsidRDefault="009D37A8" w:rsidP="005F241E">
      <w:pPr>
        <w:rPr>
          <w:sz w:val="22"/>
          <w:szCs w:val="22"/>
          <w:lang w:val="sk-SK"/>
        </w:rPr>
      </w:pPr>
    </w:p>
    <w:p w14:paraId="69A5A15D" w14:textId="77777777" w:rsidR="009D37A8" w:rsidRDefault="009D37A8" w:rsidP="005F241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Súbežné po</w:t>
      </w:r>
      <w:r w:rsidR="007936E5">
        <w:rPr>
          <w:sz w:val="22"/>
          <w:szCs w:val="22"/>
          <w:lang w:val="sk-SK"/>
        </w:rPr>
        <w:t>užit</w:t>
      </w:r>
      <w:r>
        <w:rPr>
          <w:sz w:val="22"/>
          <w:szCs w:val="22"/>
          <w:lang w:val="sk-SK"/>
        </w:rPr>
        <w:t xml:space="preserve">ie </w:t>
      </w:r>
      <w:proofErr w:type="spellStart"/>
      <w:r>
        <w:rPr>
          <w:sz w:val="22"/>
          <w:szCs w:val="22"/>
          <w:lang w:val="sk-SK"/>
        </w:rPr>
        <w:t>metoklopramidu</w:t>
      </w:r>
      <w:proofErr w:type="spellEnd"/>
      <w:r>
        <w:rPr>
          <w:sz w:val="22"/>
          <w:szCs w:val="22"/>
          <w:lang w:val="sk-SK"/>
        </w:rPr>
        <w:t xml:space="preserve"> sa neodporúča. </w:t>
      </w:r>
      <w:r w:rsidR="00834C95">
        <w:rPr>
          <w:sz w:val="22"/>
          <w:szCs w:val="22"/>
          <w:lang w:val="sk-SK"/>
        </w:rPr>
        <w:t>Je potrebné</w:t>
      </w:r>
      <w:r>
        <w:rPr>
          <w:sz w:val="22"/>
          <w:szCs w:val="22"/>
          <w:lang w:val="sk-SK"/>
        </w:rPr>
        <w:t xml:space="preserve"> podať in</w:t>
      </w:r>
      <w:r w:rsidR="006D2273">
        <w:rPr>
          <w:sz w:val="22"/>
          <w:szCs w:val="22"/>
          <w:lang w:val="sk-SK"/>
        </w:rPr>
        <w:t xml:space="preserve">ú </w:t>
      </w:r>
      <w:proofErr w:type="spellStart"/>
      <w:r>
        <w:rPr>
          <w:sz w:val="22"/>
          <w:szCs w:val="22"/>
          <w:lang w:val="sk-SK"/>
        </w:rPr>
        <w:t>antiemeti</w:t>
      </w:r>
      <w:r w:rsidR="006D2273">
        <w:rPr>
          <w:sz w:val="22"/>
          <w:szCs w:val="22"/>
          <w:lang w:val="sk-SK"/>
        </w:rPr>
        <w:t>c</w:t>
      </w:r>
      <w:r>
        <w:rPr>
          <w:sz w:val="22"/>
          <w:szCs w:val="22"/>
          <w:lang w:val="sk-SK"/>
        </w:rPr>
        <w:t>k</w:t>
      </w:r>
      <w:r w:rsidR="006D2273">
        <w:rPr>
          <w:sz w:val="22"/>
          <w:szCs w:val="22"/>
          <w:lang w:val="sk-SK"/>
        </w:rPr>
        <w:t>ú</w:t>
      </w:r>
      <w:proofErr w:type="spellEnd"/>
      <w:r w:rsidR="006D2273">
        <w:rPr>
          <w:sz w:val="22"/>
          <w:szCs w:val="22"/>
          <w:lang w:val="sk-SK"/>
        </w:rPr>
        <w:t xml:space="preserve"> liečbu</w:t>
      </w:r>
      <w:r>
        <w:rPr>
          <w:sz w:val="22"/>
          <w:szCs w:val="22"/>
          <w:lang w:val="sk-SK"/>
        </w:rPr>
        <w:t xml:space="preserve"> (pozri časť</w:t>
      </w:r>
      <w:r w:rsidR="00514887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4.5).</w:t>
      </w:r>
    </w:p>
    <w:p w14:paraId="122C4E32" w14:textId="77777777" w:rsidR="00C0441A" w:rsidRDefault="00C0441A" w:rsidP="005F241E">
      <w:pPr>
        <w:rPr>
          <w:sz w:val="22"/>
          <w:szCs w:val="22"/>
          <w:lang w:val="sk-SK"/>
        </w:rPr>
      </w:pPr>
    </w:p>
    <w:p w14:paraId="48C08CBC" w14:textId="77777777" w:rsidR="00C0441A" w:rsidRDefault="00C0441A" w:rsidP="005F241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Odporúča sa obozretnosť</w:t>
      </w:r>
      <w:r w:rsidR="00BC18FF">
        <w:rPr>
          <w:sz w:val="22"/>
          <w:szCs w:val="22"/>
          <w:lang w:val="sk-SK"/>
        </w:rPr>
        <w:t xml:space="preserve">, keď sa profylaxia malárie alebo jej liečba s </w:t>
      </w:r>
      <w:proofErr w:type="spellStart"/>
      <w:r w:rsidR="00BC18FF">
        <w:rPr>
          <w:sz w:val="22"/>
          <w:szCs w:val="22"/>
          <w:lang w:val="sk-SK"/>
        </w:rPr>
        <w:t>Malarone</w:t>
      </w:r>
      <w:proofErr w:type="spellEnd"/>
      <w:r w:rsidR="00BC18FF">
        <w:rPr>
          <w:sz w:val="22"/>
          <w:szCs w:val="22"/>
          <w:lang w:val="sk-SK"/>
        </w:rPr>
        <w:t xml:space="preserve"> začína alebo ukončuje u pacientov </w:t>
      </w:r>
      <w:r w:rsidR="002E6782">
        <w:rPr>
          <w:sz w:val="22"/>
          <w:szCs w:val="22"/>
          <w:lang w:val="sk-SK"/>
        </w:rPr>
        <w:t xml:space="preserve">podstupujúcich kontinuálnu liečbu </w:t>
      </w:r>
      <w:proofErr w:type="spellStart"/>
      <w:r w:rsidR="00681D57">
        <w:rPr>
          <w:sz w:val="22"/>
          <w:szCs w:val="22"/>
          <w:lang w:val="sk-SK"/>
        </w:rPr>
        <w:t>warfarínom</w:t>
      </w:r>
      <w:proofErr w:type="spellEnd"/>
      <w:r w:rsidR="00681D57">
        <w:rPr>
          <w:sz w:val="22"/>
          <w:szCs w:val="22"/>
          <w:lang w:val="sk-SK"/>
        </w:rPr>
        <w:t xml:space="preserve"> alebo inými </w:t>
      </w:r>
      <w:proofErr w:type="spellStart"/>
      <w:r w:rsidR="00141766">
        <w:rPr>
          <w:sz w:val="22"/>
          <w:szCs w:val="22"/>
          <w:lang w:val="sk-SK"/>
        </w:rPr>
        <w:t>kumarínovými</w:t>
      </w:r>
      <w:proofErr w:type="spellEnd"/>
      <w:r w:rsidR="00141766">
        <w:rPr>
          <w:sz w:val="22"/>
          <w:szCs w:val="22"/>
          <w:lang w:val="sk-SK"/>
        </w:rPr>
        <w:t xml:space="preserve"> </w:t>
      </w:r>
      <w:proofErr w:type="spellStart"/>
      <w:r w:rsidR="00681D57">
        <w:rPr>
          <w:sz w:val="22"/>
          <w:szCs w:val="22"/>
          <w:lang w:val="sk-SK"/>
        </w:rPr>
        <w:t>antikoagulanciami</w:t>
      </w:r>
      <w:proofErr w:type="spellEnd"/>
      <w:r w:rsidR="00681D57">
        <w:rPr>
          <w:sz w:val="22"/>
          <w:szCs w:val="22"/>
          <w:lang w:val="sk-SK"/>
        </w:rPr>
        <w:t xml:space="preserve"> (pozri časť</w:t>
      </w:r>
      <w:r w:rsidR="00514887">
        <w:rPr>
          <w:sz w:val="22"/>
          <w:szCs w:val="22"/>
          <w:lang w:val="sk-SK"/>
        </w:rPr>
        <w:t> </w:t>
      </w:r>
      <w:r w:rsidR="00681D57">
        <w:rPr>
          <w:sz w:val="22"/>
          <w:szCs w:val="22"/>
          <w:lang w:val="sk-SK"/>
        </w:rPr>
        <w:t>4.5).</w:t>
      </w:r>
    </w:p>
    <w:p w14:paraId="1DE3E775" w14:textId="77777777" w:rsidR="002E6782" w:rsidRDefault="002E6782" w:rsidP="005F241E">
      <w:pPr>
        <w:rPr>
          <w:sz w:val="22"/>
          <w:szCs w:val="22"/>
          <w:lang w:val="sk-SK"/>
        </w:rPr>
      </w:pPr>
    </w:p>
    <w:p w14:paraId="4B334134" w14:textId="77777777" w:rsidR="002E6782" w:rsidRPr="00652B9D" w:rsidRDefault="002E6782" w:rsidP="005F241E">
      <w:pPr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Atovachón</w:t>
      </w:r>
      <w:proofErr w:type="spellEnd"/>
      <w:r>
        <w:rPr>
          <w:sz w:val="22"/>
          <w:szCs w:val="22"/>
          <w:lang w:val="sk-SK"/>
        </w:rPr>
        <w:t xml:space="preserve"> môže zvýšiť hladiny </w:t>
      </w:r>
      <w:proofErr w:type="spellStart"/>
      <w:r>
        <w:rPr>
          <w:sz w:val="22"/>
          <w:szCs w:val="22"/>
          <w:lang w:val="sk-SK"/>
        </w:rPr>
        <w:t>etoposidu</w:t>
      </w:r>
      <w:proofErr w:type="spellEnd"/>
      <w:r>
        <w:rPr>
          <w:sz w:val="22"/>
          <w:szCs w:val="22"/>
          <w:lang w:val="sk-SK"/>
        </w:rPr>
        <w:t xml:space="preserve"> a jeho </w:t>
      </w:r>
      <w:proofErr w:type="spellStart"/>
      <w:r>
        <w:rPr>
          <w:sz w:val="22"/>
          <w:szCs w:val="22"/>
          <w:lang w:val="sk-SK"/>
        </w:rPr>
        <w:t>metabolit</w:t>
      </w:r>
      <w:r w:rsidR="00F41EFD">
        <w:rPr>
          <w:sz w:val="22"/>
          <w:szCs w:val="22"/>
          <w:lang w:val="sk-SK"/>
        </w:rPr>
        <w:t>u</w:t>
      </w:r>
      <w:proofErr w:type="spellEnd"/>
      <w:r>
        <w:rPr>
          <w:sz w:val="22"/>
          <w:szCs w:val="22"/>
          <w:lang w:val="sk-SK"/>
        </w:rPr>
        <w:t xml:space="preserve"> (pozri časť</w:t>
      </w:r>
      <w:r w:rsidR="00514887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4.5).</w:t>
      </w:r>
    </w:p>
    <w:p w14:paraId="08594F98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654F3CAE" w14:textId="77777777" w:rsidR="00B843DF" w:rsidRDefault="00AE1E91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U pacientov s ťažkou poruchou funkci</w:t>
      </w:r>
      <w:r w:rsidR="004566BD" w:rsidRPr="00652B9D">
        <w:rPr>
          <w:sz w:val="22"/>
          <w:szCs w:val="22"/>
          <w:lang w:val="sk-SK"/>
        </w:rPr>
        <w:t>e obličiek (</w:t>
      </w:r>
      <w:proofErr w:type="spellStart"/>
      <w:r w:rsidR="004566BD" w:rsidRPr="00652B9D">
        <w:rPr>
          <w:sz w:val="22"/>
          <w:szCs w:val="22"/>
          <w:lang w:val="sk-SK"/>
        </w:rPr>
        <w:t>klírens</w:t>
      </w:r>
      <w:proofErr w:type="spellEnd"/>
      <w:r w:rsidR="004566BD" w:rsidRPr="00652B9D">
        <w:rPr>
          <w:sz w:val="22"/>
          <w:szCs w:val="22"/>
          <w:lang w:val="sk-SK"/>
        </w:rPr>
        <w:t xml:space="preserve"> </w:t>
      </w:r>
      <w:proofErr w:type="spellStart"/>
      <w:r w:rsidR="004566BD" w:rsidRPr="00652B9D">
        <w:rPr>
          <w:sz w:val="22"/>
          <w:szCs w:val="22"/>
          <w:lang w:val="sk-SK"/>
        </w:rPr>
        <w:t>kreatinínu</w:t>
      </w:r>
      <w:proofErr w:type="spellEnd"/>
      <w:r w:rsidR="004566BD" w:rsidRPr="00652B9D">
        <w:rPr>
          <w:sz w:val="22"/>
          <w:szCs w:val="22"/>
          <w:lang w:val="sk-SK"/>
        </w:rPr>
        <w:t xml:space="preserve"> &lt;</w:t>
      </w:r>
      <w:r w:rsidR="00514887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30</w:t>
      </w:r>
      <w:r w:rsidR="00514887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 xml:space="preserve">ml/min) sa na liečbu akútnej malárie vyvolanej kmeňom </w:t>
      </w:r>
      <w:r w:rsidRPr="00652B9D">
        <w:rPr>
          <w:i/>
          <w:iCs/>
          <w:sz w:val="22"/>
          <w:szCs w:val="22"/>
          <w:lang w:val="sk-SK"/>
        </w:rPr>
        <w:t xml:space="preserve">P. </w:t>
      </w:r>
      <w:proofErr w:type="spellStart"/>
      <w:r w:rsidRPr="00652B9D">
        <w:rPr>
          <w:i/>
          <w:iCs/>
          <w:sz w:val="22"/>
          <w:szCs w:val="22"/>
          <w:lang w:val="sk-SK"/>
        </w:rPr>
        <w:t>falciparum</w:t>
      </w:r>
      <w:proofErr w:type="spellEnd"/>
      <w:r w:rsidRPr="00652B9D">
        <w:rPr>
          <w:i/>
          <w:iCs/>
          <w:sz w:val="22"/>
          <w:szCs w:val="22"/>
          <w:lang w:val="sk-SK"/>
        </w:rPr>
        <w:t xml:space="preserve"> </w:t>
      </w:r>
      <w:r w:rsidR="004566BD" w:rsidRPr="00652B9D">
        <w:rPr>
          <w:sz w:val="22"/>
          <w:szCs w:val="22"/>
          <w:lang w:val="sk-SK"/>
        </w:rPr>
        <w:t>majú vždy, keď je to možné</w:t>
      </w:r>
      <w:r w:rsidR="008F6573" w:rsidRPr="00652B9D">
        <w:rPr>
          <w:sz w:val="22"/>
          <w:szCs w:val="22"/>
          <w:lang w:val="sk-SK"/>
        </w:rPr>
        <w:t>,</w:t>
      </w:r>
      <w:r w:rsidR="004566BD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odporúčať alternatívy </w:t>
      </w:r>
      <w:proofErr w:type="spellStart"/>
      <w:r w:rsidRPr="00652B9D">
        <w:rPr>
          <w:sz w:val="22"/>
          <w:szCs w:val="22"/>
          <w:lang w:val="sk-SK"/>
        </w:rPr>
        <w:t>Malarone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sz w:val="22"/>
          <w:szCs w:val="22"/>
          <w:lang w:val="sk-SK"/>
        </w:rPr>
        <w:t>(</w:t>
      </w:r>
      <w:r w:rsidRPr="00652B9D">
        <w:rPr>
          <w:sz w:val="22"/>
          <w:szCs w:val="22"/>
          <w:lang w:val="sk-SK"/>
        </w:rPr>
        <w:t>pozri čas</w:t>
      </w:r>
      <w:r w:rsidR="00B843DF" w:rsidRPr="00652B9D">
        <w:rPr>
          <w:sz w:val="22"/>
          <w:szCs w:val="22"/>
          <w:lang w:val="sk-SK"/>
        </w:rPr>
        <w:t>ti</w:t>
      </w:r>
      <w:r w:rsidR="00514887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4.2,</w:t>
      </w:r>
      <w:r w:rsidR="00514887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4.3</w:t>
      </w:r>
      <w:r w:rsidR="00514887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a</w:t>
      </w:r>
      <w:r w:rsidR="00514887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5.2).</w:t>
      </w:r>
    </w:p>
    <w:p w14:paraId="2BD7BD79" w14:textId="77777777" w:rsidR="002E6782" w:rsidRDefault="002E6782" w:rsidP="005F241E">
      <w:pPr>
        <w:rPr>
          <w:sz w:val="22"/>
          <w:szCs w:val="22"/>
          <w:lang w:val="sk-SK"/>
        </w:rPr>
      </w:pPr>
    </w:p>
    <w:p w14:paraId="0E8C91C5" w14:textId="19E467C2" w:rsidR="002E6782" w:rsidRDefault="002E6782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Bezpečnosť a účinnosť </w:t>
      </w:r>
      <w:proofErr w:type="spellStart"/>
      <w:r w:rsidRPr="00652B9D">
        <w:rPr>
          <w:sz w:val="22"/>
          <w:szCs w:val="22"/>
          <w:lang w:val="sk-SK"/>
        </w:rPr>
        <w:t>Malarone</w:t>
      </w:r>
      <w:proofErr w:type="spellEnd"/>
      <w:r w:rsidRPr="00652B9D">
        <w:rPr>
          <w:sz w:val="22"/>
          <w:szCs w:val="22"/>
          <w:lang w:val="sk-SK"/>
        </w:rPr>
        <w:t xml:space="preserve"> (tabliet </w:t>
      </w:r>
      <w:proofErr w:type="spellStart"/>
      <w:r w:rsidRPr="00652B9D">
        <w:rPr>
          <w:sz w:val="22"/>
          <w:szCs w:val="22"/>
          <w:lang w:val="sk-SK"/>
        </w:rPr>
        <w:t>atova</w:t>
      </w:r>
      <w:r>
        <w:rPr>
          <w:sz w:val="22"/>
          <w:szCs w:val="22"/>
          <w:lang w:val="sk-SK"/>
        </w:rPr>
        <w:t>ch</w:t>
      </w:r>
      <w:r w:rsidRPr="00652B9D">
        <w:rPr>
          <w:sz w:val="22"/>
          <w:szCs w:val="22"/>
          <w:lang w:val="sk-SK"/>
        </w:rPr>
        <w:t>ónu</w:t>
      </w:r>
      <w:proofErr w:type="spellEnd"/>
      <w:r w:rsidRPr="00652B9D">
        <w:rPr>
          <w:sz w:val="22"/>
          <w:szCs w:val="22"/>
          <w:lang w:val="sk-SK"/>
        </w:rPr>
        <w:t xml:space="preserve"> 250 mg/</w:t>
      </w:r>
      <w:proofErr w:type="spellStart"/>
      <w:r w:rsidRPr="00652B9D">
        <w:rPr>
          <w:sz w:val="22"/>
          <w:szCs w:val="22"/>
          <w:lang w:val="sk-SK"/>
        </w:rPr>
        <w:t>prog</w:t>
      </w:r>
      <w:r>
        <w:rPr>
          <w:sz w:val="22"/>
          <w:szCs w:val="22"/>
          <w:lang w:val="sk-SK"/>
        </w:rPr>
        <w:t>u</w:t>
      </w:r>
      <w:r w:rsidRPr="00652B9D">
        <w:rPr>
          <w:sz w:val="22"/>
          <w:szCs w:val="22"/>
          <w:lang w:val="sk-SK"/>
        </w:rPr>
        <w:t>an</w:t>
      </w:r>
      <w:r w:rsidR="00374D6A">
        <w:rPr>
          <w:sz w:val="22"/>
          <w:szCs w:val="22"/>
          <w:lang w:val="sk-SK"/>
        </w:rPr>
        <w:t>í</w:t>
      </w:r>
      <w:r w:rsidRPr="00652B9D">
        <w:rPr>
          <w:sz w:val="22"/>
          <w:szCs w:val="22"/>
          <w:lang w:val="sk-SK"/>
        </w:rPr>
        <w:t>lium</w:t>
      </w:r>
      <w:proofErr w:type="spellEnd"/>
      <w:r w:rsidR="00374D6A">
        <w:rPr>
          <w:sz w:val="22"/>
          <w:szCs w:val="22"/>
          <w:lang w:val="sk-SK"/>
        </w:rPr>
        <w:t>-</w:t>
      </w:r>
      <w:r w:rsidRPr="00652B9D">
        <w:rPr>
          <w:sz w:val="22"/>
          <w:szCs w:val="22"/>
          <w:lang w:val="sk-SK"/>
        </w:rPr>
        <w:t>chloridu 100 mg) na</w:t>
      </w:r>
      <w:r w:rsidR="007C36A7">
        <w:rPr>
          <w:sz w:val="22"/>
          <w:szCs w:val="22"/>
          <w:lang w:val="sk-SK"/>
        </w:rPr>
        <w:t> </w:t>
      </w:r>
      <w:r w:rsidRPr="006B69FE">
        <w:rPr>
          <w:sz w:val="22"/>
          <w:szCs w:val="22"/>
          <w:u w:val="single"/>
          <w:lang w:val="sk-SK"/>
        </w:rPr>
        <w:t>profylaxiu</w:t>
      </w:r>
      <w:r w:rsidRPr="00652B9D">
        <w:rPr>
          <w:sz w:val="22"/>
          <w:szCs w:val="22"/>
          <w:lang w:val="sk-SK"/>
        </w:rPr>
        <w:t xml:space="preserve"> malárie u</w:t>
      </w:r>
      <w:r w:rsidR="00F41EFD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pacientov</w:t>
      </w:r>
      <w:r w:rsidR="00F41EFD">
        <w:rPr>
          <w:sz w:val="22"/>
          <w:szCs w:val="22"/>
          <w:lang w:val="sk-SK"/>
        </w:rPr>
        <w:t xml:space="preserve"> s telesnou hmotnosťou nižšou</w:t>
      </w:r>
      <w:r w:rsidRPr="00652B9D">
        <w:rPr>
          <w:sz w:val="22"/>
          <w:szCs w:val="22"/>
          <w:lang w:val="sk-SK"/>
        </w:rPr>
        <w:t xml:space="preserve"> ako </w:t>
      </w:r>
      <w:smartTag w:uri="urn:schemas-microsoft-com:office:smarttags" w:element="metricconverter">
        <w:smartTagPr>
          <w:attr w:name="ProductID" w:val="40ﾠkg"/>
        </w:smartTagPr>
        <w:r w:rsidRPr="00652B9D">
          <w:rPr>
            <w:sz w:val="22"/>
            <w:szCs w:val="22"/>
            <w:lang w:val="sk-SK"/>
          </w:rPr>
          <w:t>40</w:t>
        </w:r>
        <w:r>
          <w:rPr>
            <w:sz w:val="22"/>
            <w:szCs w:val="22"/>
            <w:lang w:val="sk-SK"/>
          </w:rPr>
          <w:t> </w:t>
        </w:r>
        <w:r w:rsidRPr="00652B9D">
          <w:rPr>
            <w:sz w:val="22"/>
            <w:szCs w:val="22"/>
            <w:lang w:val="sk-SK"/>
          </w:rPr>
          <w:t>kg</w:t>
        </w:r>
      </w:smartTag>
      <w:r>
        <w:rPr>
          <w:sz w:val="22"/>
          <w:szCs w:val="22"/>
          <w:lang w:val="sk-SK"/>
        </w:rPr>
        <w:t xml:space="preserve">, alebo na </w:t>
      </w:r>
      <w:r w:rsidRPr="006B69FE">
        <w:rPr>
          <w:sz w:val="22"/>
          <w:szCs w:val="22"/>
          <w:u w:val="single"/>
          <w:lang w:val="sk-SK"/>
        </w:rPr>
        <w:t>liečbu</w:t>
      </w:r>
      <w:r>
        <w:rPr>
          <w:sz w:val="22"/>
          <w:szCs w:val="22"/>
          <w:lang w:val="sk-SK"/>
        </w:rPr>
        <w:t xml:space="preserve"> malárie u pediatrických pacientov</w:t>
      </w:r>
      <w:r w:rsidR="00F41EFD" w:rsidRPr="00F41EFD">
        <w:rPr>
          <w:sz w:val="22"/>
          <w:szCs w:val="22"/>
          <w:lang w:val="sk-SK"/>
        </w:rPr>
        <w:t xml:space="preserve"> </w:t>
      </w:r>
      <w:r w:rsidR="00F41EFD">
        <w:rPr>
          <w:sz w:val="22"/>
          <w:szCs w:val="22"/>
          <w:lang w:val="sk-SK"/>
        </w:rPr>
        <w:t xml:space="preserve">s telesnou hmotnosťou nižšou </w:t>
      </w:r>
      <w:r>
        <w:rPr>
          <w:sz w:val="22"/>
          <w:szCs w:val="22"/>
          <w:lang w:val="sk-SK"/>
        </w:rPr>
        <w:t xml:space="preserve">ako </w:t>
      </w:r>
      <w:smartTag w:uri="urn:schemas-microsoft-com:office:smarttags" w:element="metricconverter">
        <w:smartTagPr>
          <w:attr w:name="ProductID" w:val="11ﾠkg"/>
        </w:smartTagPr>
        <w:r>
          <w:rPr>
            <w:sz w:val="22"/>
            <w:szCs w:val="22"/>
            <w:lang w:val="sk-SK"/>
          </w:rPr>
          <w:t>11 kg</w:t>
        </w:r>
      </w:smartTag>
      <w:r w:rsidRPr="00652B9D">
        <w:rPr>
          <w:sz w:val="22"/>
          <w:szCs w:val="22"/>
          <w:lang w:val="sk-SK"/>
        </w:rPr>
        <w:t xml:space="preserve"> nebol</w:t>
      </w:r>
      <w:r w:rsidR="008823C8">
        <w:rPr>
          <w:sz w:val="22"/>
          <w:szCs w:val="22"/>
          <w:lang w:val="sk-SK"/>
        </w:rPr>
        <w:t>i</w:t>
      </w:r>
      <w:r w:rsidRPr="00652B9D">
        <w:rPr>
          <w:sz w:val="22"/>
          <w:szCs w:val="22"/>
          <w:lang w:val="sk-SK"/>
        </w:rPr>
        <w:t xml:space="preserve"> stanoven</w:t>
      </w:r>
      <w:r w:rsidR="008823C8">
        <w:rPr>
          <w:sz w:val="22"/>
          <w:szCs w:val="22"/>
          <w:lang w:val="sk-SK"/>
        </w:rPr>
        <w:t>é</w:t>
      </w:r>
      <w:r>
        <w:rPr>
          <w:sz w:val="22"/>
          <w:szCs w:val="22"/>
          <w:lang w:val="sk-SK"/>
        </w:rPr>
        <w:t>.</w:t>
      </w:r>
    </w:p>
    <w:p w14:paraId="41C0D8A1" w14:textId="77777777" w:rsidR="00374D6A" w:rsidRDefault="00374D6A" w:rsidP="005F241E">
      <w:pPr>
        <w:rPr>
          <w:sz w:val="22"/>
          <w:szCs w:val="22"/>
          <w:lang w:val="sk-SK"/>
        </w:rPr>
      </w:pPr>
    </w:p>
    <w:p w14:paraId="1E184016" w14:textId="77777777" w:rsidR="00374D6A" w:rsidRPr="00652B9D" w:rsidRDefault="00374D6A" w:rsidP="005F241E">
      <w:pPr>
        <w:rPr>
          <w:sz w:val="22"/>
          <w:szCs w:val="22"/>
          <w:lang w:val="sk-SK" w:eastAsia="sk-SK"/>
        </w:rPr>
      </w:pPr>
      <w:r w:rsidRPr="00374D6A">
        <w:rPr>
          <w:sz w:val="22"/>
          <w:szCs w:val="22"/>
          <w:lang w:val="sk-SK" w:eastAsia="sk-SK"/>
        </w:rPr>
        <w:t>Tento liek obsahuje menej ako 1 mmol sodíka (23 mg) v jednej tablete, t. j. v podstate zanedbateľné množstvo sodíka.</w:t>
      </w:r>
    </w:p>
    <w:p w14:paraId="235F3D86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17C7F3A1" w14:textId="77777777" w:rsidR="00B843DF" w:rsidRPr="00652B9D" w:rsidRDefault="00B843DF" w:rsidP="005F241E">
      <w:pPr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4.5</w:t>
      </w:r>
      <w:r w:rsidR="00A97DD5" w:rsidRPr="00652B9D">
        <w:rPr>
          <w:b/>
          <w:sz w:val="22"/>
          <w:szCs w:val="22"/>
          <w:lang w:val="sk-SK"/>
        </w:rPr>
        <w:tab/>
      </w:r>
      <w:r w:rsidR="009858E3" w:rsidRPr="00652B9D">
        <w:rPr>
          <w:b/>
          <w:sz w:val="22"/>
          <w:szCs w:val="22"/>
          <w:lang w:val="sk-SK"/>
        </w:rPr>
        <w:t>Liekové a iné i</w:t>
      </w:r>
      <w:r w:rsidRPr="00652B9D">
        <w:rPr>
          <w:b/>
          <w:sz w:val="22"/>
          <w:szCs w:val="22"/>
          <w:lang w:val="sk-SK"/>
        </w:rPr>
        <w:t>ntera</w:t>
      </w:r>
      <w:r w:rsidR="009858E3" w:rsidRPr="00652B9D">
        <w:rPr>
          <w:b/>
          <w:sz w:val="22"/>
          <w:szCs w:val="22"/>
          <w:lang w:val="sk-SK"/>
        </w:rPr>
        <w:t>k</w:t>
      </w:r>
      <w:r w:rsidRPr="00652B9D">
        <w:rPr>
          <w:b/>
          <w:sz w:val="22"/>
          <w:szCs w:val="22"/>
          <w:lang w:val="sk-SK"/>
        </w:rPr>
        <w:t>ci</w:t>
      </w:r>
      <w:r w:rsidR="009858E3" w:rsidRPr="00652B9D">
        <w:rPr>
          <w:b/>
          <w:sz w:val="22"/>
          <w:szCs w:val="22"/>
          <w:lang w:val="sk-SK"/>
        </w:rPr>
        <w:t>e</w:t>
      </w:r>
    </w:p>
    <w:p w14:paraId="6CDA38EF" w14:textId="77777777" w:rsidR="0082375C" w:rsidRPr="00652B9D" w:rsidRDefault="0082375C" w:rsidP="005F241E">
      <w:pPr>
        <w:rPr>
          <w:sz w:val="22"/>
          <w:szCs w:val="22"/>
          <w:lang w:val="sk-SK"/>
        </w:rPr>
      </w:pPr>
    </w:p>
    <w:p w14:paraId="0AC713AD" w14:textId="77777777" w:rsidR="002E6782" w:rsidRPr="00652B9D" w:rsidRDefault="002E6782" w:rsidP="005F241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Súbežné podávanie </w:t>
      </w:r>
      <w:proofErr w:type="spellStart"/>
      <w:r>
        <w:rPr>
          <w:sz w:val="22"/>
          <w:szCs w:val="22"/>
          <w:lang w:val="sk-SK"/>
        </w:rPr>
        <w:t>rifampicínu</w:t>
      </w:r>
      <w:proofErr w:type="spellEnd"/>
      <w:r>
        <w:rPr>
          <w:sz w:val="22"/>
          <w:szCs w:val="22"/>
          <w:lang w:val="sk-SK"/>
        </w:rPr>
        <w:t xml:space="preserve"> alebo </w:t>
      </w:r>
      <w:proofErr w:type="spellStart"/>
      <w:r>
        <w:rPr>
          <w:sz w:val="22"/>
          <w:szCs w:val="22"/>
          <w:lang w:val="sk-SK"/>
        </w:rPr>
        <w:t>rifabutínu</w:t>
      </w:r>
      <w:proofErr w:type="spellEnd"/>
      <w:r>
        <w:rPr>
          <w:sz w:val="22"/>
          <w:szCs w:val="22"/>
          <w:lang w:val="sk-SK"/>
        </w:rPr>
        <w:t xml:space="preserve"> sa neodporúča, keďže </w:t>
      </w:r>
      <w:r w:rsidR="00FA2DCC">
        <w:rPr>
          <w:sz w:val="22"/>
          <w:szCs w:val="22"/>
          <w:lang w:val="sk-SK"/>
        </w:rPr>
        <w:t>sú</w:t>
      </w:r>
      <w:r>
        <w:rPr>
          <w:sz w:val="22"/>
          <w:szCs w:val="22"/>
          <w:lang w:val="sk-SK"/>
        </w:rPr>
        <w:t xml:space="preserve"> známe tým, že </w:t>
      </w:r>
      <w:r w:rsidRPr="00652B9D">
        <w:rPr>
          <w:sz w:val="22"/>
          <w:szCs w:val="22"/>
          <w:lang w:val="sk-SK"/>
        </w:rPr>
        <w:t>znižuj</w:t>
      </w:r>
      <w:r w:rsidR="00FA2DCC">
        <w:rPr>
          <w:sz w:val="22"/>
          <w:szCs w:val="22"/>
          <w:lang w:val="sk-SK"/>
        </w:rPr>
        <w:t>ú</w:t>
      </w:r>
      <w:r w:rsidRPr="00652B9D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plazmatické koncentrácie</w:t>
      </w:r>
      <w:r w:rsidRPr="00652B9D">
        <w:rPr>
          <w:sz w:val="22"/>
          <w:szCs w:val="22"/>
          <w:lang w:val="sk-SK"/>
        </w:rPr>
        <w:t xml:space="preserve"> </w:t>
      </w:r>
      <w:proofErr w:type="spellStart"/>
      <w:r w:rsidRPr="00652B9D">
        <w:rPr>
          <w:sz w:val="22"/>
          <w:szCs w:val="22"/>
          <w:lang w:val="sk-SK"/>
        </w:rPr>
        <w:t>atova</w:t>
      </w:r>
      <w:r>
        <w:rPr>
          <w:sz w:val="22"/>
          <w:szCs w:val="22"/>
          <w:lang w:val="sk-SK"/>
        </w:rPr>
        <w:t>ch</w:t>
      </w:r>
      <w:r w:rsidRPr="00652B9D">
        <w:rPr>
          <w:sz w:val="22"/>
          <w:szCs w:val="22"/>
          <w:lang w:val="sk-SK"/>
        </w:rPr>
        <w:t>ónu</w:t>
      </w:r>
      <w:proofErr w:type="spellEnd"/>
      <w:r w:rsidRPr="00652B9D">
        <w:rPr>
          <w:sz w:val="22"/>
          <w:szCs w:val="22"/>
          <w:lang w:val="sk-SK"/>
        </w:rPr>
        <w:t xml:space="preserve"> približne </w:t>
      </w:r>
      <w:r w:rsidR="00412B95">
        <w:rPr>
          <w:sz w:val="22"/>
          <w:szCs w:val="22"/>
          <w:lang w:val="sk-SK"/>
        </w:rPr>
        <w:t>o</w:t>
      </w:r>
      <w:r w:rsidR="007C36A7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50</w:t>
      </w:r>
      <w:r w:rsidR="007C36A7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 xml:space="preserve">% </w:t>
      </w:r>
      <w:r>
        <w:rPr>
          <w:sz w:val="22"/>
          <w:szCs w:val="22"/>
          <w:lang w:val="sk-SK"/>
        </w:rPr>
        <w:t xml:space="preserve">(v prípade </w:t>
      </w:r>
      <w:proofErr w:type="spellStart"/>
      <w:r>
        <w:rPr>
          <w:sz w:val="22"/>
          <w:szCs w:val="22"/>
          <w:lang w:val="sk-SK"/>
        </w:rPr>
        <w:t>rifampicínu</w:t>
      </w:r>
      <w:proofErr w:type="spellEnd"/>
      <w:r>
        <w:rPr>
          <w:sz w:val="22"/>
          <w:szCs w:val="22"/>
          <w:lang w:val="sk-SK"/>
        </w:rPr>
        <w:t xml:space="preserve">) </w:t>
      </w:r>
      <w:r w:rsidRPr="00652B9D">
        <w:rPr>
          <w:sz w:val="22"/>
          <w:szCs w:val="22"/>
          <w:lang w:val="sk-SK"/>
        </w:rPr>
        <w:t>a</w:t>
      </w:r>
      <w:r w:rsidR="00412B95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približne</w:t>
      </w:r>
      <w:r w:rsidR="00412B95">
        <w:rPr>
          <w:sz w:val="22"/>
          <w:szCs w:val="22"/>
          <w:lang w:val="sk-SK"/>
        </w:rPr>
        <w:t xml:space="preserve"> o</w:t>
      </w:r>
      <w:r w:rsidR="007C36A7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34</w:t>
      </w:r>
      <w:r w:rsidR="007C36A7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 xml:space="preserve">% </w:t>
      </w:r>
      <w:r>
        <w:rPr>
          <w:sz w:val="22"/>
          <w:szCs w:val="22"/>
          <w:lang w:val="sk-SK"/>
        </w:rPr>
        <w:t xml:space="preserve">(v prípade </w:t>
      </w:r>
      <w:proofErr w:type="spellStart"/>
      <w:r>
        <w:rPr>
          <w:sz w:val="22"/>
          <w:szCs w:val="22"/>
          <w:lang w:val="sk-SK"/>
        </w:rPr>
        <w:t>rifabutínu</w:t>
      </w:r>
      <w:proofErr w:type="spellEnd"/>
      <w:r>
        <w:rPr>
          <w:sz w:val="22"/>
          <w:szCs w:val="22"/>
          <w:lang w:val="sk-SK"/>
        </w:rPr>
        <w:t xml:space="preserve">) </w:t>
      </w:r>
      <w:r w:rsidRPr="00652B9D">
        <w:rPr>
          <w:sz w:val="22"/>
          <w:szCs w:val="22"/>
          <w:lang w:val="sk-SK"/>
        </w:rPr>
        <w:t>(pozri časť</w:t>
      </w:r>
      <w:r w:rsidR="007C36A7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4.4).</w:t>
      </w:r>
    </w:p>
    <w:p w14:paraId="124A883A" w14:textId="77777777" w:rsidR="002E6782" w:rsidRDefault="002E6782" w:rsidP="005F241E">
      <w:pPr>
        <w:rPr>
          <w:sz w:val="22"/>
          <w:szCs w:val="22"/>
          <w:lang w:val="sk-SK"/>
        </w:rPr>
      </w:pPr>
    </w:p>
    <w:p w14:paraId="5058CB46" w14:textId="77777777" w:rsidR="00431839" w:rsidRDefault="00431839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Súbežná liečba </w:t>
      </w:r>
      <w:proofErr w:type="spellStart"/>
      <w:r w:rsidRPr="00652B9D">
        <w:rPr>
          <w:sz w:val="22"/>
          <w:szCs w:val="22"/>
          <w:lang w:val="sk-SK"/>
        </w:rPr>
        <w:t>metoklopramidom</w:t>
      </w:r>
      <w:proofErr w:type="spellEnd"/>
      <w:r w:rsidRPr="00652B9D">
        <w:rPr>
          <w:sz w:val="22"/>
          <w:szCs w:val="22"/>
          <w:lang w:val="sk-SK"/>
        </w:rPr>
        <w:t xml:space="preserve"> sa spájala s významným pokles</w:t>
      </w:r>
      <w:r>
        <w:rPr>
          <w:sz w:val="22"/>
          <w:szCs w:val="22"/>
          <w:lang w:val="sk-SK"/>
        </w:rPr>
        <w:t>o</w:t>
      </w:r>
      <w:r w:rsidRPr="00652B9D">
        <w:rPr>
          <w:sz w:val="22"/>
          <w:szCs w:val="22"/>
          <w:lang w:val="sk-SK"/>
        </w:rPr>
        <w:t>m</w:t>
      </w:r>
      <w:r>
        <w:rPr>
          <w:sz w:val="22"/>
          <w:szCs w:val="22"/>
          <w:lang w:val="sk-SK"/>
        </w:rPr>
        <w:t xml:space="preserve"> (asi 50 %)</w:t>
      </w:r>
      <w:r w:rsidRPr="00652B9D">
        <w:rPr>
          <w:sz w:val="22"/>
          <w:szCs w:val="22"/>
          <w:lang w:val="sk-SK"/>
        </w:rPr>
        <w:t xml:space="preserve"> plazmatických koncentrácií </w:t>
      </w:r>
      <w:proofErr w:type="spellStart"/>
      <w:r w:rsidRPr="00652B9D">
        <w:rPr>
          <w:sz w:val="22"/>
          <w:szCs w:val="22"/>
          <w:lang w:val="sk-SK"/>
        </w:rPr>
        <w:t>atova</w:t>
      </w:r>
      <w:r>
        <w:rPr>
          <w:sz w:val="22"/>
          <w:szCs w:val="22"/>
          <w:lang w:val="sk-SK"/>
        </w:rPr>
        <w:t>ch</w:t>
      </w:r>
      <w:r w:rsidRPr="00652B9D">
        <w:rPr>
          <w:sz w:val="22"/>
          <w:szCs w:val="22"/>
          <w:lang w:val="sk-SK"/>
        </w:rPr>
        <w:t>ónu</w:t>
      </w:r>
      <w:proofErr w:type="spellEnd"/>
      <w:r w:rsidRPr="00652B9D">
        <w:rPr>
          <w:sz w:val="22"/>
          <w:szCs w:val="22"/>
          <w:lang w:val="sk-SK"/>
        </w:rPr>
        <w:t xml:space="preserve"> (pozri časť</w:t>
      </w:r>
      <w:r w:rsidR="007C36A7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4.4).</w:t>
      </w:r>
      <w:r>
        <w:rPr>
          <w:sz w:val="22"/>
          <w:szCs w:val="22"/>
          <w:lang w:val="sk-SK"/>
        </w:rPr>
        <w:t xml:space="preserve"> Je potrebné podať in</w:t>
      </w:r>
      <w:r w:rsidR="00651D71">
        <w:rPr>
          <w:sz w:val="22"/>
          <w:szCs w:val="22"/>
          <w:lang w:val="sk-SK"/>
        </w:rPr>
        <w:t>ú</w:t>
      </w:r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antiemeti</w:t>
      </w:r>
      <w:r w:rsidR="00651D71">
        <w:rPr>
          <w:sz w:val="22"/>
          <w:szCs w:val="22"/>
          <w:lang w:val="sk-SK"/>
        </w:rPr>
        <w:t>c</w:t>
      </w:r>
      <w:r>
        <w:rPr>
          <w:sz w:val="22"/>
          <w:szCs w:val="22"/>
          <w:lang w:val="sk-SK"/>
        </w:rPr>
        <w:t>k</w:t>
      </w:r>
      <w:r w:rsidR="00651D71">
        <w:rPr>
          <w:sz w:val="22"/>
          <w:szCs w:val="22"/>
          <w:lang w:val="sk-SK"/>
        </w:rPr>
        <w:t>ú</w:t>
      </w:r>
      <w:proofErr w:type="spellEnd"/>
      <w:r w:rsidR="00651D71">
        <w:rPr>
          <w:sz w:val="22"/>
          <w:szCs w:val="22"/>
          <w:lang w:val="sk-SK"/>
        </w:rPr>
        <w:t xml:space="preserve"> liečb</w:t>
      </w:r>
      <w:r>
        <w:rPr>
          <w:sz w:val="22"/>
          <w:szCs w:val="22"/>
          <w:lang w:val="sk-SK"/>
        </w:rPr>
        <w:t>u.</w:t>
      </w:r>
    </w:p>
    <w:p w14:paraId="797B0ABA" w14:textId="77777777" w:rsidR="00431839" w:rsidRDefault="00431839" w:rsidP="005F241E">
      <w:pPr>
        <w:rPr>
          <w:sz w:val="22"/>
          <w:szCs w:val="22"/>
          <w:lang w:val="sk-SK"/>
        </w:rPr>
      </w:pPr>
    </w:p>
    <w:p w14:paraId="00577AA9" w14:textId="77777777" w:rsidR="00431839" w:rsidRPr="00652B9D" w:rsidRDefault="00431839" w:rsidP="005F241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Pri súbežnom podávaní </w:t>
      </w:r>
      <w:proofErr w:type="spellStart"/>
      <w:r>
        <w:rPr>
          <w:sz w:val="22"/>
          <w:szCs w:val="22"/>
          <w:lang w:val="sk-SK"/>
        </w:rPr>
        <w:t>efavirenzu</w:t>
      </w:r>
      <w:proofErr w:type="spellEnd"/>
      <w:r>
        <w:rPr>
          <w:sz w:val="22"/>
          <w:szCs w:val="22"/>
          <w:lang w:val="sk-SK"/>
        </w:rPr>
        <w:t xml:space="preserve"> alebo posilnených inhibítorov </w:t>
      </w:r>
      <w:proofErr w:type="spellStart"/>
      <w:r>
        <w:rPr>
          <w:sz w:val="22"/>
          <w:szCs w:val="22"/>
          <w:lang w:val="sk-SK"/>
        </w:rPr>
        <w:t>proteáz</w:t>
      </w:r>
      <w:proofErr w:type="spellEnd"/>
      <w:r>
        <w:rPr>
          <w:sz w:val="22"/>
          <w:szCs w:val="22"/>
          <w:lang w:val="sk-SK"/>
        </w:rPr>
        <w:t xml:space="preserve"> sa pozoroval až 75 % pokles koncentrácií </w:t>
      </w:r>
      <w:proofErr w:type="spellStart"/>
      <w:r>
        <w:rPr>
          <w:sz w:val="22"/>
          <w:szCs w:val="22"/>
          <w:lang w:val="sk-SK"/>
        </w:rPr>
        <w:t>atovachónu</w:t>
      </w:r>
      <w:proofErr w:type="spellEnd"/>
      <w:r>
        <w:rPr>
          <w:sz w:val="22"/>
          <w:szCs w:val="22"/>
          <w:lang w:val="sk-SK"/>
        </w:rPr>
        <w:t xml:space="preserve">. </w:t>
      </w:r>
      <w:r w:rsidR="00141766">
        <w:rPr>
          <w:sz w:val="22"/>
          <w:szCs w:val="22"/>
          <w:lang w:val="sk-SK"/>
        </w:rPr>
        <w:t>Je potrebné vyhnúť sa podávaniu tejto kombinácie vždy, keď je to možné (pozri časť</w:t>
      </w:r>
      <w:r w:rsidR="007C36A7">
        <w:rPr>
          <w:sz w:val="22"/>
          <w:szCs w:val="22"/>
          <w:lang w:val="sk-SK"/>
        </w:rPr>
        <w:t> </w:t>
      </w:r>
      <w:r w:rsidR="00141766">
        <w:rPr>
          <w:sz w:val="22"/>
          <w:szCs w:val="22"/>
          <w:lang w:val="sk-SK"/>
        </w:rPr>
        <w:t>4.4).</w:t>
      </w:r>
    </w:p>
    <w:p w14:paraId="370946E3" w14:textId="77777777" w:rsidR="00431839" w:rsidRDefault="00431839" w:rsidP="005F241E">
      <w:pPr>
        <w:rPr>
          <w:sz w:val="22"/>
          <w:szCs w:val="22"/>
          <w:lang w:val="sk-SK"/>
        </w:rPr>
      </w:pPr>
    </w:p>
    <w:p w14:paraId="79F153B8" w14:textId="77777777" w:rsidR="00E25D74" w:rsidRDefault="00E25D74" w:rsidP="005F241E">
      <w:pPr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Pr="00652B9D">
        <w:rPr>
          <w:sz w:val="22"/>
          <w:szCs w:val="22"/>
          <w:lang w:val="sk-SK"/>
        </w:rPr>
        <w:t>anil</w:t>
      </w:r>
      <w:proofErr w:type="spellEnd"/>
      <w:r w:rsidRPr="00652B9D">
        <w:rPr>
          <w:sz w:val="22"/>
          <w:szCs w:val="22"/>
          <w:lang w:val="sk-SK"/>
        </w:rPr>
        <w:t xml:space="preserve"> môže zosilniť účinok </w:t>
      </w:r>
      <w:proofErr w:type="spellStart"/>
      <w:r w:rsidRPr="00652B9D">
        <w:rPr>
          <w:sz w:val="22"/>
          <w:szCs w:val="22"/>
          <w:lang w:val="sk-SK"/>
        </w:rPr>
        <w:t>warfarínu</w:t>
      </w:r>
      <w:proofErr w:type="spellEnd"/>
      <w:r w:rsidRPr="00652B9D">
        <w:rPr>
          <w:sz w:val="22"/>
          <w:szCs w:val="22"/>
          <w:lang w:val="sk-SK"/>
        </w:rPr>
        <w:t xml:space="preserve"> a </w:t>
      </w:r>
      <w:r w:rsidR="003A7AAC" w:rsidRPr="00652B9D">
        <w:rPr>
          <w:sz w:val="22"/>
          <w:szCs w:val="22"/>
          <w:lang w:val="sk-SK"/>
        </w:rPr>
        <w:t xml:space="preserve">iných </w:t>
      </w:r>
      <w:proofErr w:type="spellStart"/>
      <w:r w:rsidR="003A7AAC" w:rsidRPr="00652B9D">
        <w:rPr>
          <w:sz w:val="22"/>
          <w:szCs w:val="22"/>
          <w:lang w:val="sk-SK"/>
        </w:rPr>
        <w:t>kumarínových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proofErr w:type="spellStart"/>
      <w:r w:rsidRPr="00652B9D">
        <w:rPr>
          <w:sz w:val="22"/>
          <w:szCs w:val="22"/>
          <w:lang w:val="sk-SK"/>
        </w:rPr>
        <w:t>antikoagulancií</w:t>
      </w:r>
      <w:proofErr w:type="spellEnd"/>
      <w:r w:rsidR="00141766">
        <w:rPr>
          <w:sz w:val="22"/>
          <w:szCs w:val="22"/>
          <w:lang w:val="sk-SK"/>
        </w:rPr>
        <w:t>, čo môže viesť k zvýšeniu rizika krvácania</w:t>
      </w:r>
      <w:r w:rsidRPr="00652B9D">
        <w:rPr>
          <w:sz w:val="22"/>
          <w:szCs w:val="22"/>
          <w:lang w:val="sk-SK"/>
        </w:rPr>
        <w:t xml:space="preserve">. </w:t>
      </w:r>
      <w:r w:rsidR="003A7AAC" w:rsidRPr="00652B9D">
        <w:rPr>
          <w:sz w:val="22"/>
          <w:szCs w:val="22"/>
          <w:lang w:val="sk-SK"/>
        </w:rPr>
        <w:t xml:space="preserve">Mechanizmus tejto možnej liekovej interakcie nebol stanovený. </w:t>
      </w:r>
      <w:r w:rsidR="00BF7387" w:rsidRPr="00652B9D">
        <w:rPr>
          <w:sz w:val="22"/>
          <w:szCs w:val="22"/>
          <w:lang w:val="sk-SK"/>
        </w:rPr>
        <w:t>Opatrnosť sa odporúča u</w:t>
      </w:r>
      <w:r w:rsidRPr="00652B9D">
        <w:rPr>
          <w:sz w:val="22"/>
          <w:szCs w:val="22"/>
          <w:lang w:val="sk-SK"/>
        </w:rPr>
        <w:t xml:space="preserve"> pacientov </w:t>
      </w:r>
      <w:r w:rsidR="00F056AF" w:rsidRPr="00652B9D">
        <w:rPr>
          <w:sz w:val="22"/>
          <w:szCs w:val="22"/>
          <w:lang w:val="sk-SK"/>
        </w:rPr>
        <w:t>s</w:t>
      </w:r>
      <w:r w:rsidRPr="00652B9D">
        <w:rPr>
          <w:sz w:val="22"/>
          <w:szCs w:val="22"/>
          <w:lang w:val="sk-SK"/>
        </w:rPr>
        <w:t xml:space="preserve"> </w:t>
      </w:r>
      <w:r w:rsidR="003A7AAC" w:rsidRPr="00652B9D">
        <w:rPr>
          <w:sz w:val="22"/>
          <w:szCs w:val="22"/>
          <w:lang w:val="sk-SK"/>
        </w:rPr>
        <w:t>kontinuáln</w:t>
      </w:r>
      <w:r w:rsidR="00F056AF" w:rsidRPr="00652B9D">
        <w:rPr>
          <w:sz w:val="22"/>
          <w:szCs w:val="22"/>
          <w:lang w:val="sk-SK"/>
        </w:rPr>
        <w:t>ou</w:t>
      </w:r>
      <w:r w:rsidRPr="00652B9D">
        <w:rPr>
          <w:sz w:val="22"/>
          <w:szCs w:val="22"/>
          <w:lang w:val="sk-SK"/>
        </w:rPr>
        <w:t xml:space="preserve"> lieč</w:t>
      </w:r>
      <w:r w:rsidR="00F056AF" w:rsidRPr="00652B9D">
        <w:rPr>
          <w:sz w:val="22"/>
          <w:szCs w:val="22"/>
          <w:lang w:val="sk-SK"/>
        </w:rPr>
        <w:t>bou</w:t>
      </w:r>
      <w:r w:rsidRPr="00652B9D">
        <w:rPr>
          <w:sz w:val="22"/>
          <w:szCs w:val="22"/>
          <w:lang w:val="sk-SK"/>
        </w:rPr>
        <w:t xml:space="preserve"> </w:t>
      </w:r>
      <w:r w:rsidR="00141766">
        <w:rPr>
          <w:sz w:val="22"/>
          <w:szCs w:val="22"/>
          <w:lang w:val="sk-SK"/>
        </w:rPr>
        <w:t>perorálnymi</w:t>
      </w:r>
      <w:r w:rsidR="003A7AAC" w:rsidRPr="00652B9D">
        <w:rPr>
          <w:sz w:val="22"/>
          <w:szCs w:val="22"/>
          <w:lang w:val="sk-SK"/>
        </w:rPr>
        <w:t xml:space="preserve"> </w:t>
      </w:r>
      <w:proofErr w:type="spellStart"/>
      <w:r w:rsidRPr="00652B9D">
        <w:rPr>
          <w:sz w:val="22"/>
          <w:szCs w:val="22"/>
          <w:lang w:val="sk-SK"/>
        </w:rPr>
        <w:t>antikoagulanciami</w:t>
      </w:r>
      <w:proofErr w:type="spellEnd"/>
      <w:r w:rsidRPr="00652B9D">
        <w:rPr>
          <w:sz w:val="22"/>
          <w:szCs w:val="22"/>
          <w:lang w:val="sk-SK"/>
        </w:rPr>
        <w:t xml:space="preserve">, pri začatí alebo ukončení profylaxie </w:t>
      </w:r>
      <w:r w:rsidR="003A7AAC" w:rsidRPr="00652B9D">
        <w:rPr>
          <w:sz w:val="22"/>
          <w:szCs w:val="22"/>
          <w:lang w:val="sk-SK"/>
        </w:rPr>
        <w:t xml:space="preserve">malárie alebo liečbe </w:t>
      </w:r>
      <w:proofErr w:type="spellStart"/>
      <w:r w:rsidR="003A7AAC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3A7AAC" w:rsidRPr="00652B9D">
        <w:rPr>
          <w:sz w:val="22"/>
          <w:szCs w:val="22"/>
          <w:lang w:val="sk-SK"/>
        </w:rPr>
        <w:t>ónom</w:t>
      </w:r>
      <w:r w:rsidR="007C36A7">
        <w:rPr>
          <w:sz w:val="22"/>
          <w:szCs w:val="22"/>
          <w:lang w:val="sk-SK"/>
        </w:rPr>
        <w:noBreakHyphen/>
      </w:r>
      <w:r w:rsidR="003A7AAC"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="003A7AAC" w:rsidRPr="00652B9D">
        <w:rPr>
          <w:sz w:val="22"/>
          <w:szCs w:val="22"/>
          <w:lang w:val="sk-SK"/>
        </w:rPr>
        <w:t>anilom</w:t>
      </w:r>
      <w:proofErr w:type="spellEnd"/>
      <w:r w:rsidR="00F056AF" w:rsidRPr="00652B9D">
        <w:rPr>
          <w:sz w:val="22"/>
          <w:szCs w:val="22"/>
          <w:lang w:val="sk-SK"/>
        </w:rPr>
        <w:t>.</w:t>
      </w:r>
      <w:r w:rsidR="00845F81">
        <w:rPr>
          <w:sz w:val="22"/>
          <w:szCs w:val="22"/>
          <w:lang w:val="sk-SK"/>
        </w:rPr>
        <w:t xml:space="preserve"> Počas liečby s </w:t>
      </w:r>
      <w:proofErr w:type="spellStart"/>
      <w:r w:rsidR="00845F81">
        <w:rPr>
          <w:sz w:val="22"/>
          <w:szCs w:val="22"/>
          <w:lang w:val="sk-SK"/>
        </w:rPr>
        <w:t>Malarone</w:t>
      </w:r>
      <w:proofErr w:type="spellEnd"/>
      <w:r w:rsidR="00845F81">
        <w:rPr>
          <w:sz w:val="22"/>
          <w:szCs w:val="22"/>
          <w:lang w:val="sk-SK"/>
        </w:rPr>
        <w:t xml:space="preserve"> alebo po jej ukončení môže byť potrebná úprava dávky perorálneho </w:t>
      </w:r>
      <w:proofErr w:type="spellStart"/>
      <w:r w:rsidR="00845F81">
        <w:rPr>
          <w:sz w:val="22"/>
          <w:szCs w:val="22"/>
          <w:lang w:val="sk-SK"/>
        </w:rPr>
        <w:t>antikoagulancia</w:t>
      </w:r>
      <w:proofErr w:type="spellEnd"/>
      <w:r w:rsidR="00845F81">
        <w:rPr>
          <w:sz w:val="22"/>
          <w:szCs w:val="22"/>
          <w:lang w:val="sk-SK"/>
        </w:rPr>
        <w:t>, a to na základe výsledkov INR.</w:t>
      </w:r>
    </w:p>
    <w:p w14:paraId="3A25BF97" w14:textId="77777777" w:rsidR="00845F81" w:rsidRDefault="00845F81" w:rsidP="005F241E">
      <w:pPr>
        <w:rPr>
          <w:sz w:val="22"/>
          <w:szCs w:val="22"/>
          <w:lang w:val="sk-SK"/>
        </w:rPr>
      </w:pPr>
    </w:p>
    <w:p w14:paraId="5533E689" w14:textId="77777777" w:rsidR="00845F81" w:rsidRDefault="00845F81" w:rsidP="005F241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Súbežná liečba tetracyklínom sa spájala s poklesmi plazmatických koncentrácií </w:t>
      </w:r>
      <w:proofErr w:type="spellStart"/>
      <w:r>
        <w:rPr>
          <w:sz w:val="22"/>
          <w:szCs w:val="22"/>
          <w:lang w:val="sk-SK"/>
        </w:rPr>
        <w:t>atovachónu</w:t>
      </w:r>
      <w:proofErr w:type="spellEnd"/>
      <w:r>
        <w:rPr>
          <w:sz w:val="22"/>
          <w:szCs w:val="22"/>
          <w:lang w:val="sk-SK"/>
        </w:rPr>
        <w:t>.</w:t>
      </w:r>
    </w:p>
    <w:p w14:paraId="431FF813" w14:textId="77777777" w:rsidR="00845F81" w:rsidRDefault="00845F81" w:rsidP="005F241E">
      <w:pPr>
        <w:rPr>
          <w:sz w:val="22"/>
          <w:szCs w:val="22"/>
          <w:lang w:val="sk-SK"/>
        </w:rPr>
      </w:pPr>
    </w:p>
    <w:p w14:paraId="3C7CD6BB" w14:textId="77777777" w:rsidR="00845F81" w:rsidRDefault="00845F81" w:rsidP="005F241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Zistilo sa, že u detí (n</w:t>
      </w:r>
      <w:r w:rsidR="007C36A7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=</w:t>
      </w:r>
      <w:r w:rsidR="007C36A7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 xml:space="preserve">9) s akútnou </w:t>
      </w:r>
      <w:proofErr w:type="spellStart"/>
      <w:r>
        <w:rPr>
          <w:sz w:val="22"/>
          <w:szCs w:val="22"/>
          <w:lang w:val="sk-SK"/>
        </w:rPr>
        <w:t>lymfoblastickou</w:t>
      </w:r>
      <w:proofErr w:type="spellEnd"/>
      <w:r>
        <w:rPr>
          <w:sz w:val="22"/>
          <w:szCs w:val="22"/>
          <w:lang w:val="sk-SK"/>
        </w:rPr>
        <w:t xml:space="preserve"> leukémiou viedlo súbežné podávanie </w:t>
      </w:r>
      <w:proofErr w:type="spellStart"/>
      <w:r>
        <w:rPr>
          <w:sz w:val="22"/>
          <w:szCs w:val="22"/>
          <w:lang w:val="sk-SK"/>
        </w:rPr>
        <w:t>atovachónu</w:t>
      </w:r>
      <w:proofErr w:type="spellEnd"/>
      <w:r>
        <w:rPr>
          <w:sz w:val="22"/>
          <w:szCs w:val="22"/>
          <w:lang w:val="sk-SK"/>
        </w:rPr>
        <w:t xml:space="preserve"> v dávkach 45 mg/kg/deň na profylaxiu PCP k zvýšeniu plazmatických koncentrácií (AUC) </w:t>
      </w:r>
      <w:proofErr w:type="spellStart"/>
      <w:r>
        <w:rPr>
          <w:sz w:val="22"/>
          <w:szCs w:val="22"/>
          <w:lang w:val="sk-SK"/>
        </w:rPr>
        <w:t>etoposidu</w:t>
      </w:r>
      <w:proofErr w:type="spellEnd"/>
      <w:r>
        <w:rPr>
          <w:sz w:val="22"/>
          <w:szCs w:val="22"/>
          <w:lang w:val="sk-SK"/>
        </w:rPr>
        <w:t xml:space="preserve"> v priemere o 8,6 % (P</w:t>
      </w:r>
      <w:r w:rsidR="007C36A7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=</w:t>
      </w:r>
      <w:r w:rsidR="007C36A7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 xml:space="preserve">0,055) a jeho </w:t>
      </w:r>
      <w:proofErr w:type="spellStart"/>
      <w:r>
        <w:rPr>
          <w:sz w:val="22"/>
          <w:szCs w:val="22"/>
          <w:lang w:val="sk-SK"/>
        </w:rPr>
        <w:t>metabolitu</w:t>
      </w:r>
      <w:proofErr w:type="spellEnd"/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etoposid</w:t>
      </w:r>
      <w:r w:rsidR="007C36A7">
        <w:rPr>
          <w:sz w:val="22"/>
          <w:szCs w:val="22"/>
          <w:lang w:val="sk-SK"/>
        </w:rPr>
        <w:noBreakHyphen/>
      </w:r>
      <w:r>
        <w:rPr>
          <w:sz w:val="22"/>
          <w:szCs w:val="22"/>
          <w:lang w:val="sk-SK"/>
        </w:rPr>
        <w:t>katecholu</w:t>
      </w:r>
      <w:proofErr w:type="spellEnd"/>
      <w:r>
        <w:rPr>
          <w:sz w:val="22"/>
          <w:szCs w:val="22"/>
          <w:lang w:val="sk-SK"/>
        </w:rPr>
        <w:t xml:space="preserve"> v priemere o 28,4 % (P</w:t>
      </w:r>
      <w:r w:rsidR="007C36A7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=</w:t>
      </w:r>
      <w:r w:rsidR="007C36A7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0,031) (v</w:t>
      </w:r>
      <w:r w:rsidR="00B27E9A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 xml:space="preserve">porovnaní so súbežným podávaním </w:t>
      </w:r>
      <w:proofErr w:type="spellStart"/>
      <w:r>
        <w:rPr>
          <w:sz w:val="22"/>
          <w:szCs w:val="22"/>
          <w:lang w:val="sk-SK"/>
        </w:rPr>
        <w:t>etoposidu</w:t>
      </w:r>
      <w:proofErr w:type="spellEnd"/>
      <w:r>
        <w:rPr>
          <w:sz w:val="22"/>
          <w:szCs w:val="22"/>
          <w:lang w:val="sk-SK"/>
        </w:rPr>
        <w:t xml:space="preserve"> a</w:t>
      </w:r>
      <w:r w:rsidR="007C36A7">
        <w:rPr>
          <w:sz w:val="22"/>
          <w:szCs w:val="22"/>
          <w:lang w:val="sk-SK"/>
        </w:rPr>
        <w:t> </w:t>
      </w:r>
      <w:proofErr w:type="spellStart"/>
      <w:r>
        <w:rPr>
          <w:sz w:val="22"/>
          <w:szCs w:val="22"/>
          <w:lang w:val="sk-SK"/>
        </w:rPr>
        <w:t>sulfametoxazol</w:t>
      </w:r>
      <w:r w:rsidR="007C36A7">
        <w:rPr>
          <w:sz w:val="22"/>
          <w:szCs w:val="22"/>
          <w:lang w:val="sk-SK"/>
        </w:rPr>
        <w:noBreakHyphen/>
      </w:r>
      <w:r>
        <w:rPr>
          <w:sz w:val="22"/>
          <w:szCs w:val="22"/>
          <w:lang w:val="sk-SK"/>
        </w:rPr>
        <w:t>trimetoprimu</w:t>
      </w:r>
      <w:proofErr w:type="spellEnd"/>
      <w:r>
        <w:rPr>
          <w:sz w:val="22"/>
          <w:szCs w:val="22"/>
          <w:lang w:val="sk-SK"/>
        </w:rPr>
        <w:t xml:space="preserve">). U pacientov podstupujúcich súbežnú liečbu </w:t>
      </w:r>
      <w:proofErr w:type="spellStart"/>
      <w:r>
        <w:rPr>
          <w:sz w:val="22"/>
          <w:szCs w:val="22"/>
          <w:lang w:val="sk-SK"/>
        </w:rPr>
        <w:t>etoposidom</w:t>
      </w:r>
      <w:proofErr w:type="spellEnd"/>
      <w:r>
        <w:rPr>
          <w:sz w:val="22"/>
          <w:szCs w:val="22"/>
          <w:lang w:val="sk-SK"/>
        </w:rPr>
        <w:t xml:space="preserve"> sa odporúča obozretnosť (pozri časť</w:t>
      </w:r>
      <w:r w:rsidR="007C36A7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4.4).</w:t>
      </w:r>
    </w:p>
    <w:p w14:paraId="1C469801" w14:textId="77777777" w:rsidR="00845F81" w:rsidRDefault="00845F81" w:rsidP="005F241E">
      <w:pPr>
        <w:rPr>
          <w:sz w:val="22"/>
          <w:szCs w:val="22"/>
          <w:lang w:val="sk-SK"/>
        </w:rPr>
      </w:pPr>
    </w:p>
    <w:p w14:paraId="5B42308F" w14:textId="77777777" w:rsidR="00845F81" w:rsidRDefault="00845F81" w:rsidP="005F241E">
      <w:pPr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Proguanil</w:t>
      </w:r>
      <w:proofErr w:type="spellEnd"/>
      <w:r>
        <w:rPr>
          <w:sz w:val="22"/>
          <w:szCs w:val="22"/>
          <w:lang w:val="sk-SK"/>
        </w:rPr>
        <w:t xml:space="preserve"> je metabolizovaný hlavne prostredníctvom CYP2C19. Možné </w:t>
      </w:r>
      <w:proofErr w:type="spellStart"/>
      <w:r>
        <w:rPr>
          <w:sz w:val="22"/>
          <w:szCs w:val="22"/>
          <w:lang w:val="sk-SK"/>
        </w:rPr>
        <w:t>farmakokinetické</w:t>
      </w:r>
      <w:proofErr w:type="spellEnd"/>
      <w:r>
        <w:rPr>
          <w:sz w:val="22"/>
          <w:szCs w:val="22"/>
          <w:lang w:val="sk-SK"/>
        </w:rPr>
        <w:t xml:space="preserve"> interakcie s</w:t>
      </w:r>
      <w:r w:rsidR="00527238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 xml:space="preserve">inými substrátmi, inhibítormi (napr. </w:t>
      </w:r>
      <w:r w:rsidR="00E667F2">
        <w:rPr>
          <w:sz w:val="22"/>
          <w:szCs w:val="22"/>
          <w:lang w:val="sk-SK"/>
        </w:rPr>
        <w:t xml:space="preserve">s </w:t>
      </w:r>
      <w:proofErr w:type="spellStart"/>
      <w:r>
        <w:rPr>
          <w:sz w:val="22"/>
          <w:szCs w:val="22"/>
          <w:lang w:val="sk-SK"/>
        </w:rPr>
        <w:t>moklobemidom</w:t>
      </w:r>
      <w:proofErr w:type="spellEnd"/>
      <w:r>
        <w:rPr>
          <w:sz w:val="22"/>
          <w:szCs w:val="22"/>
          <w:lang w:val="sk-SK"/>
        </w:rPr>
        <w:t xml:space="preserve">, </w:t>
      </w:r>
      <w:proofErr w:type="spellStart"/>
      <w:r>
        <w:rPr>
          <w:sz w:val="22"/>
          <w:szCs w:val="22"/>
          <w:lang w:val="sk-SK"/>
        </w:rPr>
        <w:t>fluvoxamínom</w:t>
      </w:r>
      <w:proofErr w:type="spellEnd"/>
      <w:r>
        <w:rPr>
          <w:sz w:val="22"/>
          <w:szCs w:val="22"/>
          <w:lang w:val="sk-SK"/>
        </w:rPr>
        <w:t>) alebo induktormi (napr.</w:t>
      </w:r>
      <w:r w:rsidR="007C36A7">
        <w:rPr>
          <w:sz w:val="22"/>
          <w:szCs w:val="22"/>
          <w:lang w:val="sk-SK"/>
        </w:rPr>
        <w:t> </w:t>
      </w:r>
      <w:r w:rsidR="00E667F2">
        <w:rPr>
          <w:sz w:val="22"/>
          <w:szCs w:val="22"/>
          <w:lang w:val="sk-SK"/>
        </w:rPr>
        <w:t>s</w:t>
      </w:r>
      <w:r w:rsidR="00527238">
        <w:rPr>
          <w:sz w:val="22"/>
          <w:szCs w:val="22"/>
          <w:lang w:val="sk-SK"/>
        </w:rPr>
        <w:t> </w:t>
      </w:r>
      <w:proofErr w:type="spellStart"/>
      <w:r>
        <w:rPr>
          <w:sz w:val="22"/>
          <w:szCs w:val="22"/>
          <w:lang w:val="sk-SK"/>
        </w:rPr>
        <w:t>artemisinínom</w:t>
      </w:r>
      <w:proofErr w:type="spellEnd"/>
      <w:r>
        <w:rPr>
          <w:sz w:val="22"/>
          <w:szCs w:val="22"/>
          <w:lang w:val="sk-SK"/>
        </w:rPr>
        <w:t xml:space="preserve">, </w:t>
      </w:r>
      <w:proofErr w:type="spellStart"/>
      <w:r>
        <w:rPr>
          <w:sz w:val="22"/>
          <w:szCs w:val="22"/>
          <w:lang w:val="sk-SK"/>
        </w:rPr>
        <w:t>karbamazepínom</w:t>
      </w:r>
      <w:proofErr w:type="spellEnd"/>
      <w:r>
        <w:rPr>
          <w:sz w:val="22"/>
          <w:szCs w:val="22"/>
          <w:lang w:val="sk-SK"/>
        </w:rPr>
        <w:t>) CYP2C19 však nie sú známe (pozri časť</w:t>
      </w:r>
      <w:r w:rsidR="00F95203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5.2).</w:t>
      </w:r>
    </w:p>
    <w:p w14:paraId="154DC1C2" w14:textId="77777777" w:rsidR="00845F81" w:rsidRPr="00123B69" w:rsidRDefault="00845F81" w:rsidP="005F241E">
      <w:pPr>
        <w:rPr>
          <w:rFonts w:cs="Arial"/>
          <w:color w:val="000000"/>
          <w:lang w:val="sk-SK"/>
        </w:rPr>
      </w:pPr>
    </w:p>
    <w:p w14:paraId="630EE0DA" w14:textId="77777777" w:rsidR="00B843DF" w:rsidRPr="00652B9D" w:rsidRDefault="00490F54" w:rsidP="005F241E">
      <w:pPr>
        <w:keepNext/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4.6</w:t>
      </w:r>
      <w:r w:rsidR="00A97DD5" w:rsidRPr="00652B9D">
        <w:rPr>
          <w:b/>
          <w:sz w:val="22"/>
          <w:szCs w:val="22"/>
          <w:lang w:val="sk-SK"/>
        </w:rPr>
        <w:tab/>
      </w:r>
      <w:proofErr w:type="spellStart"/>
      <w:r w:rsidR="00B11EA4">
        <w:rPr>
          <w:b/>
          <w:sz w:val="22"/>
          <w:szCs w:val="22"/>
          <w:lang w:val="sk-SK"/>
        </w:rPr>
        <w:t>Fertilita</w:t>
      </w:r>
      <w:proofErr w:type="spellEnd"/>
      <w:r w:rsidR="00B11EA4">
        <w:rPr>
          <w:b/>
          <w:sz w:val="22"/>
          <w:szCs w:val="22"/>
          <w:lang w:val="sk-SK"/>
        </w:rPr>
        <w:t>, g</w:t>
      </w:r>
      <w:r w:rsidR="005E3701" w:rsidRPr="00652B9D">
        <w:rPr>
          <w:b/>
          <w:sz w:val="22"/>
          <w:szCs w:val="22"/>
          <w:lang w:val="sk-SK"/>
        </w:rPr>
        <w:t>ravidita a laktácia</w:t>
      </w:r>
    </w:p>
    <w:p w14:paraId="4CD4FFEF" w14:textId="77777777" w:rsidR="00B843DF" w:rsidRPr="00F95203" w:rsidRDefault="00B843DF" w:rsidP="005F241E">
      <w:pPr>
        <w:keepNext/>
        <w:rPr>
          <w:sz w:val="22"/>
          <w:szCs w:val="22"/>
          <w:lang w:val="sk-SK"/>
        </w:rPr>
      </w:pPr>
    </w:p>
    <w:p w14:paraId="226B4D84" w14:textId="77777777" w:rsidR="000053CF" w:rsidRPr="00B11EA4" w:rsidRDefault="000053CF" w:rsidP="005F241E">
      <w:pPr>
        <w:keepNext/>
        <w:rPr>
          <w:sz w:val="22"/>
          <w:szCs w:val="22"/>
          <w:u w:val="single"/>
          <w:lang w:val="sk-SK"/>
        </w:rPr>
      </w:pPr>
      <w:r w:rsidRPr="00B11EA4">
        <w:rPr>
          <w:sz w:val="22"/>
          <w:szCs w:val="22"/>
          <w:u w:val="single"/>
          <w:lang w:val="sk-SK"/>
        </w:rPr>
        <w:t>Gravidita</w:t>
      </w:r>
    </w:p>
    <w:p w14:paraId="098984B1" w14:textId="77777777" w:rsidR="00A97DD5" w:rsidRPr="00652B9D" w:rsidRDefault="00A97DD5" w:rsidP="005F241E">
      <w:pPr>
        <w:keepNext/>
        <w:rPr>
          <w:sz w:val="22"/>
          <w:szCs w:val="22"/>
          <w:lang w:val="sk-SK"/>
        </w:rPr>
      </w:pPr>
    </w:p>
    <w:p w14:paraId="7BB43591" w14:textId="7D76EA38" w:rsidR="00B843DF" w:rsidRPr="00652B9D" w:rsidRDefault="005E3701" w:rsidP="005F241E">
      <w:pPr>
        <w:keepNext/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Bezpečnosť </w:t>
      </w:r>
      <w:r w:rsidR="00D84018" w:rsidRPr="00652B9D">
        <w:rPr>
          <w:sz w:val="22"/>
          <w:szCs w:val="22"/>
          <w:lang w:val="sk-SK"/>
        </w:rPr>
        <w:t xml:space="preserve">použitia </w:t>
      </w:r>
      <w:proofErr w:type="spellStart"/>
      <w:r w:rsidR="002E0E6E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2E0E6E" w:rsidRPr="00652B9D">
        <w:rPr>
          <w:sz w:val="22"/>
          <w:szCs w:val="22"/>
          <w:lang w:val="sk-SK"/>
        </w:rPr>
        <w:t>ónu</w:t>
      </w:r>
      <w:proofErr w:type="spellEnd"/>
      <w:r w:rsidR="002E0E6E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a</w:t>
      </w:r>
      <w:r w:rsidR="00374D6A">
        <w:rPr>
          <w:sz w:val="22"/>
          <w:szCs w:val="22"/>
          <w:lang w:val="sk-SK"/>
        </w:rPr>
        <w:t> </w:t>
      </w:r>
      <w:proofErr w:type="spellStart"/>
      <w:r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Pr="00652B9D">
        <w:rPr>
          <w:sz w:val="22"/>
          <w:szCs w:val="22"/>
          <w:lang w:val="sk-SK"/>
        </w:rPr>
        <w:t>an</w:t>
      </w:r>
      <w:r w:rsidR="00374D6A">
        <w:rPr>
          <w:sz w:val="22"/>
          <w:szCs w:val="22"/>
          <w:lang w:val="sk-SK"/>
        </w:rPr>
        <w:t>í</w:t>
      </w:r>
      <w:r w:rsidRPr="00652B9D">
        <w:rPr>
          <w:sz w:val="22"/>
          <w:szCs w:val="22"/>
          <w:lang w:val="sk-SK"/>
        </w:rPr>
        <w:t>lium</w:t>
      </w:r>
      <w:proofErr w:type="spellEnd"/>
      <w:r w:rsidR="00374D6A">
        <w:rPr>
          <w:sz w:val="22"/>
          <w:szCs w:val="22"/>
          <w:lang w:val="sk-SK"/>
        </w:rPr>
        <w:t>-</w:t>
      </w:r>
      <w:r w:rsidRPr="00652B9D">
        <w:rPr>
          <w:sz w:val="22"/>
          <w:szCs w:val="22"/>
          <w:lang w:val="sk-SK"/>
        </w:rPr>
        <w:t>chloridu</w:t>
      </w:r>
      <w:r w:rsidR="00623858" w:rsidRPr="00652B9D">
        <w:rPr>
          <w:sz w:val="22"/>
          <w:szCs w:val="22"/>
          <w:lang w:val="sk-SK"/>
        </w:rPr>
        <w:t xml:space="preserve"> podávaných</w:t>
      </w:r>
      <w:r w:rsidRPr="00652B9D">
        <w:rPr>
          <w:sz w:val="22"/>
          <w:szCs w:val="22"/>
          <w:lang w:val="sk-SK"/>
        </w:rPr>
        <w:t xml:space="preserve"> </w:t>
      </w:r>
      <w:r w:rsidR="00E37999" w:rsidRPr="00652B9D">
        <w:rPr>
          <w:sz w:val="22"/>
          <w:szCs w:val="22"/>
          <w:lang w:val="sk-SK"/>
        </w:rPr>
        <w:t xml:space="preserve">súbežne </w:t>
      </w:r>
      <w:r w:rsidRPr="00652B9D">
        <w:rPr>
          <w:sz w:val="22"/>
          <w:szCs w:val="22"/>
          <w:lang w:val="sk-SK"/>
        </w:rPr>
        <w:t xml:space="preserve">počas </w:t>
      </w:r>
      <w:r w:rsidR="000053CF" w:rsidRPr="00652B9D">
        <w:rPr>
          <w:sz w:val="22"/>
          <w:szCs w:val="22"/>
          <w:lang w:val="sk-SK"/>
        </w:rPr>
        <w:t>gravidity u ľudí</w:t>
      </w:r>
      <w:r w:rsidRPr="00652B9D">
        <w:rPr>
          <w:sz w:val="22"/>
          <w:szCs w:val="22"/>
          <w:lang w:val="sk-SK"/>
        </w:rPr>
        <w:t xml:space="preserve"> nebola stanovená a potenciálne riziko nie je známe.</w:t>
      </w:r>
    </w:p>
    <w:p w14:paraId="4B77EF84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532C6DE6" w14:textId="77777777" w:rsidR="00B843DF" w:rsidRPr="00652B9D" w:rsidRDefault="00D84018" w:rsidP="005F241E">
      <w:pPr>
        <w:keepNext/>
        <w:keepLines/>
        <w:rPr>
          <w:sz w:val="22"/>
          <w:szCs w:val="22"/>
          <w:lang w:val="sk-SK"/>
        </w:rPr>
      </w:pPr>
      <w:r w:rsidRPr="00652B9D">
        <w:rPr>
          <w:snapToGrid w:val="0"/>
          <w:sz w:val="22"/>
          <w:szCs w:val="22"/>
          <w:lang w:val="sk-SK"/>
        </w:rPr>
        <w:lastRenderedPageBreak/>
        <w:t>Štúdie na zvieratách ne</w:t>
      </w:r>
      <w:r w:rsidR="000053CF" w:rsidRPr="00652B9D">
        <w:rPr>
          <w:snapToGrid w:val="0"/>
          <w:sz w:val="22"/>
          <w:szCs w:val="22"/>
          <w:lang w:val="sk-SK"/>
        </w:rPr>
        <w:t>pre</w:t>
      </w:r>
      <w:r w:rsidRPr="00652B9D">
        <w:rPr>
          <w:snapToGrid w:val="0"/>
          <w:sz w:val="22"/>
          <w:szCs w:val="22"/>
          <w:lang w:val="sk-SK"/>
        </w:rPr>
        <w:t xml:space="preserve">ukázali žiadne dôkazy o </w:t>
      </w:r>
      <w:proofErr w:type="spellStart"/>
      <w:r w:rsidRPr="00652B9D">
        <w:rPr>
          <w:snapToGrid w:val="0"/>
          <w:sz w:val="22"/>
          <w:szCs w:val="22"/>
          <w:lang w:val="sk-SK"/>
        </w:rPr>
        <w:t>teratogenite</w:t>
      </w:r>
      <w:proofErr w:type="spellEnd"/>
      <w:r w:rsidRPr="00652B9D">
        <w:rPr>
          <w:snapToGrid w:val="0"/>
          <w:sz w:val="22"/>
          <w:szCs w:val="22"/>
          <w:lang w:val="sk-SK"/>
        </w:rPr>
        <w:t xml:space="preserve"> </w:t>
      </w:r>
      <w:r w:rsidR="000053CF" w:rsidRPr="00652B9D">
        <w:rPr>
          <w:snapToGrid w:val="0"/>
          <w:sz w:val="22"/>
          <w:szCs w:val="22"/>
          <w:lang w:val="sk-SK"/>
        </w:rPr>
        <w:t xml:space="preserve">tejto </w:t>
      </w:r>
      <w:r w:rsidRPr="00652B9D">
        <w:rPr>
          <w:snapToGrid w:val="0"/>
          <w:sz w:val="22"/>
          <w:szCs w:val="22"/>
          <w:lang w:val="sk-SK"/>
        </w:rPr>
        <w:t>kombinácie. Dokázalo sa, že jednotlivé zložky nemajú žiadn</w:t>
      </w:r>
      <w:r w:rsidR="00630559" w:rsidRPr="00652B9D">
        <w:rPr>
          <w:snapToGrid w:val="0"/>
          <w:sz w:val="22"/>
          <w:szCs w:val="22"/>
          <w:lang w:val="sk-SK"/>
        </w:rPr>
        <w:t>y</w:t>
      </w:r>
      <w:r w:rsidRPr="00652B9D">
        <w:rPr>
          <w:snapToGrid w:val="0"/>
          <w:sz w:val="22"/>
          <w:szCs w:val="22"/>
          <w:lang w:val="sk-SK"/>
        </w:rPr>
        <w:t xml:space="preserve"> </w:t>
      </w:r>
      <w:r w:rsidR="00630559" w:rsidRPr="00652B9D">
        <w:rPr>
          <w:snapToGrid w:val="0"/>
          <w:sz w:val="22"/>
          <w:szCs w:val="22"/>
          <w:lang w:val="sk-SK"/>
        </w:rPr>
        <w:t>vplyv</w:t>
      </w:r>
      <w:r w:rsidRPr="00652B9D">
        <w:rPr>
          <w:snapToGrid w:val="0"/>
          <w:sz w:val="22"/>
          <w:szCs w:val="22"/>
          <w:lang w:val="sk-SK"/>
        </w:rPr>
        <w:t xml:space="preserve"> na pôrod ani </w:t>
      </w:r>
      <w:r w:rsidR="002821F7" w:rsidRPr="00652B9D">
        <w:rPr>
          <w:snapToGrid w:val="0"/>
          <w:sz w:val="22"/>
          <w:szCs w:val="22"/>
          <w:lang w:val="sk-SK"/>
        </w:rPr>
        <w:t xml:space="preserve">na </w:t>
      </w:r>
      <w:r w:rsidRPr="00652B9D">
        <w:rPr>
          <w:snapToGrid w:val="0"/>
          <w:sz w:val="22"/>
          <w:szCs w:val="22"/>
          <w:lang w:val="sk-SK"/>
        </w:rPr>
        <w:t xml:space="preserve">prenatálny a </w:t>
      </w:r>
      <w:proofErr w:type="spellStart"/>
      <w:r w:rsidRPr="00652B9D">
        <w:rPr>
          <w:snapToGrid w:val="0"/>
          <w:sz w:val="22"/>
          <w:szCs w:val="22"/>
          <w:lang w:val="sk-SK"/>
        </w:rPr>
        <w:t>postnatálny</w:t>
      </w:r>
      <w:proofErr w:type="spellEnd"/>
      <w:r w:rsidRPr="00652B9D">
        <w:rPr>
          <w:snapToGrid w:val="0"/>
          <w:sz w:val="22"/>
          <w:szCs w:val="22"/>
          <w:lang w:val="sk-SK"/>
        </w:rPr>
        <w:t xml:space="preserve"> vývoj</w:t>
      </w:r>
      <w:r w:rsidR="00B843DF" w:rsidRPr="00652B9D">
        <w:rPr>
          <w:snapToGrid w:val="0"/>
          <w:sz w:val="22"/>
          <w:szCs w:val="22"/>
          <w:lang w:val="sk-SK"/>
        </w:rPr>
        <w:t xml:space="preserve">. </w:t>
      </w:r>
      <w:r w:rsidR="00E10675" w:rsidRPr="00652B9D">
        <w:rPr>
          <w:snapToGrid w:val="0"/>
          <w:sz w:val="22"/>
          <w:szCs w:val="22"/>
          <w:lang w:val="sk-SK"/>
        </w:rPr>
        <w:t xml:space="preserve">Počas štúdii </w:t>
      </w:r>
      <w:proofErr w:type="spellStart"/>
      <w:r w:rsidR="00E10675" w:rsidRPr="00652B9D">
        <w:rPr>
          <w:snapToGrid w:val="0"/>
          <w:sz w:val="22"/>
          <w:szCs w:val="22"/>
          <w:lang w:val="sk-SK"/>
        </w:rPr>
        <w:t>teratogenity</w:t>
      </w:r>
      <w:proofErr w:type="spellEnd"/>
      <w:r w:rsidR="00E10675" w:rsidRPr="00652B9D">
        <w:rPr>
          <w:snapToGrid w:val="0"/>
          <w:sz w:val="22"/>
          <w:szCs w:val="22"/>
          <w:lang w:val="sk-SK"/>
        </w:rPr>
        <w:t xml:space="preserve"> bol</w:t>
      </w:r>
      <w:r w:rsidR="00822D57" w:rsidRPr="00652B9D">
        <w:rPr>
          <w:snapToGrid w:val="0"/>
          <w:sz w:val="22"/>
          <w:szCs w:val="22"/>
          <w:lang w:val="sk-SK"/>
        </w:rPr>
        <w:t>i</w:t>
      </w:r>
      <w:r w:rsidR="00E10675" w:rsidRPr="00652B9D">
        <w:rPr>
          <w:snapToGrid w:val="0"/>
          <w:sz w:val="22"/>
          <w:szCs w:val="22"/>
          <w:lang w:val="sk-SK"/>
        </w:rPr>
        <w:t xml:space="preserve"> u gravidných </w:t>
      </w:r>
      <w:r w:rsidR="00822D57" w:rsidRPr="00652B9D">
        <w:rPr>
          <w:snapToGrid w:val="0"/>
          <w:sz w:val="22"/>
          <w:szCs w:val="22"/>
          <w:lang w:val="sk-SK"/>
        </w:rPr>
        <w:t xml:space="preserve">samíc </w:t>
      </w:r>
      <w:r w:rsidR="00E10675" w:rsidRPr="00652B9D">
        <w:rPr>
          <w:snapToGrid w:val="0"/>
          <w:sz w:val="22"/>
          <w:szCs w:val="22"/>
          <w:lang w:val="sk-SK"/>
        </w:rPr>
        <w:t xml:space="preserve">králikov pozorované </w:t>
      </w:r>
      <w:r w:rsidR="00822D57" w:rsidRPr="00652B9D">
        <w:rPr>
          <w:snapToGrid w:val="0"/>
          <w:sz w:val="22"/>
          <w:szCs w:val="22"/>
          <w:lang w:val="sk-SK"/>
        </w:rPr>
        <w:t>toxické prejavy</w:t>
      </w:r>
      <w:r w:rsidR="00B843DF" w:rsidRPr="00652B9D">
        <w:rPr>
          <w:snapToGrid w:val="0"/>
          <w:sz w:val="22"/>
          <w:szCs w:val="22"/>
          <w:lang w:val="sk-SK"/>
        </w:rPr>
        <w:t xml:space="preserve"> (</w:t>
      </w:r>
      <w:r w:rsidR="002073AE" w:rsidRPr="00652B9D">
        <w:rPr>
          <w:snapToGrid w:val="0"/>
          <w:sz w:val="22"/>
          <w:szCs w:val="22"/>
          <w:lang w:val="sk-SK"/>
        </w:rPr>
        <w:t>pozri časť</w:t>
      </w:r>
      <w:r w:rsidR="00F95203">
        <w:rPr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>5.3).</w:t>
      </w:r>
      <w:r w:rsidR="00F95203">
        <w:rPr>
          <w:snapToGrid w:val="0"/>
          <w:sz w:val="22"/>
          <w:szCs w:val="22"/>
          <w:lang w:val="sk-SK"/>
        </w:rPr>
        <w:t xml:space="preserve"> </w:t>
      </w:r>
      <w:r w:rsidR="00023EF2" w:rsidRPr="00652B9D">
        <w:rPr>
          <w:sz w:val="22"/>
          <w:szCs w:val="22"/>
          <w:lang w:val="sk-SK"/>
        </w:rPr>
        <w:t>O p</w:t>
      </w:r>
      <w:r w:rsidR="002073AE" w:rsidRPr="00652B9D">
        <w:rPr>
          <w:sz w:val="22"/>
          <w:szCs w:val="22"/>
          <w:lang w:val="sk-SK"/>
        </w:rPr>
        <w:t>oužit</w:t>
      </w:r>
      <w:r w:rsidR="00023EF2" w:rsidRPr="00652B9D">
        <w:rPr>
          <w:sz w:val="22"/>
          <w:szCs w:val="22"/>
          <w:lang w:val="sk-SK"/>
        </w:rPr>
        <w:t>í</w:t>
      </w:r>
      <w:r w:rsidR="002073AE" w:rsidRPr="00652B9D">
        <w:rPr>
          <w:sz w:val="22"/>
          <w:szCs w:val="22"/>
          <w:lang w:val="sk-SK"/>
        </w:rPr>
        <w:t xml:space="preserve"> </w:t>
      </w:r>
      <w:proofErr w:type="spellStart"/>
      <w:r w:rsidR="00B843DF" w:rsidRPr="00652B9D">
        <w:rPr>
          <w:sz w:val="22"/>
          <w:szCs w:val="22"/>
          <w:lang w:val="sk-SK"/>
        </w:rPr>
        <w:t>Malarone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="002073AE" w:rsidRPr="00652B9D">
        <w:rPr>
          <w:sz w:val="22"/>
          <w:szCs w:val="22"/>
          <w:lang w:val="sk-SK"/>
        </w:rPr>
        <w:t xml:space="preserve">počas gravidity sa má </w:t>
      </w:r>
      <w:r w:rsidR="00023EF2" w:rsidRPr="00652B9D">
        <w:rPr>
          <w:sz w:val="22"/>
          <w:szCs w:val="22"/>
          <w:lang w:val="sk-SK"/>
        </w:rPr>
        <w:t xml:space="preserve">uvažovať </w:t>
      </w:r>
      <w:r w:rsidR="002073AE" w:rsidRPr="00652B9D">
        <w:rPr>
          <w:sz w:val="22"/>
          <w:szCs w:val="22"/>
          <w:lang w:val="sk-SK"/>
        </w:rPr>
        <w:t xml:space="preserve">len vtedy, ak očakávaný prínos pre matku </w:t>
      </w:r>
      <w:r w:rsidR="002821F7" w:rsidRPr="00652B9D">
        <w:rPr>
          <w:sz w:val="22"/>
          <w:szCs w:val="22"/>
          <w:lang w:val="sk-SK"/>
        </w:rPr>
        <w:t xml:space="preserve">preváži nad potenciálnym </w:t>
      </w:r>
      <w:r w:rsidR="002073AE" w:rsidRPr="00652B9D">
        <w:rPr>
          <w:sz w:val="22"/>
          <w:szCs w:val="22"/>
          <w:lang w:val="sk-SK"/>
        </w:rPr>
        <w:t>riziko</w:t>
      </w:r>
      <w:r w:rsidR="002821F7" w:rsidRPr="00652B9D">
        <w:rPr>
          <w:sz w:val="22"/>
          <w:szCs w:val="22"/>
          <w:lang w:val="sk-SK"/>
        </w:rPr>
        <w:t>m</w:t>
      </w:r>
      <w:r w:rsidR="002073AE" w:rsidRPr="00652B9D">
        <w:rPr>
          <w:sz w:val="22"/>
          <w:szCs w:val="22"/>
          <w:lang w:val="sk-SK"/>
        </w:rPr>
        <w:t xml:space="preserve"> pre plod.</w:t>
      </w:r>
    </w:p>
    <w:p w14:paraId="6A80ED50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6F1D1151" w14:textId="77777777" w:rsidR="00B843DF" w:rsidRPr="00652B9D" w:rsidRDefault="00822D57" w:rsidP="005F241E">
      <w:pPr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t>P</w:t>
      </w:r>
      <w:r w:rsidR="00B843DF" w:rsidRPr="00652B9D">
        <w:rPr>
          <w:sz w:val="22"/>
          <w:szCs w:val="22"/>
          <w:lang w:val="sk-SK"/>
        </w:rPr>
        <w:t>rog</w:t>
      </w:r>
      <w:r w:rsidR="00C34A4E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anil</w:t>
      </w:r>
      <w:r w:rsidRPr="00652B9D">
        <w:rPr>
          <w:sz w:val="22"/>
          <w:szCs w:val="22"/>
          <w:lang w:val="sk-SK"/>
        </w:rPr>
        <w:t>ov</w:t>
      </w:r>
      <w:r w:rsidR="00ED7B84" w:rsidRPr="00652B9D">
        <w:rPr>
          <w:sz w:val="22"/>
          <w:szCs w:val="22"/>
          <w:lang w:val="sk-SK"/>
        </w:rPr>
        <w:t>á</w:t>
      </w:r>
      <w:proofErr w:type="spellEnd"/>
      <w:r w:rsidRPr="00652B9D">
        <w:rPr>
          <w:sz w:val="22"/>
          <w:szCs w:val="22"/>
          <w:lang w:val="sk-SK"/>
        </w:rPr>
        <w:t xml:space="preserve"> zložka </w:t>
      </w:r>
      <w:proofErr w:type="spellStart"/>
      <w:r w:rsidR="00B843DF" w:rsidRPr="00652B9D">
        <w:rPr>
          <w:sz w:val="22"/>
          <w:szCs w:val="22"/>
          <w:lang w:val="sk-SK"/>
        </w:rPr>
        <w:t>Malarone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pôsobí pomocou inhibície </w:t>
      </w:r>
      <w:r w:rsidR="00D04BF3" w:rsidRPr="00652B9D">
        <w:rPr>
          <w:sz w:val="22"/>
          <w:szCs w:val="22"/>
          <w:lang w:val="sk-SK"/>
        </w:rPr>
        <w:t xml:space="preserve">parazitickej </w:t>
      </w:r>
      <w:proofErr w:type="spellStart"/>
      <w:r w:rsidR="00D04BF3" w:rsidRPr="00652B9D">
        <w:rPr>
          <w:sz w:val="22"/>
          <w:szCs w:val="22"/>
          <w:lang w:val="sk-SK"/>
        </w:rPr>
        <w:t>dihydrofolátreduktázy</w:t>
      </w:r>
      <w:proofErr w:type="spellEnd"/>
      <w:r w:rsidR="00D04BF3" w:rsidRPr="00652B9D">
        <w:rPr>
          <w:sz w:val="22"/>
          <w:szCs w:val="22"/>
          <w:lang w:val="sk-SK"/>
        </w:rPr>
        <w:t>.</w:t>
      </w:r>
      <w:r w:rsidR="00B843DF" w:rsidRPr="00652B9D">
        <w:rPr>
          <w:sz w:val="22"/>
          <w:szCs w:val="22"/>
          <w:lang w:val="sk-SK"/>
        </w:rPr>
        <w:t xml:space="preserve"> </w:t>
      </w:r>
      <w:r w:rsidR="00D04BF3" w:rsidRPr="00652B9D">
        <w:rPr>
          <w:sz w:val="22"/>
          <w:szCs w:val="22"/>
          <w:lang w:val="sk-SK"/>
        </w:rPr>
        <w:t xml:space="preserve">Neexistujú žiadne klinické údaje, ktoré by svedčili o tom, že </w:t>
      </w:r>
      <w:proofErr w:type="spellStart"/>
      <w:r w:rsidR="00D04BF3" w:rsidRPr="00652B9D">
        <w:rPr>
          <w:sz w:val="22"/>
          <w:szCs w:val="22"/>
          <w:lang w:val="sk-SK"/>
        </w:rPr>
        <w:t>suplementácia</w:t>
      </w:r>
      <w:proofErr w:type="spellEnd"/>
      <w:r w:rsidR="00D04BF3" w:rsidRPr="00652B9D">
        <w:rPr>
          <w:sz w:val="22"/>
          <w:szCs w:val="22"/>
          <w:lang w:val="sk-SK"/>
        </w:rPr>
        <w:t xml:space="preserve"> </w:t>
      </w:r>
      <w:proofErr w:type="spellStart"/>
      <w:r w:rsidR="00D04BF3" w:rsidRPr="00652B9D">
        <w:rPr>
          <w:sz w:val="22"/>
          <w:szCs w:val="22"/>
          <w:lang w:val="sk-SK"/>
        </w:rPr>
        <w:t>folátu</w:t>
      </w:r>
      <w:proofErr w:type="spellEnd"/>
      <w:r w:rsidR="00D04BF3" w:rsidRPr="00652B9D">
        <w:rPr>
          <w:sz w:val="22"/>
          <w:szCs w:val="22"/>
          <w:lang w:val="sk-SK"/>
        </w:rPr>
        <w:t xml:space="preserve"> znižuje účinnosť lieku. U žien vo fertilnom veku, ktoré užívajú doplnky </w:t>
      </w:r>
      <w:proofErr w:type="spellStart"/>
      <w:r w:rsidR="00D04BF3" w:rsidRPr="00652B9D">
        <w:rPr>
          <w:sz w:val="22"/>
          <w:szCs w:val="22"/>
          <w:lang w:val="sk-SK"/>
        </w:rPr>
        <w:t>folátu</w:t>
      </w:r>
      <w:proofErr w:type="spellEnd"/>
      <w:r w:rsidR="00D04BF3" w:rsidRPr="00652B9D">
        <w:rPr>
          <w:sz w:val="22"/>
          <w:szCs w:val="22"/>
          <w:lang w:val="sk-SK"/>
        </w:rPr>
        <w:t xml:space="preserve"> na prevenciu vrodených porúch </w:t>
      </w:r>
      <w:proofErr w:type="spellStart"/>
      <w:r w:rsidR="00D04BF3" w:rsidRPr="00652B9D">
        <w:rPr>
          <w:sz w:val="22"/>
          <w:szCs w:val="22"/>
          <w:lang w:val="sk-SK"/>
        </w:rPr>
        <w:t>neurálnej</w:t>
      </w:r>
      <w:proofErr w:type="spellEnd"/>
      <w:r w:rsidR="00D04BF3" w:rsidRPr="00652B9D">
        <w:rPr>
          <w:sz w:val="22"/>
          <w:szCs w:val="22"/>
          <w:lang w:val="sk-SK"/>
        </w:rPr>
        <w:t xml:space="preserve"> rúry, sa má v užívaní takýchto doplnkov pokračovať aj počas užívania </w:t>
      </w:r>
      <w:proofErr w:type="spellStart"/>
      <w:r w:rsidR="00B843DF" w:rsidRPr="00652B9D">
        <w:rPr>
          <w:sz w:val="22"/>
          <w:szCs w:val="22"/>
          <w:lang w:val="sk-SK"/>
        </w:rPr>
        <w:t>Malarone</w:t>
      </w:r>
      <w:proofErr w:type="spellEnd"/>
      <w:r w:rsidR="00B843DF" w:rsidRPr="00652B9D">
        <w:rPr>
          <w:sz w:val="22"/>
          <w:szCs w:val="22"/>
          <w:lang w:val="sk-SK"/>
        </w:rPr>
        <w:t>.</w:t>
      </w:r>
    </w:p>
    <w:p w14:paraId="492E48E9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0FAFEF7C" w14:textId="77777777" w:rsidR="00B843DF" w:rsidRPr="00B11EA4" w:rsidRDefault="00B843DF" w:rsidP="005F241E">
      <w:pPr>
        <w:rPr>
          <w:bCs/>
          <w:sz w:val="22"/>
          <w:szCs w:val="22"/>
          <w:u w:val="single"/>
          <w:lang w:val="sk-SK"/>
        </w:rPr>
      </w:pPr>
      <w:r w:rsidRPr="00B11EA4">
        <w:rPr>
          <w:bCs/>
          <w:sz w:val="22"/>
          <w:szCs w:val="22"/>
          <w:u w:val="single"/>
          <w:lang w:val="sk-SK"/>
        </w:rPr>
        <w:t>La</w:t>
      </w:r>
      <w:r w:rsidR="00D04BF3" w:rsidRPr="00B11EA4">
        <w:rPr>
          <w:bCs/>
          <w:sz w:val="22"/>
          <w:szCs w:val="22"/>
          <w:u w:val="single"/>
          <w:lang w:val="sk-SK"/>
        </w:rPr>
        <w:t>k</w:t>
      </w:r>
      <w:r w:rsidRPr="00B11EA4">
        <w:rPr>
          <w:bCs/>
          <w:sz w:val="22"/>
          <w:szCs w:val="22"/>
          <w:u w:val="single"/>
          <w:lang w:val="sk-SK"/>
        </w:rPr>
        <w:t>t</w:t>
      </w:r>
      <w:r w:rsidR="00D04BF3" w:rsidRPr="00B11EA4">
        <w:rPr>
          <w:bCs/>
          <w:sz w:val="22"/>
          <w:szCs w:val="22"/>
          <w:u w:val="single"/>
          <w:lang w:val="sk-SK"/>
        </w:rPr>
        <w:t>ác</w:t>
      </w:r>
      <w:r w:rsidRPr="00B11EA4">
        <w:rPr>
          <w:bCs/>
          <w:sz w:val="22"/>
          <w:szCs w:val="22"/>
          <w:u w:val="single"/>
          <w:lang w:val="sk-SK"/>
        </w:rPr>
        <w:t>i</w:t>
      </w:r>
      <w:r w:rsidR="00D04BF3" w:rsidRPr="00B11EA4">
        <w:rPr>
          <w:bCs/>
          <w:sz w:val="22"/>
          <w:szCs w:val="22"/>
          <w:u w:val="single"/>
          <w:lang w:val="sk-SK"/>
        </w:rPr>
        <w:t>a</w:t>
      </w:r>
    </w:p>
    <w:p w14:paraId="6B831D8B" w14:textId="77777777" w:rsidR="00A97DD5" w:rsidRPr="00652B9D" w:rsidRDefault="00A97DD5" w:rsidP="005F241E">
      <w:pPr>
        <w:rPr>
          <w:sz w:val="22"/>
          <w:szCs w:val="22"/>
          <w:lang w:val="sk-SK"/>
        </w:rPr>
      </w:pPr>
    </w:p>
    <w:p w14:paraId="201151DD" w14:textId="77777777" w:rsidR="00B843DF" w:rsidRPr="00652B9D" w:rsidRDefault="009F51CF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V štúdii na potkanoch boli k</w:t>
      </w:r>
      <w:r w:rsidR="00D04BF3" w:rsidRPr="00652B9D">
        <w:rPr>
          <w:sz w:val="22"/>
          <w:szCs w:val="22"/>
          <w:lang w:val="sk-SK"/>
        </w:rPr>
        <w:t xml:space="preserve">oncentrácie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ónu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="00D04BF3" w:rsidRPr="00652B9D">
        <w:rPr>
          <w:sz w:val="22"/>
          <w:szCs w:val="22"/>
          <w:lang w:val="sk-SK"/>
        </w:rPr>
        <w:t>v</w:t>
      </w:r>
      <w:r w:rsidRPr="00652B9D">
        <w:rPr>
          <w:sz w:val="22"/>
          <w:szCs w:val="22"/>
          <w:lang w:val="sk-SK"/>
        </w:rPr>
        <w:t> </w:t>
      </w:r>
      <w:r w:rsidR="00D04BF3" w:rsidRPr="00652B9D">
        <w:rPr>
          <w:sz w:val="22"/>
          <w:szCs w:val="22"/>
          <w:lang w:val="sk-SK"/>
        </w:rPr>
        <w:t>mlieku</w:t>
      </w:r>
      <w:r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sz w:val="22"/>
          <w:szCs w:val="22"/>
          <w:lang w:val="sk-SK"/>
        </w:rPr>
        <w:t>30</w:t>
      </w:r>
      <w:r w:rsidR="00F95203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 xml:space="preserve">% </w:t>
      </w:r>
      <w:r w:rsidRPr="00652B9D">
        <w:rPr>
          <w:sz w:val="22"/>
          <w:szCs w:val="22"/>
          <w:lang w:val="sk-SK"/>
        </w:rPr>
        <w:t xml:space="preserve">zo </w:t>
      </w:r>
      <w:r w:rsidR="00D04BF3" w:rsidRPr="00652B9D">
        <w:rPr>
          <w:sz w:val="22"/>
          <w:szCs w:val="22"/>
          <w:lang w:val="sk-SK"/>
        </w:rPr>
        <w:t xml:space="preserve">súbežných koncentrácií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ónu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v</w:t>
      </w:r>
      <w:r w:rsidR="00D04BF3" w:rsidRPr="00652B9D">
        <w:rPr>
          <w:sz w:val="22"/>
          <w:szCs w:val="22"/>
          <w:lang w:val="sk-SK"/>
        </w:rPr>
        <w:t xml:space="preserve"> materskej plazme</w:t>
      </w:r>
      <w:r w:rsidR="00B843DF" w:rsidRPr="00652B9D">
        <w:rPr>
          <w:sz w:val="22"/>
          <w:szCs w:val="22"/>
          <w:lang w:val="sk-SK"/>
        </w:rPr>
        <w:t xml:space="preserve">. </w:t>
      </w:r>
      <w:r w:rsidR="00D04BF3" w:rsidRPr="00652B9D">
        <w:rPr>
          <w:sz w:val="22"/>
          <w:szCs w:val="22"/>
          <w:lang w:val="sk-SK"/>
        </w:rPr>
        <w:t xml:space="preserve">Nie je známe, či sa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="00D04BF3" w:rsidRPr="00652B9D">
        <w:rPr>
          <w:sz w:val="22"/>
          <w:szCs w:val="22"/>
          <w:lang w:val="sk-SK"/>
        </w:rPr>
        <w:t>vylučuje do ľudského mlieka</w:t>
      </w:r>
      <w:r w:rsidR="00B843DF" w:rsidRPr="00652B9D">
        <w:rPr>
          <w:sz w:val="22"/>
          <w:szCs w:val="22"/>
          <w:lang w:val="sk-SK"/>
        </w:rPr>
        <w:t>.</w:t>
      </w:r>
    </w:p>
    <w:p w14:paraId="537E4235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2DBECA90" w14:textId="77777777" w:rsidR="00B843DF" w:rsidRPr="00652B9D" w:rsidRDefault="00B843DF" w:rsidP="005F241E">
      <w:pPr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Pr="00652B9D">
        <w:rPr>
          <w:sz w:val="22"/>
          <w:szCs w:val="22"/>
          <w:lang w:val="sk-SK"/>
        </w:rPr>
        <w:t>anil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r w:rsidR="00D04BF3" w:rsidRPr="00652B9D">
        <w:rPr>
          <w:sz w:val="22"/>
          <w:szCs w:val="22"/>
          <w:lang w:val="sk-SK"/>
        </w:rPr>
        <w:t>sa vylučuje do ľudského mlieka v malých množstvách</w:t>
      </w:r>
      <w:r w:rsidRPr="00652B9D">
        <w:rPr>
          <w:sz w:val="22"/>
          <w:szCs w:val="22"/>
          <w:lang w:val="sk-SK"/>
        </w:rPr>
        <w:t>.</w:t>
      </w:r>
    </w:p>
    <w:p w14:paraId="0B6DD1F4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0F1C36BD" w14:textId="77777777" w:rsidR="00B843DF" w:rsidRPr="00652B9D" w:rsidRDefault="00B843DF" w:rsidP="005F241E">
      <w:pPr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t>Malarone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r w:rsidR="00D04BF3" w:rsidRPr="00652B9D">
        <w:rPr>
          <w:sz w:val="22"/>
          <w:szCs w:val="22"/>
          <w:lang w:val="sk-SK"/>
        </w:rPr>
        <w:t>nemajú užívať dojčiace ženy.</w:t>
      </w:r>
    </w:p>
    <w:p w14:paraId="486CB3DF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0D3D493B" w14:textId="77777777" w:rsidR="00B843DF" w:rsidRPr="00652B9D" w:rsidRDefault="00AB3C03" w:rsidP="005F241E">
      <w:pPr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4.7</w:t>
      </w:r>
      <w:r w:rsidR="00A97DD5" w:rsidRPr="00652B9D">
        <w:rPr>
          <w:b/>
          <w:sz w:val="22"/>
          <w:szCs w:val="22"/>
          <w:lang w:val="sk-SK"/>
        </w:rPr>
        <w:tab/>
      </w:r>
      <w:r w:rsidR="00D04BF3" w:rsidRPr="00652B9D">
        <w:rPr>
          <w:b/>
          <w:sz w:val="22"/>
          <w:szCs w:val="22"/>
          <w:lang w:val="sk-SK"/>
        </w:rPr>
        <w:t>Ovplyvnenie schopnosti viesť vozidlá a obsluhovať stroj</w:t>
      </w:r>
      <w:r w:rsidR="00B843DF" w:rsidRPr="00652B9D">
        <w:rPr>
          <w:b/>
          <w:sz w:val="22"/>
          <w:szCs w:val="22"/>
          <w:lang w:val="sk-SK"/>
        </w:rPr>
        <w:t>e</w:t>
      </w:r>
    </w:p>
    <w:p w14:paraId="032F2066" w14:textId="77777777" w:rsidR="001D1557" w:rsidRPr="00652B9D" w:rsidRDefault="001D1557" w:rsidP="005F241E">
      <w:pPr>
        <w:rPr>
          <w:snapToGrid w:val="0"/>
          <w:sz w:val="22"/>
          <w:szCs w:val="22"/>
          <w:u w:val="single"/>
          <w:lang w:val="sk-SK"/>
        </w:rPr>
      </w:pPr>
    </w:p>
    <w:p w14:paraId="41FA92DD" w14:textId="77777777" w:rsidR="00B843DF" w:rsidRPr="00652B9D" w:rsidRDefault="00D04BF3" w:rsidP="005F241E">
      <w:pPr>
        <w:rPr>
          <w:sz w:val="22"/>
          <w:szCs w:val="22"/>
          <w:lang w:val="sk-SK"/>
        </w:rPr>
      </w:pPr>
      <w:r w:rsidRPr="00652B9D">
        <w:rPr>
          <w:snapToGrid w:val="0"/>
          <w:sz w:val="22"/>
          <w:szCs w:val="22"/>
          <w:lang w:val="sk-SK"/>
        </w:rPr>
        <w:t>Bol hlásený závrat</w:t>
      </w:r>
      <w:r w:rsidR="00B843DF" w:rsidRPr="00652B9D">
        <w:rPr>
          <w:snapToGrid w:val="0"/>
          <w:sz w:val="22"/>
          <w:szCs w:val="22"/>
          <w:lang w:val="sk-SK"/>
        </w:rPr>
        <w:t xml:space="preserve">. </w:t>
      </w:r>
      <w:r w:rsidRPr="00652B9D">
        <w:rPr>
          <w:snapToGrid w:val="0"/>
          <w:sz w:val="22"/>
          <w:szCs w:val="22"/>
          <w:lang w:val="sk-SK"/>
        </w:rPr>
        <w:t>Pacienti musia</w:t>
      </w:r>
      <w:r w:rsidR="00AE22B9" w:rsidRPr="00652B9D">
        <w:rPr>
          <w:snapToGrid w:val="0"/>
          <w:sz w:val="22"/>
          <w:szCs w:val="22"/>
          <w:lang w:val="sk-SK"/>
        </w:rPr>
        <w:t xml:space="preserve"> byť</w:t>
      </w:r>
      <w:r w:rsidRPr="00652B9D">
        <w:rPr>
          <w:snapToGrid w:val="0"/>
          <w:sz w:val="22"/>
          <w:szCs w:val="22"/>
          <w:lang w:val="sk-SK"/>
        </w:rPr>
        <w:t xml:space="preserve"> upozorn</w:t>
      </w:r>
      <w:r w:rsidR="00AE22B9" w:rsidRPr="00652B9D">
        <w:rPr>
          <w:snapToGrid w:val="0"/>
          <w:sz w:val="22"/>
          <w:szCs w:val="22"/>
          <w:lang w:val="sk-SK"/>
        </w:rPr>
        <w:t>ení</w:t>
      </w:r>
      <w:r w:rsidRPr="00652B9D">
        <w:rPr>
          <w:snapToGrid w:val="0"/>
          <w:sz w:val="22"/>
          <w:szCs w:val="22"/>
          <w:lang w:val="sk-SK"/>
        </w:rPr>
        <w:t xml:space="preserve"> na to, že v prípade závratu nesmú viesť vozidlá, obsluhovať str</w:t>
      </w:r>
      <w:r w:rsidR="00860BA0" w:rsidRPr="00652B9D">
        <w:rPr>
          <w:snapToGrid w:val="0"/>
          <w:sz w:val="22"/>
          <w:szCs w:val="22"/>
          <w:lang w:val="sk-SK"/>
        </w:rPr>
        <w:t>o</w:t>
      </w:r>
      <w:r w:rsidRPr="00652B9D">
        <w:rPr>
          <w:snapToGrid w:val="0"/>
          <w:sz w:val="22"/>
          <w:szCs w:val="22"/>
          <w:lang w:val="sk-SK"/>
        </w:rPr>
        <w:t xml:space="preserve">je ani </w:t>
      </w:r>
      <w:r w:rsidR="00952C4D" w:rsidRPr="00652B9D">
        <w:rPr>
          <w:snapToGrid w:val="0"/>
          <w:sz w:val="22"/>
          <w:szCs w:val="22"/>
          <w:lang w:val="sk-SK"/>
        </w:rPr>
        <w:t>sa zapájať do</w:t>
      </w:r>
      <w:r w:rsidR="00860BA0" w:rsidRPr="00652B9D">
        <w:rPr>
          <w:snapToGrid w:val="0"/>
          <w:sz w:val="22"/>
          <w:szCs w:val="22"/>
          <w:lang w:val="sk-SK"/>
        </w:rPr>
        <w:t xml:space="preserve"> </w:t>
      </w:r>
      <w:r w:rsidR="00952C4D" w:rsidRPr="00652B9D">
        <w:rPr>
          <w:snapToGrid w:val="0"/>
          <w:sz w:val="22"/>
          <w:szCs w:val="22"/>
          <w:lang w:val="sk-SK"/>
        </w:rPr>
        <w:t>činností</w:t>
      </w:r>
      <w:r w:rsidR="00860BA0" w:rsidRPr="00652B9D">
        <w:rPr>
          <w:snapToGrid w:val="0"/>
          <w:sz w:val="22"/>
          <w:szCs w:val="22"/>
          <w:lang w:val="sk-SK"/>
        </w:rPr>
        <w:t>, pri ktorých by mohli vystaviť riziku seba alebo ostatných.</w:t>
      </w:r>
    </w:p>
    <w:p w14:paraId="44E10FC3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092696C4" w14:textId="77777777" w:rsidR="00B843DF" w:rsidRPr="00652B9D" w:rsidRDefault="00B843DF" w:rsidP="005F241E">
      <w:pPr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4.8</w:t>
      </w:r>
      <w:r w:rsidR="00A97DD5" w:rsidRPr="00652B9D">
        <w:rPr>
          <w:b/>
          <w:sz w:val="22"/>
          <w:szCs w:val="22"/>
          <w:lang w:val="sk-SK"/>
        </w:rPr>
        <w:tab/>
      </w:r>
      <w:r w:rsidR="00860BA0" w:rsidRPr="00652B9D">
        <w:rPr>
          <w:b/>
          <w:sz w:val="22"/>
          <w:szCs w:val="22"/>
          <w:lang w:val="sk-SK"/>
        </w:rPr>
        <w:t>Nežiaduce účinky</w:t>
      </w:r>
    </w:p>
    <w:p w14:paraId="28729866" w14:textId="77777777" w:rsidR="00B843DF" w:rsidRPr="00F95203" w:rsidRDefault="00B843DF" w:rsidP="005F241E">
      <w:pPr>
        <w:rPr>
          <w:sz w:val="22"/>
          <w:szCs w:val="22"/>
          <w:lang w:val="sk-SK"/>
        </w:rPr>
      </w:pPr>
    </w:p>
    <w:p w14:paraId="4F4D4790" w14:textId="77777777" w:rsidR="00D94AA5" w:rsidRPr="00652B9D" w:rsidRDefault="00D94AA5" w:rsidP="005F241E">
      <w:pPr>
        <w:rPr>
          <w:rFonts w:cs="Arial"/>
          <w:sz w:val="22"/>
          <w:szCs w:val="22"/>
          <w:lang w:val="sk-SK"/>
        </w:rPr>
      </w:pPr>
      <w:r w:rsidRPr="00652B9D">
        <w:rPr>
          <w:rFonts w:cs="Arial"/>
          <w:sz w:val="22"/>
          <w:szCs w:val="22"/>
          <w:lang w:val="sk-SK"/>
        </w:rPr>
        <w:t xml:space="preserve">V klinických štúdiách skúmajúcich </w:t>
      </w:r>
      <w:proofErr w:type="spellStart"/>
      <w:r w:rsidR="001837CD">
        <w:rPr>
          <w:rFonts w:cs="Arial"/>
          <w:sz w:val="22"/>
          <w:szCs w:val="22"/>
          <w:lang w:val="sk-SK"/>
        </w:rPr>
        <w:t>Malarone</w:t>
      </w:r>
      <w:proofErr w:type="spellEnd"/>
      <w:r w:rsidRPr="00652B9D">
        <w:rPr>
          <w:rFonts w:cs="Arial"/>
          <w:sz w:val="22"/>
          <w:szCs w:val="22"/>
          <w:lang w:val="sk-SK"/>
        </w:rPr>
        <w:t xml:space="preserve"> </w:t>
      </w:r>
      <w:r w:rsidR="00D74D86">
        <w:rPr>
          <w:rFonts w:cs="Arial"/>
          <w:sz w:val="22"/>
          <w:szCs w:val="22"/>
          <w:lang w:val="sk-SK"/>
        </w:rPr>
        <w:t>v</w:t>
      </w:r>
      <w:r w:rsidRPr="00652B9D">
        <w:rPr>
          <w:rFonts w:cs="Arial"/>
          <w:sz w:val="22"/>
          <w:szCs w:val="22"/>
          <w:lang w:val="sk-SK"/>
        </w:rPr>
        <w:t xml:space="preserve"> liečb</w:t>
      </w:r>
      <w:r w:rsidR="00527238">
        <w:rPr>
          <w:rFonts w:cs="Arial"/>
          <w:sz w:val="22"/>
          <w:szCs w:val="22"/>
          <w:lang w:val="sk-SK"/>
        </w:rPr>
        <w:t>e</w:t>
      </w:r>
      <w:r w:rsidRPr="00652B9D">
        <w:rPr>
          <w:rFonts w:cs="Arial"/>
          <w:sz w:val="22"/>
          <w:szCs w:val="22"/>
          <w:lang w:val="sk-SK"/>
        </w:rPr>
        <w:t xml:space="preserve"> malárie boli najčastejšie hlásené nežiaduce </w:t>
      </w:r>
      <w:r w:rsidR="001837CD">
        <w:rPr>
          <w:rFonts w:cs="Arial"/>
          <w:sz w:val="22"/>
          <w:szCs w:val="22"/>
          <w:lang w:val="sk-SK"/>
        </w:rPr>
        <w:t>reakcie</w:t>
      </w:r>
      <w:r w:rsidRPr="00652B9D">
        <w:rPr>
          <w:rFonts w:cs="Arial"/>
          <w:sz w:val="22"/>
          <w:szCs w:val="22"/>
          <w:lang w:val="sk-SK"/>
        </w:rPr>
        <w:t xml:space="preserve"> bolesť brucha, bolesť hlavy, </w:t>
      </w:r>
      <w:proofErr w:type="spellStart"/>
      <w:r w:rsidRPr="00652B9D">
        <w:rPr>
          <w:rFonts w:cs="Arial"/>
          <w:sz w:val="22"/>
          <w:szCs w:val="22"/>
          <w:lang w:val="sk-SK"/>
        </w:rPr>
        <w:t>anorexia</w:t>
      </w:r>
      <w:proofErr w:type="spellEnd"/>
      <w:r w:rsidRPr="00652B9D">
        <w:rPr>
          <w:rFonts w:cs="Arial"/>
          <w:sz w:val="22"/>
          <w:szCs w:val="22"/>
          <w:lang w:val="sk-SK"/>
        </w:rPr>
        <w:t>, nauzea, dávenie, hnačka a kašeľ.</w:t>
      </w:r>
    </w:p>
    <w:p w14:paraId="62BF363A" w14:textId="77777777" w:rsidR="00D94AA5" w:rsidRPr="00652B9D" w:rsidRDefault="00D94AA5" w:rsidP="005F241E">
      <w:pPr>
        <w:rPr>
          <w:rFonts w:cs="Arial"/>
          <w:sz w:val="22"/>
          <w:szCs w:val="22"/>
          <w:lang w:val="sk-SK"/>
        </w:rPr>
      </w:pPr>
    </w:p>
    <w:p w14:paraId="5C9043E2" w14:textId="77777777" w:rsidR="00D94AA5" w:rsidRDefault="00D94AA5" w:rsidP="005F241E">
      <w:pPr>
        <w:rPr>
          <w:rFonts w:cs="Arial"/>
          <w:sz w:val="22"/>
          <w:szCs w:val="22"/>
          <w:lang w:val="sk-SK"/>
        </w:rPr>
      </w:pPr>
      <w:r w:rsidRPr="00652B9D">
        <w:rPr>
          <w:rFonts w:cs="Arial"/>
          <w:sz w:val="22"/>
          <w:szCs w:val="22"/>
          <w:lang w:val="sk-SK"/>
        </w:rPr>
        <w:t xml:space="preserve">V klinických štúdiách skúmajúcich </w:t>
      </w:r>
      <w:proofErr w:type="spellStart"/>
      <w:r w:rsidR="001837CD">
        <w:rPr>
          <w:rFonts w:cs="Arial"/>
          <w:sz w:val="22"/>
          <w:szCs w:val="22"/>
          <w:lang w:val="sk-SK"/>
        </w:rPr>
        <w:t>Malarone</w:t>
      </w:r>
      <w:proofErr w:type="spellEnd"/>
      <w:r w:rsidRPr="00652B9D">
        <w:rPr>
          <w:rFonts w:cs="Arial"/>
          <w:sz w:val="22"/>
          <w:szCs w:val="22"/>
          <w:lang w:val="sk-SK"/>
        </w:rPr>
        <w:t xml:space="preserve"> na profylaxiu malárie boli najčastejšie hlásené nežiaduce </w:t>
      </w:r>
      <w:r w:rsidR="001837CD">
        <w:rPr>
          <w:rFonts w:cs="Arial"/>
          <w:sz w:val="22"/>
          <w:szCs w:val="22"/>
          <w:lang w:val="sk-SK"/>
        </w:rPr>
        <w:t>reakcie</w:t>
      </w:r>
      <w:r w:rsidRPr="00652B9D">
        <w:rPr>
          <w:rFonts w:cs="Arial"/>
          <w:sz w:val="22"/>
          <w:szCs w:val="22"/>
          <w:lang w:val="sk-SK"/>
        </w:rPr>
        <w:t xml:space="preserve"> </w:t>
      </w:r>
      <w:r w:rsidRPr="00652B9D">
        <w:rPr>
          <w:snapToGrid w:val="0"/>
          <w:sz w:val="22"/>
          <w:szCs w:val="22"/>
          <w:lang w:val="sk-SK"/>
        </w:rPr>
        <w:t>bolesť hlavy, bolesť brucha a hnačka</w:t>
      </w:r>
      <w:r w:rsidRPr="00652B9D">
        <w:rPr>
          <w:rFonts w:cs="Arial"/>
          <w:sz w:val="22"/>
          <w:szCs w:val="22"/>
          <w:lang w:val="sk-SK"/>
        </w:rPr>
        <w:t>.</w:t>
      </w:r>
    </w:p>
    <w:p w14:paraId="258915C3" w14:textId="77777777" w:rsidR="001837CD" w:rsidRDefault="001837CD" w:rsidP="005F241E">
      <w:pPr>
        <w:rPr>
          <w:rFonts w:cs="Arial"/>
          <w:sz w:val="22"/>
          <w:szCs w:val="22"/>
          <w:lang w:val="sk-SK"/>
        </w:rPr>
      </w:pPr>
    </w:p>
    <w:p w14:paraId="17149975" w14:textId="77777777" w:rsidR="001837CD" w:rsidRDefault="001837CD" w:rsidP="005F241E">
      <w:pPr>
        <w:rPr>
          <w:rFonts w:cs="Arial"/>
          <w:sz w:val="22"/>
          <w:szCs w:val="22"/>
          <w:lang w:val="sk-SK" w:eastAsia="en-GB"/>
        </w:rPr>
      </w:pPr>
      <w:r w:rsidRPr="00652B9D">
        <w:rPr>
          <w:rFonts w:cs="Arial"/>
          <w:sz w:val="22"/>
          <w:szCs w:val="22"/>
          <w:lang w:val="sk-SK" w:eastAsia="en-GB"/>
        </w:rPr>
        <w:t xml:space="preserve">Nasledujúca tabuľka poskytuje súhrn nežiaducich reakcií, </w:t>
      </w:r>
      <w:r>
        <w:rPr>
          <w:rFonts w:cs="Arial"/>
          <w:sz w:val="22"/>
          <w:szCs w:val="22"/>
          <w:lang w:val="sk-SK" w:eastAsia="en-GB"/>
        </w:rPr>
        <w:t xml:space="preserve">pri ktorých bola hlásená </w:t>
      </w:r>
      <w:proofErr w:type="spellStart"/>
      <w:r>
        <w:rPr>
          <w:rFonts w:cs="Arial"/>
          <w:sz w:val="22"/>
          <w:szCs w:val="22"/>
          <w:lang w:val="sk-SK" w:eastAsia="en-GB"/>
        </w:rPr>
        <w:t>suspektná</w:t>
      </w:r>
      <w:proofErr w:type="spellEnd"/>
      <w:r>
        <w:rPr>
          <w:rFonts w:cs="Arial"/>
          <w:sz w:val="22"/>
          <w:szCs w:val="22"/>
          <w:lang w:val="sk-SK" w:eastAsia="en-GB"/>
        </w:rPr>
        <w:t xml:space="preserve"> (minimálne možná) príčinná súvislosť s liečbou </w:t>
      </w:r>
      <w:proofErr w:type="spellStart"/>
      <w:r w:rsidRPr="00652B9D">
        <w:rPr>
          <w:rFonts w:cs="Arial"/>
          <w:sz w:val="22"/>
          <w:szCs w:val="22"/>
          <w:lang w:val="sk-SK" w:eastAsia="en-GB"/>
        </w:rPr>
        <w:t>atova</w:t>
      </w:r>
      <w:r>
        <w:rPr>
          <w:rFonts w:cs="Arial"/>
          <w:sz w:val="22"/>
          <w:szCs w:val="22"/>
          <w:lang w:val="sk-SK" w:eastAsia="en-GB"/>
        </w:rPr>
        <w:t>ch</w:t>
      </w:r>
      <w:r w:rsidRPr="00652B9D">
        <w:rPr>
          <w:rFonts w:cs="Arial"/>
          <w:sz w:val="22"/>
          <w:szCs w:val="22"/>
          <w:lang w:val="sk-SK" w:eastAsia="en-GB"/>
        </w:rPr>
        <w:t>ón</w:t>
      </w:r>
      <w:r>
        <w:rPr>
          <w:rFonts w:cs="Arial"/>
          <w:sz w:val="22"/>
          <w:szCs w:val="22"/>
          <w:lang w:val="sk-SK" w:eastAsia="en-GB"/>
        </w:rPr>
        <w:t>om</w:t>
      </w:r>
      <w:r w:rsidR="00B2798D">
        <w:rPr>
          <w:rFonts w:cs="Arial"/>
          <w:sz w:val="22"/>
          <w:szCs w:val="22"/>
          <w:lang w:val="sk-SK" w:eastAsia="en-GB"/>
        </w:rPr>
        <w:noBreakHyphen/>
      </w:r>
      <w:r w:rsidRPr="00652B9D">
        <w:rPr>
          <w:rFonts w:cs="Arial"/>
          <w:sz w:val="22"/>
          <w:szCs w:val="22"/>
          <w:lang w:val="sk-SK" w:eastAsia="en-GB"/>
        </w:rPr>
        <w:t>prog</w:t>
      </w:r>
      <w:r>
        <w:rPr>
          <w:rFonts w:cs="Arial"/>
          <w:sz w:val="22"/>
          <w:szCs w:val="22"/>
          <w:lang w:val="sk-SK" w:eastAsia="en-GB"/>
        </w:rPr>
        <w:t>u</w:t>
      </w:r>
      <w:r w:rsidRPr="00652B9D">
        <w:rPr>
          <w:rFonts w:cs="Arial"/>
          <w:sz w:val="22"/>
          <w:szCs w:val="22"/>
          <w:lang w:val="sk-SK" w:eastAsia="en-GB"/>
        </w:rPr>
        <w:t>anil</w:t>
      </w:r>
      <w:r>
        <w:rPr>
          <w:rFonts w:cs="Arial"/>
          <w:sz w:val="22"/>
          <w:szCs w:val="22"/>
          <w:lang w:val="sk-SK" w:eastAsia="en-GB"/>
        </w:rPr>
        <w:t>om</w:t>
      </w:r>
      <w:proofErr w:type="spellEnd"/>
      <w:r w:rsidRPr="00652B9D">
        <w:rPr>
          <w:rFonts w:cs="Arial"/>
          <w:sz w:val="22"/>
          <w:szCs w:val="22"/>
          <w:lang w:val="sk-SK" w:eastAsia="en-GB"/>
        </w:rPr>
        <w:t xml:space="preserve"> v klinických štúdiách a</w:t>
      </w:r>
      <w:r w:rsidR="00D74D86">
        <w:rPr>
          <w:rFonts w:cs="Arial"/>
          <w:sz w:val="22"/>
          <w:szCs w:val="22"/>
          <w:lang w:val="sk-SK" w:eastAsia="en-GB"/>
        </w:rPr>
        <w:t> </w:t>
      </w:r>
      <w:r w:rsidRPr="00652B9D">
        <w:rPr>
          <w:rFonts w:cs="Arial"/>
          <w:sz w:val="22"/>
          <w:szCs w:val="22"/>
          <w:lang w:val="sk-SK" w:eastAsia="en-GB"/>
        </w:rPr>
        <w:t>v</w:t>
      </w:r>
      <w:r w:rsidR="00D74D86">
        <w:rPr>
          <w:rFonts w:cs="Arial"/>
          <w:sz w:val="22"/>
          <w:szCs w:val="22"/>
          <w:lang w:val="sk-SK" w:eastAsia="en-GB"/>
        </w:rPr>
        <w:t> </w:t>
      </w:r>
      <w:r w:rsidRPr="00652B9D">
        <w:rPr>
          <w:rFonts w:cs="Arial"/>
          <w:sz w:val="22"/>
          <w:szCs w:val="22"/>
          <w:lang w:val="sk-SK" w:eastAsia="en-GB"/>
        </w:rPr>
        <w:t xml:space="preserve">spontánnych </w:t>
      </w:r>
      <w:proofErr w:type="spellStart"/>
      <w:r w:rsidRPr="00652B9D">
        <w:rPr>
          <w:rFonts w:cs="Arial"/>
          <w:sz w:val="22"/>
          <w:szCs w:val="22"/>
          <w:lang w:val="sk-SK" w:eastAsia="en-GB"/>
        </w:rPr>
        <w:t>postmarketingových</w:t>
      </w:r>
      <w:proofErr w:type="spellEnd"/>
      <w:r w:rsidRPr="00652B9D">
        <w:rPr>
          <w:rFonts w:cs="Arial"/>
          <w:sz w:val="22"/>
          <w:szCs w:val="22"/>
          <w:lang w:val="sk-SK" w:eastAsia="en-GB"/>
        </w:rPr>
        <w:t xml:space="preserve"> hláseniach. Na klasifikáciu frekvencie sa použilo nasledujúce pravidlo: veľmi časté (≥</w:t>
      </w:r>
      <w:r w:rsidR="00B2798D">
        <w:rPr>
          <w:rFonts w:cs="Arial"/>
          <w:sz w:val="22"/>
          <w:szCs w:val="22"/>
          <w:lang w:val="sk-SK" w:eastAsia="en-GB"/>
        </w:rPr>
        <w:t> </w:t>
      </w:r>
      <w:r w:rsidRPr="00652B9D">
        <w:rPr>
          <w:rFonts w:cs="Arial"/>
          <w:sz w:val="22"/>
          <w:szCs w:val="22"/>
          <w:lang w:val="sk-SK" w:eastAsia="en-GB"/>
        </w:rPr>
        <w:t>1/10); časté (≥</w:t>
      </w:r>
      <w:r w:rsidR="00B2798D">
        <w:rPr>
          <w:rFonts w:cs="Arial"/>
          <w:sz w:val="22"/>
          <w:szCs w:val="22"/>
          <w:lang w:val="sk-SK" w:eastAsia="en-GB"/>
        </w:rPr>
        <w:t> </w:t>
      </w:r>
      <w:r w:rsidRPr="00652B9D">
        <w:rPr>
          <w:rFonts w:cs="Arial"/>
          <w:sz w:val="22"/>
          <w:szCs w:val="22"/>
          <w:lang w:val="sk-SK" w:eastAsia="en-GB"/>
        </w:rPr>
        <w:t>1/100 až &lt;</w:t>
      </w:r>
      <w:r w:rsidR="00B2798D">
        <w:rPr>
          <w:rFonts w:cs="Arial"/>
          <w:sz w:val="22"/>
          <w:szCs w:val="22"/>
          <w:lang w:val="sk-SK" w:eastAsia="en-GB"/>
        </w:rPr>
        <w:t> </w:t>
      </w:r>
      <w:r w:rsidRPr="00652B9D">
        <w:rPr>
          <w:rFonts w:cs="Arial"/>
          <w:sz w:val="22"/>
          <w:szCs w:val="22"/>
          <w:lang w:val="sk-SK" w:eastAsia="en-GB"/>
        </w:rPr>
        <w:t>1/10); menej časté (≥</w:t>
      </w:r>
      <w:r w:rsidR="00B2798D">
        <w:rPr>
          <w:rFonts w:cs="Arial"/>
          <w:sz w:val="22"/>
          <w:szCs w:val="22"/>
          <w:lang w:val="sk-SK" w:eastAsia="en-GB"/>
        </w:rPr>
        <w:t> </w:t>
      </w:r>
      <w:r w:rsidRPr="00652B9D">
        <w:rPr>
          <w:rFonts w:cs="Arial"/>
          <w:sz w:val="22"/>
          <w:szCs w:val="22"/>
          <w:lang w:val="sk-SK" w:eastAsia="en-GB"/>
        </w:rPr>
        <w:t>1/1</w:t>
      </w:r>
      <w:r w:rsidR="00B2798D">
        <w:rPr>
          <w:rFonts w:cs="Arial"/>
          <w:sz w:val="22"/>
          <w:szCs w:val="22"/>
          <w:lang w:val="sk-SK" w:eastAsia="en-GB"/>
        </w:rPr>
        <w:t> </w:t>
      </w:r>
      <w:r w:rsidRPr="00652B9D">
        <w:rPr>
          <w:rFonts w:cs="Arial"/>
          <w:sz w:val="22"/>
          <w:szCs w:val="22"/>
          <w:lang w:val="sk-SK" w:eastAsia="en-GB"/>
        </w:rPr>
        <w:t>000 až &lt;</w:t>
      </w:r>
      <w:r w:rsidR="00B2798D">
        <w:rPr>
          <w:rFonts w:cs="Arial"/>
          <w:sz w:val="22"/>
          <w:szCs w:val="22"/>
          <w:lang w:val="sk-SK" w:eastAsia="en-GB"/>
        </w:rPr>
        <w:t> </w:t>
      </w:r>
      <w:r w:rsidRPr="00652B9D">
        <w:rPr>
          <w:rFonts w:cs="Arial"/>
          <w:sz w:val="22"/>
          <w:szCs w:val="22"/>
          <w:lang w:val="sk-SK" w:eastAsia="en-GB"/>
        </w:rPr>
        <w:t xml:space="preserve">1/100); </w:t>
      </w:r>
      <w:r w:rsidR="00B11EA4">
        <w:rPr>
          <w:rFonts w:cs="Arial"/>
          <w:sz w:val="22"/>
          <w:szCs w:val="22"/>
          <w:lang w:val="sk-SK" w:eastAsia="en-GB"/>
        </w:rPr>
        <w:t xml:space="preserve">zriedkavé </w:t>
      </w:r>
      <w:r w:rsidR="00B11EA4" w:rsidRPr="00652B9D">
        <w:rPr>
          <w:rFonts w:cs="Arial"/>
          <w:sz w:val="22"/>
          <w:szCs w:val="22"/>
          <w:lang w:val="sk-SK" w:eastAsia="en-GB"/>
        </w:rPr>
        <w:t>(≥</w:t>
      </w:r>
      <w:r w:rsidR="00B11EA4">
        <w:rPr>
          <w:rFonts w:cs="Arial"/>
          <w:sz w:val="22"/>
          <w:szCs w:val="22"/>
          <w:lang w:val="sk-SK" w:eastAsia="en-GB"/>
        </w:rPr>
        <w:t> </w:t>
      </w:r>
      <w:r w:rsidR="00B11EA4" w:rsidRPr="00652B9D">
        <w:rPr>
          <w:rFonts w:cs="Arial"/>
          <w:sz w:val="22"/>
          <w:szCs w:val="22"/>
          <w:lang w:val="sk-SK" w:eastAsia="en-GB"/>
        </w:rPr>
        <w:t>1/1</w:t>
      </w:r>
      <w:r w:rsidR="00B11EA4">
        <w:rPr>
          <w:rFonts w:cs="Arial"/>
          <w:sz w:val="22"/>
          <w:szCs w:val="22"/>
          <w:lang w:val="sk-SK" w:eastAsia="en-GB"/>
        </w:rPr>
        <w:t>0 0</w:t>
      </w:r>
      <w:r w:rsidR="00B11EA4" w:rsidRPr="00652B9D">
        <w:rPr>
          <w:rFonts w:cs="Arial"/>
          <w:sz w:val="22"/>
          <w:szCs w:val="22"/>
          <w:lang w:val="sk-SK" w:eastAsia="en-GB"/>
        </w:rPr>
        <w:t>00 až &lt;</w:t>
      </w:r>
      <w:r w:rsidR="00B11EA4">
        <w:rPr>
          <w:rFonts w:cs="Arial"/>
          <w:sz w:val="22"/>
          <w:szCs w:val="22"/>
          <w:lang w:val="sk-SK" w:eastAsia="en-GB"/>
        </w:rPr>
        <w:t> </w:t>
      </w:r>
      <w:r w:rsidR="00B11EA4" w:rsidRPr="00652B9D">
        <w:rPr>
          <w:rFonts w:cs="Arial"/>
          <w:sz w:val="22"/>
          <w:szCs w:val="22"/>
          <w:lang w:val="sk-SK" w:eastAsia="en-GB"/>
        </w:rPr>
        <w:t>1/1</w:t>
      </w:r>
      <w:r w:rsidR="00B11EA4">
        <w:rPr>
          <w:rFonts w:cs="Arial"/>
          <w:sz w:val="22"/>
          <w:szCs w:val="22"/>
          <w:lang w:val="sk-SK" w:eastAsia="en-GB"/>
        </w:rPr>
        <w:t> </w:t>
      </w:r>
      <w:r w:rsidR="00B11EA4" w:rsidRPr="00652B9D">
        <w:rPr>
          <w:rFonts w:cs="Arial"/>
          <w:sz w:val="22"/>
          <w:szCs w:val="22"/>
          <w:lang w:val="sk-SK" w:eastAsia="en-GB"/>
        </w:rPr>
        <w:t>0</w:t>
      </w:r>
      <w:r w:rsidR="00B11EA4">
        <w:rPr>
          <w:rFonts w:cs="Arial"/>
          <w:sz w:val="22"/>
          <w:szCs w:val="22"/>
          <w:lang w:val="sk-SK" w:eastAsia="en-GB"/>
        </w:rPr>
        <w:t xml:space="preserve">00); </w:t>
      </w:r>
      <w:r w:rsidRPr="00652B9D">
        <w:rPr>
          <w:rFonts w:cs="Arial"/>
          <w:sz w:val="22"/>
          <w:szCs w:val="22"/>
          <w:lang w:val="sk-SK" w:eastAsia="en-GB"/>
        </w:rPr>
        <w:t>neznáme (</w:t>
      </w:r>
      <w:r w:rsidR="00DE1135">
        <w:rPr>
          <w:rFonts w:cs="Arial"/>
          <w:sz w:val="22"/>
          <w:szCs w:val="22"/>
          <w:lang w:val="sk-SK" w:eastAsia="en-GB"/>
        </w:rPr>
        <w:t xml:space="preserve">častosť sa nedá odhadnúť </w:t>
      </w:r>
      <w:r w:rsidRPr="00652B9D">
        <w:rPr>
          <w:rFonts w:cs="Arial"/>
          <w:sz w:val="22"/>
          <w:szCs w:val="22"/>
          <w:lang w:val="sk-SK" w:eastAsia="en-GB"/>
        </w:rPr>
        <w:t>z dostupných údajov).</w:t>
      </w:r>
    </w:p>
    <w:p w14:paraId="0C4FD926" w14:textId="77777777" w:rsidR="001837CD" w:rsidRDefault="001837CD" w:rsidP="005F241E">
      <w:pPr>
        <w:rPr>
          <w:rFonts w:cs="Arial"/>
          <w:sz w:val="22"/>
          <w:szCs w:val="22"/>
          <w:lang w:val="sk-SK" w:eastAsia="en-GB"/>
        </w:rPr>
      </w:pPr>
    </w:p>
    <w:p w14:paraId="6E4A50C2" w14:textId="77777777" w:rsidR="001837CD" w:rsidRPr="00652B9D" w:rsidRDefault="001837CD" w:rsidP="005F241E">
      <w:pPr>
        <w:rPr>
          <w:rFonts w:cs="Arial"/>
          <w:sz w:val="22"/>
          <w:szCs w:val="22"/>
          <w:lang w:val="sk-SK" w:eastAsia="en-GB"/>
        </w:rPr>
      </w:pPr>
      <w:r>
        <w:rPr>
          <w:rFonts w:cs="Arial"/>
          <w:sz w:val="22"/>
          <w:szCs w:val="22"/>
          <w:lang w:val="sk-SK" w:eastAsia="en-GB"/>
        </w:rPr>
        <w:t xml:space="preserve">K dispozícii je obmedzené množstvo údajov </w:t>
      </w:r>
      <w:r w:rsidR="00B2798D">
        <w:rPr>
          <w:rFonts w:cs="Arial"/>
          <w:sz w:val="22"/>
          <w:szCs w:val="22"/>
          <w:lang w:val="sk-SK" w:eastAsia="en-GB"/>
        </w:rPr>
        <w:t>o</w:t>
      </w:r>
      <w:r>
        <w:rPr>
          <w:rFonts w:cs="Arial"/>
          <w:sz w:val="22"/>
          <w:szCs w:val="22"/>
          <w:lang w:val="sk-SK" w:eastAsia="en-GB"/>
        </w:rPr>
        <w:t xml:space="preserve"> dlhodobej bezpečnosti u detí. Konkrétne neboli sledované účinky </w:t>
      </w:r>
      <w:proofErr w:type="spellStart"/>
      <w:r>
        <w:rPr>
          <w:rFonts w:cs="Arial"/>
          <w:sz w:val="22"/>
          <w:szCs w:val="22"/>
          <w:lang w:val="sk-SK" w:eastAsia="en-GB"/>
        </w:rPr>
        <w:t>Malarone</w:t>
      </w:r>
      <w:proofErr w:type="spellEnd"/>
      <w:r>
        <w:rPr>
          <w:rFonts w:cs="Arial"/>
          <w:sz w:val="22"/>
          <w:szCs w:val="22"/>
          <w:lang w:val="sk-SK" w:eastAsia="en-GB"/>
        </w:rPr>
        <w:t xml:space="preserve"> na rast, pubertu a celkový výv</w:t>
      </w:r>
      <w:r w:rsidR="00880DF3">
        <w:rPr>
          <w:rFonts w:cs="Arial"/>
          <w:sz w:val="22"/>
          <w:szCs w:val="22"/>
          <w:lang w:val="sk-SK" w:eastAsia="en-GB"/>
        </w:rPr>
        <w:t>in</w:t>
      </w:r>
      <w:r>
        <w:rPr>
          <w:rFonts w:cs="Arial"/>
          <w:sz w:val="22"/>
          <w:szCs w:val="22"/>
          <w:lang w:val="sk-SK" w:eastAsia="en-GB"/>
        </w:rPr>
        <w:t>.</w:t>
      </w:r>
    </w:p>
    <w:p w14:paraId="34090708" w14:textId="77777777" w:rsidR="001837CD" w:rsidRPr="00652B9D" w:rsidRDefault="001837CD" w:rsidP="005F241E">
      <w:pPr>
        <w:rPr>
          <w:rFonts w:cs="Arial"/>
          <w:sz w:val="22"/>
          <w:szCs w:val="22"/>
          <w:lang w:val="sk-SK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1418"/>
        <w:gridCol w:w="1852"/>
        <w:gridCol w:w="1418"/>
        <w:gridCol w:w="1276"/>
        <w:gridCol w:w="1710"/>
      </w:tblGrid>
      <w:tr w:rsidR="00890411" w:rsidRPr="00907347" w14:paraId="69F4F75C" w14:textId="77777777" w:rsidTr="00890411">
        <w:tc>
          <w:tcPr>
            <w:tcW w:w="1941" w:type="dxa"/>
          </w:tcPr>
          <w:p w14:paraId="595F8EC1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lastRenderedPageBreak/>
              <w:t>Trieda orgánových systémov</w:t>
            </w:r>
          </w:p>
        </w:tc>
        <w:tc>
          <w:tcPr>
            <w:tcW w:w="1418" w:type="dxa"/>
          </w:tcPr>
          <w:p w14:paraId="41F45B94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>Veľmi časté</w:t>
            </w:r>
          </w:p>
        </w:tc>
        <w:tc>
          <w:tcPr>
            <w:tcW w:w="1852" w:type="dxa"/>
          </w:tcPr>
          <w:p w14:paraId="566A11F5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>Časté</w:t>
            </w:r>
          </w:p>
        </w:tc>
        <w:tc>
          <w:tcPr>
            <w:tcW w:w="1418" w:type="dxa"/>
          </w:tcPr>
          <w:p w14:paraId="3E3FD200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>Menej časté</w:t>
            </w:r>
          </w:p>
        </w:tc>
        <w:tc>
          <w:tcPr>
            <w:tcW w:w="1276" w:type="dxa"/>
          </w:tcPr>
          <w:p w14:paraId="3168165A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>Zriedkavé</w:t>
            </w:r>
          </w:p>
        </w:tc>
        <w:tc>
          <w:tcPr>
            <w:tcW w:w="1710" w:type="dxa"/>
          </w:tcPr>
          <w:p w14:paraId="012E580F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 xml:space="preserve"> Neznáme</w:t>
            </w:r>
            <w:r w:rsidRPr="001837CD">
              <w:rPr>
                <w:rFonts w:ascii="Times New Roman" w:hAnsi="Times New Roman" w:cs="Arial"/>
                <w:b/>
                <w:sz w:val="22"/>
                <w:szCs w:val="22"/>
                <w:vertAlign w:val="superscript"/>
                <w:lang w:val="sk-SK"/>
              </w:rPr>
              <w:t>2</w:t>
            </w:r>
          </w:p>
        </w:tc>
      </w:tr>
      <w:tr w:rsidR="00890411" w:rsidRPr="00907347" w14:paraId="6099BF70" w14:textId="77777777" w:rsidTr="00890411">
        <w:tc>
          <w:tcPr>
            <w:tcW w:w="1941" w:type="dxa"/>
          </w:tcPr>
          <w:p w14:paraId="75C2824D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>Poruchy krvi a lymfatického systému</w:t>
            </w:r>
          </w:p>
        </w:tc>
        <w:tc>
          <w:tcPr>
            <w:tcW w:w="1418" w:type="dxa"/>
          </w:tcPr>
          <w:p w14:paraId="420DAF45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852" w:type="dxa"/>
          </w:tcPr>
          <w:p w14:paraId="2209C81B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Anémia</w:t>
            </w:r>
          </w:p>
          <w:p w14:paraId="6C4E65B5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Neutropénia</w:t>
            </w:r>
            <w:r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  <w:t>1</w:t>
            </w:r>
          </w:p>
        </w:tc>
        <w:tc>
          <w:tcPr>
            <w:tcW w:w="1418" w:type="dxa"/>
          </w:tcPr>
          <w:p w14:paraId="16A0CFE9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276" w:type="dxa"/>
          </w:tcPr>
          <w:p w14:paraId="3254DA90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710" w:type="dxa"/>
          </w:tcPr>
          <w:p w14:paraId="7C5193A3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proofErr w:type="spellStart"/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Pancytopénia</w:t>
            </w:r>
            <w:proofErr w:type="spellEnd"/>
          </w:p>
        </w:tc>
      </w:tr>
      <w:tr w:rsidR="00890411" w:rsidRPr="00907347" w14:paraId="567525E2" w14:textId="77777777" w:rsidTr="00890411">
        <w:tc>
          <w:tcPr>
            <w:tcW w:w="1941" w:type="dxa"/>
          </w:tcPr>
          <w:p w14:paraId="055202D5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>Poruchy imunitného systému</w:t>
            </w:r>
          </w:p>
        </w:tc>
        <w:tc>
          <w:tcPr>
            <w:tcW w:w="1418" w:type="dxa"/>
          </w:tcPr>
          <w:p w14:paraId="3643625F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852" w:type="dxa"/>
          </w:tcPr>
          <w:p w14:paraId="5221AACE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Alergické reakcie</w:t>
            </w:r>
          </w:p>
        </w:tc>
        <w:tc>
          <w:tcPr>
            <w:tcW w:w="1418" w:type="dxa"/>
          </w:tcPr>
          <w:p w14:paraId="70A287EF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276" w:type="dxa"/>
          </w:tcPr>
          <w:p w14:paraId="2645D9A1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710" w:type="dxa"/>
          </w:tcPr>
          <w:p w14:paraId="60BACE6D" w14:textId="77777777" w:rsidR="004B4CA3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Angioedém</w:t>
            </w:r>
            <w:r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  <w:t>3</w:t>
            </w:r>
          </w:p>
          <w:p w14:paraId="798E1CBC" w14:textId="77777777" w:rsidR="00890411" w:rsidRPr="004B4CA3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proofErr w:type="spellStart"/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Anafylaxia</w:t>
            </w:r>
            <w:proofErr w:type="spellEnd"/>
            <w:r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(pozri časť 4.4)</w:t>
            </w:r>
          </w:p>
          <w:p w14:paraId="5BF16323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Vaskulitída</w:t>
            </w:r>
            <w:r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  <w:t>3</w:t>
            </w:r>
          </w:p>
        </w:tc>
      </w:tr>
      <w:tr w:rsidR="00890411" w:rsidRPr="00907347" w14:paraId="094ADC7C" w14:textId="77777777" w:rsidTr="00890411">
        <w:tc>
          <w:tcPr>
            <w:tcW w:w="1941" w:type="dxa"/>
          </w:tcPr>
          <w:p w14:paraId="673B25B7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>Poruchy metabolizmu a výživy</w:t>
            </w:r>
          </w:p>
        </w:tc>
        <w:tc>
          <w:tcPr>
            <w:tcW w:w="1418" w:type="dxa"/>
          </w:tcPr>
          <w:p w14:paraId="6322DCC8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852" w:type="dxa"/>
          </w:tcPr>
          <w:p w14:paraId="4B7CD5CC" w14:textId="77777777" w:rsidR="004B4CA3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Hyponatr</w:t>
            </w:r>
            <w:r>
              <w:rPr>
                <w:rFonts w:ascii="Times New Roman" w:hAnsi="Times New Roman" w:cs="Arial"/>
                <w:sz w:val="22"/>
                <w:szCs w:val="22"/>
                <w:lang w:val="sk-SK"/>
              </w:rPr>
              <w:t>i</w:t>
            </w: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émia</w:t>
            </w:r>
            <w:r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  <w:t>1</w:t>
            </w:r>
          </w:p>
          <w:p w14:paraId="0F22D797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proofErr w:type="spellStart"/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Anorexia</w:t>
            </w:r>
            <w:proofErr w:type="spellEnd"/>
          </w:p>
        </w:tc>
        <w:tc>
          <w:tcPr>
            <w:tcW w:w="1418" w:type="dxa"/>
          </w:tcPr>
          <w:p w14:paraId="46B58596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Zvýšené hladiny amyláz</w:t>
            </w:r>
            <w:r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  <w:t>1</w:t>
            </w:r>
          </w:p>
        </w:tc>
        <w:tc>
          <w:tcPr>
            <w:tcW w:w="1276" w:type="dxa"/>
          </w:tcPr>
          <w:p w14:paraId="3CD29B24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</w:pPr>
          </w:p>
        </w:tc>
        <w:tc>
          <w:tcPr>
            <w:tcW w:w="1710" w:type="dxa"/>
          </w:tcPr>
          <w:p w14:paraId="76969123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</w:pPr>
          </w:p>
        </w:tc>
      </w:tr>
      <w:tr w:rsidR="00890411" w:rsidRPr="00907347" w14:paraId="506116F7" w14:textId="77777777" w:rsidTr="00890411">
        <w:tc>
          <w:tcPr>
            <w:tcW w:w="1941" w:type="dxa"/>
          </w:tcPr>
          <w:p w14:paraId="17F942C3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>Psychické poruchy</w:t>
            </w:r>
          </w:p>
        </w:tc>
        <w:tc>
          <w:tcPr>
            <w:tcW w:w="1418" w:type="dxa"/>
          </w:tcPr>
          <w:p w14:paraId="5082F1C7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852" w:type="dxa"/>
          </w:tcPr>
          <w:p w14:paraId="4A824F4F" w14:textId="77777777" w:rsidR="00890411" w:rsidRPr="004B4CA3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Abnormálne sny</w:t>
            </w:r>
          </w:p>
          <w:p w14:paraId="042978BF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Depresia</w:t>
            </w:r>
          </w:p>
        </w:tc>
        <w:tc>
          <w:tcPr>
            <w:tcW w:w="1418" w:type="dxa"/>
          </w:tcPr>
          <w:p w14:paraId="4609F235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Úzkosť</w:t>
            </w:r>
          </w:p>
        </w:tc>
        <w:tc>
          <w:tcPr>
            <w:tcW w:w="1276" w:type="dxa"/>
          </w:tcPr>
          <w:p w14:paraId="069DA549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sk-SK"/>
              </w:rPr>
              <w:t>Halucinácie</w:t>
            </w:r>
          </w:p>
        </w:tc>
        <w:tc>
          <w:tcPr>
            <w:tcW w:w="1710" w:type="dxa"/>
          </w:tcPr>
          <w:p w14:paraId="68DAA6AD" w14:textId="77777777" w:rsidR="00890411" w:rsidRPr="004B4CA3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Panický záchvat</w:t>
            </w:r>
          </w:p>
          <w:p w14:paraId="27392DCA" w14:textId="77777777" w:rsidR="00890411" w:rsidRPr="004B4CA3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Plač</w:t>
            </w:r>
          </w:p>
          <w:p w14:paraId="579E6A49" w14:textId="77777777" w:rsidR="00890411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Nočné mory</w:t>
            </w:r>
          </w:p>
          <w:p w14:paraId="73604C6E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sk-SK"/>
              </w:rPr>
              <w:t>Psychotická porucha</w:t>
            </w:r>
          </w:p>
        </w:tc>
      </w:tr>
      <w:tr w:rsidR="00890411" w:rsidRPr="00907347" w14:paraId="17A020E4" w14:textId="77777777" w:rsidTr="00890411">
        <w:tc>
          <w:tcPr>
            <w:tcW w:w="1941" w:type="dxa"/>
          </w:tcPr>
          <w:p w14:paraId="37BAD713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>Poruchy nervového systému</w:t>
            </w:r>
          </w:p>
        </w:tc>
        <w:tc>
          <w:tcPr>
            <w:tcW w:w="1418" w:type="dxa"/>
          </w:tcPr>
          <w:p w14:paraId="15D9C979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Bolesť hlavy</w:t>
            </w:r>
          </w:p>
        </w:tc>
        <w:tc>
          <w:tcPr>
            <w:tcW w:w="1852" w:type="dxa"/>
          </w:tcPr>
          <w:p w14:paraId="5F12EB11" w14:textId="77777777" w:rsidR="004B4CA3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proofErr w:type="spellStart"/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Insomnia</w:t>
            </w:r>
            <w:proofErr w:type="spellEnd"/>
          </w:p>
          <w:p w14:paraId="73D0C948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Závrat</w:t>
            </w:r>
          </w:p>
        </w:tc>
        <w:tc>
          <w:tcPr>
            <w:tcW w:w="1418" w:type="dxa"/>
          </w:tcPr>
          <w:p w14:paraId="2BC6D4C1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276" w:type="dxa"/>
          </w:tcPr>
          <w:p w14:paraId="05DCC4DC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710" w:type="dxa"/>
          </w:tcPr>
          <w:p w14:paraId="0178F01C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Záchvaty kŕčov</w:t>
            </w:r>
          </w:p>
        </w:tc>
      </w:tr>
      <w:tr w:rsidR="00890411" w:rsidRPr="00907347" w14:paraId="64C19568" w14:textId="77777777" w:rsidTr="00890411">
        <w:tc>
          <w:tcPr>
            <w:tcW w:w="1941" w:type="dxa"/>
          </w:tcPr>
          <w:p w14:paraId="751A7F93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>Poruchy srdca a srdcovej činnosti</w:t>
            </w:r>
          </w:p>
        </w:tc>
        <w:tc>
          <w:tcPr>
            <w:tcW w:w="1418" w:type="dxa"/>
          </w:tcPr>
          <w:p w14:paraId="149D3150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852" w:type="dxa"/>
          </w:tcPr>
          <w:p w14:paraId="6D799284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</w:tcPr>
          <w:p w14:paraId="6BF6C497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</w:pPr>
            <w:proofErr w:type="spellStart"/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Palpitácie</w:t>
            </w:r>
            <w:proofErr w:type="spellEnd"/>
          </w:p>
        </w:tc>
        <w:tc>
          <w:tcPr>
            <w:tcW w:w="1276" w:type="dxa"/>
          </w:tcPr>
          <w:p w14:paraId="74E0D1C2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710" w:type="dxa"/>
          </w:tcPr>
          <w:p w14:paraId="6FDBF7E2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</w:pPr>
            <w:proofErr w:type="spellStart"/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Tachykardia</w:t>
            </w:r>
            <w:proofErr w:type="spellEnd"/>
          </w:p>
        </w:tc>
      </w:tr>
      <w:tr w:rsidR="00890411" w:rsidRPr="00907347" w14:paraId="7A9E1527" w14:textId="77777777" w:rsidTr="00890411">
        <w:tc>
          <w:tcPr>
            <w:tcW w:w="1941" w:type="dxa"/>
          </w:tcPr>
          <w:p w14:paraId="718D9DCE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 xml:space="preserve">Poruchy </w:t>
            </w:r>
            <w:proofErr w:type="spellStart"/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>gastrointestinal</w:t>
            </w:r>
            <w:proofErr w:type="spellEnd"/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>-neho traktu</w:t>
            </w:r>
          </w:p>
        </w:tc>
        <w:tc>
          <w:tcPr>
            <w:tcW w:w="1418" w:type="dxa"/>
          </w:tcPr>
          <w:p w14:paraId="60EBDEAC" w14:textId="77777777" w:rsidR="004B4CA3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Nauzea</w:t>
            </w:r>
            <w:r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  <w:t>1</w:t>
            </w:r>
          </w:p>
          <w:p w14:paraId="53CA499F" w14:textId="77777777" w:rsidR="004B4CA3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Dávenie</w:t>
            </w:r>
          </w:p>
          <w:p w14:paraId="12772A23" w14:textId="77777777" w:rsidR="004B4CA3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Hnačka</w:t>
            </w:r>
          </w:p>
          <w:p w14:paraId="00983E3C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Bolesť brucha</w:t>
            </w:r>
          </w:p>
        </w:tc>
        <w:tc>
          <w:tcPr>
            <w:tcW w:w="1852" w:type="dxa"/>
          </w:tcPr>
          <w:p w14:paraId="6B983C24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</w:tcPr>
          <w:p w14:paraId="4A4821B2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proofErr w:type="spellStart"/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Stomatitída</w:t>
            </w:r>
            <w:proofErr w:type="spellEnd"/>
          </w:p>
        </w:tc>
        <w:tc>
          <w:tcPr>
            <w:tcW w:w="1276" w:type="dxa"/>
          </w:tcPr>
          <w:p w14:paraId="4C418F57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710" w:type="dxa"/>
          </w:tcPr>
          <w:p w14:paraId="0A24E91B" w14:textId="77777777" w:rsidR="004B4CA3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Žalúdočná neznášanlivosť</w:t>
            </w:r>
            <w:r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  <w:t>3</w:t>
            </w:r>
          </w:p>
          <w:p w14:paraId="450F64E2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proofErr w:type="spellStart"/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Ulcerácie</w:t>
            </w:r>
            <w:proofErr w:type="spellEnd"/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v</w:t>
            </w:r>
            <w:r w:rsidR="004B4CA3">
              <w:rPr>
                <w:rFonts w:ascii="Times New Roman" w:hAnsi="Times New Roman" w:cs="Arial"/>
                <w:sz w:val="22"/>
                <w:szCs w:val="22"/>
                <w:lang w:val="sk-SK"/>
              </w:rPr>
              <w:t> </w:t>
            </w: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ústnej dutine</w:t>
            </w:r>
            <w:r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  <w:t>3</w:t>
            </w:r>
          </w:p>
        </w:tc>
      </w:tr>
      <w:tr w:rsidR="00890411" w:rsidRPr="00907347" w14:paraId="5C968285" w14:textId="77777777" w:rsidTr="00890411">
        <w:tc>
          <w:tcPr>
            <w:tcW w:w="1941" w:type="dxa"/>
          </w:tcPr>
          <w:p w14:paraId="1D9E7E51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>Poruchy pečene a žlčových ciest</w:t>
            </w:r>
          </w:p>
        </w:tc>
        <w:tc>
          <w:tcPr>
            <w:tcW w:w="1418" w:type="dxa"/>
          </w:tcPr>
          <w:p w14:paraId="6460BAB9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852" w:type="dxa"/>
          </w:tcPr>
          <w:p w14:paraId="6DE8281E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Zvýšené hladiny pečeňových enzýmov</w:t>
            </w:r>
            <w:r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  <w:t>1</w:t>
            </w:r>
          </w:p>
        </w:tc>
        <w:tc>
          <w:tcPr>
            <w:tcW w:w="1418" w:type="dxa"/>
          </w:tcPr>
          <w:p w14:paraId="7E57E9BA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276" w:type="dxa"/>
          </w:tcPr>
          <w:p w14:paraId="0DAE74E4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710" w:type="dxa"/>
          </w:tcPr>
          <w:p w14:paraId="78C70D17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Hepatitída</w:t>
            </w:r>
          </w:p>
          <w:p w14:paraId="074E2963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Cholestáza</w:t>
            </w:r>
            <w:r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  <w:t>3</w:t>
            </w:r>
          </w:p>
        </w:tc>
      </w:tr>
      <w:tr w:rsidR="00890411" w:rsidRPr="00907347" w14:paraId="77CE13F1" w14:textId="77777777" w:rsidTr="00890411">
        <w:tc>
          <w:tcPr>
            <w:tcW w:w="1941" w:type="dxa"/>
          </w:tcPr>
          <w:p w14:paraId="151A1411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>Poruchy kože a podkožného tkaniva</w:t>
            </w:r>
          </w:p>
        </w:tc>
        <w:tc>
          <w:tcPr>
            <w:tcW w:w="1418" w:type="dxa"/>
          </w:tcPr>
          <w:p w14:paraId="24808B4C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852" w:type="dxa"/>
          </w:tcPr>
          <w:p w14:paraId="726CA225" w14:textId="77777777" w:rsidR="00890411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proofErr w:type="spellStart"/>
            <w:r>
              <w:rPr>
                <w:rFonts w:ascii="Times New Roman" w:hAnsi="Times New Roman" w:cs="Arial"/>
                <w:sz w:val="22"/>
                <w:szCs w:val="22"/>
                <w:lang w:val="sk-SK"/>
              </w:rPr>
              <w:t>Pruritus</w:t>
            </w:r>
            <w:proofErr w:type="spellEnd"/>
          </w:p>
          <w:p w14:paraId="4C9566D8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Vyrážka</w:t>
            </w:r>
          </w:p>
        </w:tc>
        <w:tc>
          <w:tcPr>
            <w:tcW w:w="1418" w:type="dxa"/>
          </w:tcPr>
          <w:p w14:paraId="1A973A9F" w14:textId="77777777" w:rsidR="00890411" w:rsidRPr="004B4CA3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Vypadávanie vlasov</w:t>
            </w:r>
          </w:p>
          <w:p w14:paraId="36B0AA8C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</w:pPr>
            <w:proofErr w:type="spellStart"/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Urtikária</w:t>
            </w:r>
            <w:proofErr w:type="spellEnd"/>
          </w:p>
        </w:tc>
        <w:tc>
          <w:tcPr>
            <w:tcW w:w="1276" w:type="dxa"/>
          </w:tcPr>
          <w:p w14:paraId="328B8CF5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710" w:type="dxa"/>
          </w:tcPr>
          <w:p w14:paraId="2EAB7383" w14:textId="77777777" w:rsidR="00890411" w:rsidRPr="004B4CA3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proofErr w:type="spellStart"/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Stevensov</w:t>
            </w:r>
            <w:r w:rsidR="00B7592B">
              <w:rPr>
                <w:rFonts w:ascii="Times New Roman" w:hAnsi="Times New Roman" w:cs="Arial"/>
                <w:sz w:val="22"/>
                <w:szCs w:val="22"/>
                <w:lang w:val="sk-SK"/>
              </w:rPr>
              <w:t>-</w:t>
            </w: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Johnsonov</w:t>
            </w:r>
            <w:proofErr w:type="spellEnd"/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syndróm</w:t>
            </w:r>
          </w:p>
          <w:p w14:paraId="027B40A2" w14:textId="77777777" w:rsidR="00890411" w:rsidRPr="004B4CA3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proofErr w:type="spellStart"/>
            <w:r w:rsidRPr="00D541D9">
              <w:rPr>
                <w:rFonts w:ascii="Times New Roman" w:hAnsi="Times New Roman" w:cs="Arial"/>
                <w:sz w:val="22"/>
                <w:szCs w:val="22"/>
                <w:lang w:val="sk-SK"/>
              </w:rPr>
              <w:t>Multiformný</w:t>
            </w:r>
            <w:proofErr w:type="spellEnd"/>
            <w:r w:rsidRPr="00D541D9"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D541D9">
              <w:rPr>
                <w:rFonts w:ascii="Times New Roman" w:hAnsi="Times New Roman" w:cs="Arial"/>
                <w:sz w:val="22"/>
                <w:szCs w:val="22"/>
                <w:lang w:val="sk-SK"/>
              </w:rPr>
              <w:t>erytém</w:t>
            </w:r>
            <w:proofErr w:type="spellEnd"/>
          </w:p>
          <w:p w14:paraId="4D6B4ABC" w14:textId="77777777" w:rsidR="00890411" w:rsidRPr="004B4CA3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Pľuzgiere</w:t>
            </w:r>
          </w:p>
          <w:p w14:paraId="281EFDDF" w14:textId="77777777" w:rsidR="00890411" w:rsidRPr="004B4CA3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Odlupovanie kože</w:t>
            </w:r>
          </w:p>
          <w:p w14:paraId="47FE09E3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vertAlign w:val="superscript"/>
                <w:lang w:val="sk-SK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sk-SK"/>
              </w:rPr>
              <w:t xml:space="preserve">Reakcie z </w:t>
            </w:r>
            <w:proofErr w:type="spellStart"/>
            <w:r>
              <w:rPr>
                <w:rFonts w:ascii="Times New Roman" w:hAnsi="Times New Roman" w:cs="Arial"/>
                <w:sz w:val="22"/>
                <w:szCs w:val="22"/>
                <w:lang w:val="sk-SK"/>
              </w:rPr>
              <w:t>fotosenzitivity</w:t>
            </w:r>
            <w:proofErr w:type="spellEnd"/>
          </w:p>
        </w:tc>
      </w:tr>
      <w:tr w:rsidR="00890411" w:rsidRPr="00907347" w14:paraId="1C96EE8D" w14:textId="77777777" w:rsidTr="00890411">
        <w:tc>
          <w:tcPr>
            <w:tcW w:w="1941" w:type="dxa"/>
          </w:tcPr>
          <w:p w14:paraId="37DFF385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>Celkové poruchy a reakcie v mieste podania</w:t>
            </w:r>
          </w:p>
        </w:tc>
        <w:tc>
          <w:tcPr>
            <w:tcW w:w="1418" w:type="dxa"/>
          </w:tcPr>
          <w:p w14:paraId="258E0F9B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852" w:type="dxa"/>
          </w:tcPr>
          <w:p w14:paraId="55F9826D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Horúčka</w:t>
            </w:r>
          </w:p>
        </w:tc>
        <w:tc>
          <w:tcPr>
            <w:tcW w:w="1418" w:type="dxa"/>
          </w:tcPr>
          <w:p w14:paraId="600D769F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276" w:type="dxa"/>
          </w:tcPr>
          <w:p w14:paraId="7F8CA898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710" w:type="dxa"/>
          </w:tcPr>
          <w:p w14:paraId="522CD291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</w:tr>
      <w:tr w:rsidR="00890411" w:rsidRPr="00907347" w14:paraId="6CAE582E" w14:textId="77777777" w:rsidTr="00890411">
        <w:tc>
          <w:tcPr>
            <w:tcW w:w="1941" w:type="dxa"/>
          </w:tcPr>
          <w:p w14:paraId="654A63F3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 xml:space="preserve">Poruchy dýchacej sústavy, hrudníka a </w:t>
            </w:r>
            <w:proofErr w:type="spellStart"/>
            <w:r w:rsidRPr="00907347">
              <w:rPr>
                <w:rFonts w:ascii="Times New Roman" w:hAnsi="Times New Roman" w:cs="Arial"/>
                <w:b/>
                <w:sz w:val="22"/>
                <w:szCs w:val="22"/>
                <w:lang w:val="sk-SK"/>
              </w:rPr>
              <w:t>mediastína</w:t>
            </w:r>
            <w:proofErr w:type="spellEnd"/>
          </w:p>
        </w:tc>
        <w:tc>
          <w:tcPr>
            <w:tcW w:w="1418" w:type="dxa"/>
          </w:tcPr>
          <w:p w14:paraId="71E93B1D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852" w:type="dxa"/>
          </w:tcPr>
          <w:p w14:paraId="1B8DBF93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  <w:r w:rsidRPr="00907347">
              <w:rPr>
                <w:rFonts w:ascii="Times New Roman" w:hAnsi="Times New Roman" w:cs="Arial"/>
                <w:sz w:val="22"/>
                <w:szCs w:val="22"/>
                <w:lang w:val="sk-SK"/>
              </w:rPr>
              <w:t>Kašeľ</w:t>
            </w:r>
          </w:p>
        </w:tc>
        <w:tc>
          <w:tcPr>
            <w:tcW w:w="1418" w:type="dxa"/>
          </w:tcPr>
          <w:p w14:paraId="27FB1D95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276" w:type="dxa"/>
          </w:tcPr>
          <w:p w14:paraId="67AA92ED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  <w:tc>
          <w:tcPr>
            <w:tcW w:w="1710" w:type="dxa"/>
          </w:tcPr>
          <w:p w14:paraId="15D377F9" w14:textId="77777777" w:rsidR="00890411" w:rsidRPr="00907347" w:rsidRDefault="00890411" w:rsidP="005F241E">
            <w:pPr>
              <w:pStyle w:val="tabletextNS"/>
              <w:keepNext/>
              <w:rPr>
                <w:rFonts w:ascii="Times New Roman" w:hAnsi="Times New Roman" w:cs="Arial"/>
                <w:sz w:val="22"/>
                <w:szCs w:val="22"/>
                <w:lang w:val="sk-SK"/>
              </w:rPr>
            </w:pPr>
          </w:p>
        </w:tc>
      </w:tr>
    </w:tbl>
    <w:p w14:paraId="7779DCE9" w14:textId="77777777" w:rsidR="005A781D" w:rsidRPr="00652B9D" w:rsidRDefault="005A781D" w:rsidP="005F241E">
      <w:pPr>
        <w:pStyle w:val="tableref"/>
        <w:tabs>
          <w:tab w:val="clear" w:pos="360"/>
        </w:tabs>
        <w:ind w:left="0" w:firstLine="0"/>
        <w:rPr>
          <w:rFonts w:ascii="Times New Roman" w:hAnsi="Times New Roman" w:cs="Arial"/>
          <w:sz w:val="22"/>
          <w:szCs w:val="22"/>
          <w:lang w:val="sk-SK"/>
        </w:rPr>
      </w:pPr>
      <w:bookmarkStart w:id="1" w:name="_Ref153772106"/>
    </w:p>
    <w:p w14:paraId="191CCEC2" w14:textId="77777777" w:rsidR="00D94AA5" w:rsidRPr="00652B9D" w:rsidRDefault="00EA37DC" w:rsidP="005F241E">
      <w:pPr>
        <w:pStyle w:val="tablerefalpha"/>
        <w:numPr>
          <w:ilvl w:val="0"/>
          <w:numId w:val="0"/>
        </w:numPr>
        <w:ind w:left="425" w:hanging="425"/>
        <w:rPr>
          <w:rFonts w:ascii="Times New Roman" w:hAnsi="Times New Roman" w:cs="Arial"/>
          <w:bCs/>
          <w:iCs/>
          <w:sz w:val="22"/>
          <w:szCs w:val="22"/>
          <w:lang w:val="sk-SK"/>
        </w:rPr>
      </w:pPr>
      <w:bookmarkStart w:id="2" w:name="_Ref153772116"/>
      <w:bookmarkStart w:id="3" w:name="_Ref153866217"/>
      <w:bookmarkStart w:id="4" w:name="_Ref153772201"/>
      <w:bookmarkEnd w:id="1"/>
      <w:r>
        <w:rPr>
          <w:rFonts w:ascii="Times New Roman" w:hAnsi="Times New Roman" w:cs="Arial"/>
          <w:sz w:val="22"/>
          <w:szCs w:val="22"/>
          <w:lang w:val="sk-SK"/>
        </w:rPr>
        <w:t>1.</w:t>
      </w:r>
      <w:r>
        <w:rPr>
          <w:rFonts w:ascii="Times New Roman" w:hAnsi="Times New Roman" w:cs="Arial"/>
          <w:sz w:val="22"/>
          <w:szCs w:val="22"/>
          <w:lang w:val="sk-SK"/>
        </w:rPr>
        <w:tab/>
      </w:r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 xml:space="preserve">Frekvencia prevzatá z </w:t>
      </w:r>
      <w:proofErr w:type="spellStart"/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>preskripčných</w:t>
      </w:r>
      <w:proofErr w:type="spellEnd"/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 xml:space="preserve"> informácií pre </w:t>
      </w:r>
      <w:proofErr w:type="spellStart"/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>atova</w:t>
      </w:r>
      <w:r w:rsidR="00C34A4E">
        <w:rPr>
          <w:rFonts w:ascii="Times New Roman" w:hAnsi="Times New Roman" w:cs="Arial"/>
          <w:sz w:val="22"/>
          <w:szCs w:val="22"/>
          <w:lang w:val="sk-SK"/>
        </w:rPr>
        <w:t>ch</w:t>
      </w:r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>ón</w:t>
      </w:r>
      <w:proofErr w:type="spellEnd"/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>. Pacienti, ktorí sa zúčastnili v</w:t>
      </w:r>
      <w:r w:rsidR="00811FCF">
        <w:rPr>
          <w:rFonts w:ascii="Times New Roman" w:hAnsi="Times New Roman" w:cs="Arial"/>
          <w:sz w:val="22"/>
          <w:szCs w:val="22"/>
          <w:lang w:val="sk-SK"/>
        </w:rPr>
        <w:t> </w:t>
      </w:r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 xml:space="preserve">klinických štúdiách s </w:t>
      </w:r>
      <w:proofErr w:type="spellStart"/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>atova</w:t>
      </w:r>
      <w:r w:rsidR="00C34A4E">
        <w:rPr>
          <w:rFonts w:ascii="Times New Roman" w:hAnsi="Times New Roman" w:cs="Arial"/>
          <w:sz w:val="22"/>
          <w:szCs w:val="22"/>
          <w:lang w:val="sk-SK"/>
        </w:rPr>
        <w:t>ch</w:t>
      </w:r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>ónom</w:t>
      </w:r>
      <w:proofErr w:type="spellEnd"/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 xml:space="preserve">, užívali vyššie dávky a často mali komplikácie pokročilého ochorenia spôsobeného vírusom ľudskej imunitnej nedostatočnosti (HIV). </w:t>
      </w:r>
      <w:bookmarkEnd w:id="2"/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>V klinických štúdiách s</w:t>
      </w:r>
      <w:r w:rsidR="00811FCF">
        <w:rPr>
          <w:rFonts w:ascii="Times New Roman" w:hAnsi="Times New Roman" w:cs="Arial"/>
          <w:sz w:val="22"/>
          <w:szCs w:val="22"/>
          <w:lang w:val="sk-SK"/>
        </w:rPr>
        <w:t> </w:t>
      </w:r>
      <w:proofErr w:type="spellStart"/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>atova</w:t>
      </w:r>
      <w:r w:rsidR="00C34A4E">
        <w:rPr>
          <w:rFonts w:ascii="Times New Roman" w:hAnsi="Times New Roman" w:cs="Arial"/>
          <w:sz w:val="22"/>
          <w:szCs w:val="22"/>
          <w:lang w:val="sk-SK"/>
        </w:rPr>
        <w:t>ch</w:t>
      </w:r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>ónom</w:t>
      </w:r>
      <w:r w:rsidR="00811FCF">
        <w:rPr>
          <w:rFonts w:ascii="Times New Roman" w:hAnsi="Times New Roman" w:cs="Arial"/>
          <w:sz w:val="22"/>
          <w:szCs w:val="22"/>
          <w:lang w:val="sk-SK"/>
        </w:rPr>
        <w:noBreakHyphen/>
      </w:r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>prog</w:t>
      </w:r>
      <w:r w:rsidR="00C34A4E">
        <w:rPr>
          <w:rFonts w:ascii="Times New Roman" w:hAnsi="Times New Roman" w:cs="Arial"/>
          <w:sz w:val="22"/>
          <w:szCs w:val="22"/>
          <w:lang w:val="sk-SK"/>
        </w:rPr>
        <w:t>u</w:t>
      </w:r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>anilom</w:t>
      </w:r>
      <w:proofErr w:type="spellEnd"/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 xml:space="preserve"> mohli byť tieto nežiaduce udalosti pozorované s nižšou frekvenciou alebo neboli pozorované vôbec.</w:t>
      </w:r>
      <w:bookmarkEnd w:id="3"/>
    </w:p>
    <w:p w14:paraId="0134A28D" w14:textId="77777777" w:rsidR="00D94AA5" w:rsidRPr="00652B9D" w:rsidRDefault="00EA37DC" w:rsidP="005F241E">
      <w:pPr>
        <w:pStyle w:val="tableref"/>
        <w:tabs>
          <w:tab w:val="clear" w:pos="360"/>
        </w:tabs>
        <w:ind w:left="425" w:hanging="425"/>
        <w:rPr>
          <w:rFonts w:ascii="Times New Roman" w:hAnsi="Times New Roman" w:cs="Arial"/>
          <w:sz w:val="22"/>
          <w:szCs w:val="22"/>
          <w:lang w:val="sk-SK"/>
        </w:rPr>
      </w:pPr>
      <w:r>
        <w:rPr>
          <w:rFonts w:ascii="Times New Roman" w:hAnsi="Times New Roman" w:cs="Arial"/>
          <w:sz w:val="22"/>
          <w:szCs w:val="22"/>
          <w:lang w:val="sk-SK"/>
        </w:rPr>
        <w:t>2.</w:t>
      </w:r>
      <w:r>
        <w:rPr>
          <w:rFonts w:ascii="Times New Roman" w:hAnsi="Times New Roman" w:cs="Arial"/>
          <w:sz w:val="22"/>
          <w:szCs w:val="22"/>
          <w:lang w:val="sk-SK"/>
        </w:rPr>
        <w:tab/>
      </w:r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 xml:space="preserve">Získané z </w:t>
      </w:r>
      <w:proofErr w:type="spellStart"/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>postmarketingových</w:t>
      </w:r>
      <w:proofErr w:type="spellEnd"/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 xml:space="preserve"> spontánnych hlásení a frekvencia je preto neznáma</w:t>
      </w:r>
      <w:bookmarkEnd w:id="4"/>
      <w:r w:rsidR="005437F0" w:rsidRPr="00652B9D">
        <w:rPr>
          <w:rFonts w:ascii="Times New Roman" w:hAnsi="Times New Roman" w:cs="Arial"/>
          <w:sz w:val="22"/>
          <w:szCs w:val="22"/>
          <w:lang w:val="sk-SK"/>
        </w:rPr>
        <w:t>.</w:t>
      </w:r>
    </w:p>
    <w:p w14:paraId="5B4CA5EE" w14:textId="77777777" w:rsidR="00B843DF" w:rsidRPr="00652B9D" w:rsidRDefault="00EA37DC" w:rsidP="005F241E">
      <w:pPr>
        <w:pStyle w:val="tableref"/>
        <w:tabs>
          <w:tab w:val="clear" w:pos="360"/>
        </w:tabs>
        <w:ind w:left="425" w:hanging="425"/>
        <w:rPr>
          <w:rFonts w:ascii="Times New Roman" w:hAnsi="Times New Roman" w:cs="Arial"/>
          <w:snapToGrid w:val="0"/>
          <w:sz w:val="22"/>
          <w:szCs w:val="22"/>
          <w:lang w:val="sk-SK"/>
        </w:rPr>
      </w:pPr>
      <w:bookmarkStart w:id="5" w:name="_Ref153866218"/>
      <w:r>
        <w:rPr>
          <w:rFonts w:ascii="Times New Roman" w:hAnsi="Times New Roman" w:cs="Arial"/>
          <w:sz w:val="22"/>
          <w:szCs w:val="22"/>
          <w:lang w:val="sk-SK"/>
        </w:rPr>
        <w:t>3.</w:t>
      </w:r>
      <w:r>
        <w:rPr>
          <w:rFonts w:ascii="Times New Roman" w:hAnsi="Times New Roman" w:cs="Arial"/>
          <w:sz w:val="22"/>
          <w:szCs w:val="22"/>
          <w:lang w:val="sk-SK"/>
        </w:rPr>
        <w:tab/>
      </w:r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 xml:space="preserve">Pozorované pri použití </w:t>
      </w:r>
      <w:proofErr w:type="spellStart"/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>prog</w:t>
      </w:r>
      <w:r w:rsidR="00C34A4E">
        <w:rPr>
          <w:rFonts w:ascii="Times New Roman" w:hAnsi="Times New Roman" w:cs="Arial"/>
          <w:sz w:val="22"/>
          <w:szCs w:val="22"/>
          <w:lang w:val="sk-SK"/>
        </w:rPr>
        <w:t>u</w:t>
      </w:r>
      <w:r w:rsidR="00D94AA5" w:rsidRPr="00652B9D">
        <w:rPr>
          <w:rFonts w:ascii="Times New Roman" w:hAnsi="Times New Roman" w:cs="Arial"/>
          <w:sz w:val="22"/>
          <w:szCs w:val="22"/>
          <w:lang w:val="sk-SK"/>
        </w:rPr>
        <w:t>anilu</w:t>
      </w:r>
      <w:bookmarkEnd w:id="5"/>
      <w:proofErr w:type="spellEnd"/>
      <w:r w:rsidR="00D94AA5" w:rsidRPr="00652B9D">
        <w:rPr>
          <w:rFonts w:ascii="Times New Roman" w:hAnsi="Times New Roman" w:cs="Arial"/>
          <w:snapToGrid w:val="0"/>
          <w:sz w:val="22"/>
          <w:szCs w:val="22"/>
          <w:lang w:val="sk-SK"/>
        </w:rPr>
        <w:t>.</w:t>
      </w:r>
    </w:p>
    <w:p w14:paraId="268689D5" w14:textId="77777777" w:rsidR="00D94AA5" w:rsidRDefault="00D94AA5" w:rsidP="005F241E">
      <w:pPr>
        <w:rPr>
          <w:snapToGrid w:val="0"/>
          <w:sz w:val="22"/>
          <w:szCs w:val="22"/>
          <w:lang w:val="sk-SK"/>
        </w:rPr>
      </w:pPr>
    </w:p>
    <w:p w14:paraId="126284AD" w14:textId="77777777" w:rsidR="00B7592B" w:rsidRPr="00B7592B" w:rsidRDefault="00B7592B" w:rsidP="005F241E">
      <w:pPr>
        <w:keepNext/>
        <w:keepLines/>
        <w:autoSpaceDE w:val="0"/>
        <w:autoSpaceDN w:val="0"/>
        <w:adjustRightInd w:val="0"/>
        <w:rPr>
          <w:sz w:val="22"/>
          <w:szCs w:val="22"/>
          <w:u w:val="single"/>
          <w:lang w:val="sk-SK"/>
        </w:rPr>
      </w:pPr>
      <w:r w:rsidRPr="00B7592B">
        <w:rPr>
          <w:noProof/>
          <w:sz w:val="22"/>
          <w:szCs w:val="22"/>
          <w:u w:val="single"/>
          <w:lang w:val="sk-SK"/>
        </w:rPr>
        <w:lastRenderedPageBreak/>
        <w:t>Hlásenie podozrení na nežiaduce reakcie</w:t>
      </w:r>
    </w:p>
    <w:p w14:paraId="6888A195" w14:textId="1CABDBDA" w:rsidR="00B7592B" w:rsidRPr="00B7592B" w:rsidRDefault="00B7592B" w:rsidP="005F241E">
      <w:pPr>
        <w:keepNext/>
        <w:keepLines/>
        <w:rPr>
          <w:snapToGrid w:val="0"/>
          <w:sz w:val="22"/>
          <w:szCs w:val="22"/>
          <w:lang w:val="sk-SK"/>
        </w:rPr>
      </w:pPr>
      <w:r w:rsidRPr="00B7592B">
        <w:rPr>
          <w:noProof/>
          <w:sz w:val="22"/>
          <w:szCs w:val="22"/>
          <w:lang w:val="sk-SK"/>
        </w:rPr>
        <w:t>Hlásenie podozrení na nežiaduce reakcie po registrácii lieku je dôležité.</w:t>
      </w:r>
      <w:r w:rsidRPr="00B7592B">
        <w:rPr>
          <w:sz w:val="22"/>
          <w:szCs w:val="22"/>
          <w:lang w:val="sk-SK"/>
        </w:rPr>
        <w:t xml:space="preserve"> </w:t>
      </w:r>
      <w:r w:rsidRPr="00B7592B">
        <w:rPr>
          <w:noProof/>
          <w:sz w:val="22"/>
          <w:szCs w:val="22"/>
          <w:lang w:val="sk-SK"/>
        </w:rPr>
        <w:t>Umožňuje priebežné monitorovanie pomeru prínosu</w:t>
      </w:r>
      <w:r w:rsidRPr="00B7592B">
        <w:rPr>
          <w:sz w:val="22"/>
          <w:szCs w:val="22"/>
          <w:lang w:val="sk-SK"/>
        </w:rPr>
        <w:t xml:space="preserve"> a</w:t>
      </w:r>
      <w:r w:rsidRPr="00B7592B">
        <w:rPr>
          <w:noProof/>
          <w:sz w:val="22"/>
          <w:szCs w:val="22"/>
          <w:lang w:val="sk-SK"/>
        </w:rPr>
        <w:t> rizika lieku.</w:t>
      </w:r>
      <w:r w:rsidRPr="00B7592B">
        <w:rPr>
          <w:sz w:val="22"/>
          <w:szCs w:val="22"/>
          <w:lang w:val="sk-SK"/>
        </w:rPr>
        <w:t xml:space="preserve"> Od </w:t>
      </w:r>
      <w:r w:rsidRPr="00B7592B">
        <w:rPr>
          <w:noProof/>
          <w:sz w:val="22"/>
          <w:szCs w:val="22"/>
          <w:lang w:val="sk-SK"/>
        </w:rPr>
        <w:t xml:space="preserve">zdravotníckych pracovníkov sa vyžaduje, aby hlásili akékoľvek podozrenia na nežiaduce reakcie </w:t>
      </w:r>
      <w:r w:rsidR="00FD0711">
        <w:rPr>
          <w:noProof/>
          <w:sz w:val="22"/>
          <w:szCs w:val="22"/>
          <w:lang w:val="sk-SK"/>
        </w:rPr>
        <w:t>na</w:t>
      </w:r>
      <w:r w:rsidRPr="00B7592B">
        <w:rPr>
          <w:noProof/>
          <w:sz w:val="22"/>
          <w:szCs w:val="22"/>
          <w:lang w:val="sk-SK"/>
        </w:rPr>
        <w:t xml:space="preserve"> </w:t>
      </w:r>
      <w:r w:rsidRPr="00B7592B">
        <w:rPr>
          <w:noProof/>
          <w:sz w:val="22"/>
          <w:szCs w:val="22"/>
          <w:highlight w:val="lightGray"/>
          <w:lang w:val="sk-SK"/>
        </w:rPr>
        <w:t xml:space="preserve">národné </w:t>
      </w:r>
      <w:r w:rsidR="00FD0711">
        <w:rPr>
          <w:noProof/>
          <w:sz w:val="22"/>
          <w:szCs w:val="22"/>
          <w:highlight w:val="lightGray"/>
          <w:lang w:val="sk-SK"/>
        </w:rPr>
        <w:t>centrum</w:t>
      </w:r>
      <w:r w:rsidRPr="00B7592B">
        <w:rPr>
          <w:noProof/>
          <w:sz w:val="22"/>
          <w:szCs w:val="22"/>
          <w:highlight w:val="lightGray"/>
          <w:lang w:val="sk-SK"/>
        </w:rPr>
        <w:t xml:space="preserve"> hlásenia uvedené v </w:t>
      </w:r>
      <w:hyperlink r:id="rId8" w:history="1">
        <w:r w:rsidRPr="00B7592B">
          <w:rPr>
            <w:rStyle w:val="Hypertextovprepojenie"/>
            <w:noProof/>
            <w:sz w:val="22"/>
            <w:szCs w:val="22"/>
            <w:highlight w:val="lightGray"/>
            <w:lang w:val="sk-SK"/>
          </w:rPr>
          <w:t>P</w:t>
        </w:r>
        <w:proofErr w:type="spellStart"/>
        <w:r w:rsidRPr="00B7592B">
          <w:rPr>
            <w:rStyle w:val="Hypertextovprepojenie"/>
            <w:sz w:val="22"/>
            <w:szCs w:val="22"/>
            <w:highlight w:val="lightGray"/>
            <w:lang w:val="sk-SK"/>
          </w:rPr>
          <w:t>rílohe</w:t>
        </w:r>
        <w:proofErr w:type="spellEnd"/>
        <w:r w:rsidRPr="00B7592B">
          <w:rPr>
            <w:rStyle w:val="Hypertextovprepojenie"/>
            <w:sz w:val="22"/>
            <w:szCs w:val="22"/>
            <w:highlight w:val="lightGray"/>
            <w:lang w:val="sk-SK"/>
          </w:rPr>
          <w:t> </w:t>
        </w:r>
        <w:r w:rsidRPr="00B7592B">
          <w:rPr>
            <w:rStyle w:val="Hypertextovprepojenie"/>
            <w:noProof/>
            <w:sz w:val="22"/>
            <w:szCs w:val="22"/>
            <w:highlight w:val="lightGray"/>
            <w:lang w:val="sk-SK"/>
          </w:rPr>
          <w:t>V</w:t>
        </w:r>
      </w:hyperlink>
      <w:r w:rsidRPr="00B7592B">
        <w:rPr>
          <w:noProof/>
          <w:sz w:val="22"/>
          <w:szCs w:val="22"/>
          <w:lang w:val="sk-SK"/>
        </w:rPr>
        <w:t>.</w:t>
      </w:r>
    </w:p>
    <w:p w14:paraId="5CABCEEF" w14:textId="77777777" w:rsidR="00B7592B" w:rsidRPr="00B7592B" w:rsidRDefault="00B7592B" w:rsidP="005F241E">
      <w:pPr>
        <w:rPr>
          <w:sz w:val="22"/>
          <w:szCs w:val="22"/>
          <w:lang w:val="sk-SK"/>
        </w:rPr>
      </w:pPr>
    </w:p>
    <w:p w14:paraId="462E7FB0" w14:textId="77777777" w:rsidR="00B843DF" w:rsidRPr="00652B9D" w:rsidRDefault="00B843DF" w:rsidP="005F241E">
      <w:pPr>
        <w:keepNext/>
        <w:keepLines/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4.9</w:t>
      </w:r>
      <w:r w:rsidR="00A97DD5" w:rsidRPr="00652B9D">
        <w:rPr>
          <w:b/>
          <w:sz w:val="22"/>
          <w:szCs w:val="22"/>
          <w:lang w:val="sk-SK"/>
        </w:rPr>
        <w:tab/>
      </w:r>
      <w:r w:rsidR="00C0319B" w:rsidRPr="00652B9D">
        <w:rPr>
          <w:b/>
          <w:sz w:val="22"/>
          <w:szCs w:val="22"/>
          <w:lang w:val="sk-SK"/>
        </w:rPr>
        <w:t>Predávkovanie</w:t>
      </w:r>
    </w:p>
    <w:p w14:paraId="00E56D1D" w14:textId="77777777" w:rsidR="00B843DF" w:rsidRPr="00652B9D" w:rsidRDefault="00B843DF" w:rsidP="005F241E">
      <w:pPr>
        <w:keepNext/>
        <w:keepLines/>
        <w:rPr>
          <w:i/>
          <w:sz w:val="22"/>
          <w:szCs w:val="22"/>
          <w:lang w:val="sk-SK"/>
        </w:rPr>
      </w:pPr>
    </w:p>
    <w:p w14:paraId="7C97B3C5" w14:textId="77777777" w:rsidR="00B843DF" w:rsidRPr="00652B9D" w:rsidRDefault="00EA37DC" w:rsidP="005F241E">
      <w:pPr>
        <w:keepNext/>
        <w:keepLines/>
        <w:autoSpaceDE w:val="0"/>
        <w:autoSpaceDN w:val="0"/>
        <w:adjustRightInd w:val="0"/>
        <w:rPr>
          <w:sz w:val="22"/>
          <w:szCs w:val="22"/>
          <w:lang w:val="sk-SK"/>
        </w:rPr>
      </w:pPr>
      <w:r>
        <w:rPr>
          <w:bCs/>
          <w:iCs/>
          <w:color w:val="000000"/>
          <w:sz w:val="22"/>
          <w:szCs w:val="22"/>
          <w:lang w:val="sk-SK" w:eastAsia="en-GB"/>
        </w:rPr>
        <w:t>Nie sú k dispozícii dostatočné skúsenosti, aby bolo možné predvídať následky alebo navrhnúť špecifickú liečbu predávkovania s </w:t>
      </w:r>
      <w:proofErr w:type="spellStart"/>
      <w:r>
        <w:rPr>
          <w:bCs/>
          <w:iCs/>
          <w:color w:val="000000"/>
          <w:sz w:val="22"/>
          <w:szCs w:val="22"/>
          <w:lang w:val="sk-SK" w:eastAsia="en-GB"/>
        </w:rPr>
        <w:t>Malarone</w:t>
      </w:r>
      <w:proofErr w:type="spellEnd"/>
      <w:r>
        <w:rPr>
          <w:bCs/>
          <w:iCs/>
          <w:color w:val="000000"/>
          <w:sz w:val="22"/>
          <w:szCs w:val="22"/>
          <w:lang w:val="sk-SK" w:eastAsia="en-GB"/>
        </w:rPr>
        <w:t xml:space="preserve">. V hlásených prípadoch predávkovania </w:t>
      </w:r>
      <w:proofErr w:type="spellStart"/>
      <w:r>
        <w:rPr>
          <w:bCs/>
          <w:iCs/>
          <w:color w:val="000000"/>
          <w:sz w:val="22"/>
          <w:szCs w:val="22"/>
          <w:lang w:val="sk-SK" w:eastAsia="en-GB"/>
        </w:rPr>
        <w:t>atovachónom</w:t>
      </w:r>
      <w:proofErr w:type="spellEnd"/>
      <w:r>
        <w:rPr>
          <w:bCs/>
          <w:iCs/>
          <w:color w:val="000000"/>
          <w:sz w:val="22"/>
          <w:szCs w:val="22"/>
          <w:lang w:val="sk-SK" w:eastAsia="en-GB"/>
        </w:rPr>
        <w:t xml:space="preserve"> však boli pozorované účinky </w:t>
      </w:r>
      <w:r w:rsidR="00336820">
        <w:rPr>
          <w:bCs/>
          <w:iCs/>
          <w:color w:val="000000"/>
          <w:sz w:val="22"/>
          <w:szCs w:val="22"/>
          <w:lang w:val="sk-SK" w:eastAsia="en-GB"/>
        </w:rPr>
        <w:t xml:space="preserve">zhodné </w:t>
      </w:r>
      <w:r>
        <w:rPr>
          <w:bCs/>
          <w:iCs/>
          <w:color w:val="000000"/>
          <w:sz w:val="22"/>
          <w:szCs w:val="22"/>
          <w:lang w:val="sk-SK" w:eastAsia="en-GB"/>
        </w:rPr>
        <w:t>so známymi nežiaducim</w:t>
      </w:r>
      <w:r w:rsidR="00811FCF">
        <w:rPr>
          <w:bCs/>
          <w:iCs/>
          <w:color w:val="000000"/>
          <w:sz w:val="22"/>
          <w:szCs w:val="22"/>
          <w:lang w:val="sk-SK" w:eastAsia="en-GB"/>
        </w:rPr>
        <w:t>i</w:t>
      </w:r>
      <w:r>
        <w:rPr>
          <w:bCs/>
          <w:iCs/>
          <w:color w:val="000000"/>
          <w:sz w:val="22"/>
          <w:szCs w:val="22"/>
          <w:lang w:val="sk-SK" w:eastAsia="en-GB"/>
        </w:rPr>
        <w:t xml:space="preserve"> účinkami tohto liečiva. Ak dôjde k predávkovaniu, </w:t>
      </w:r>
      <w:r w:rsidR="00671772">
        <w:rPr>
          <w:bCs/>
          <w:iCs/>
          <w:color w:val="000000"/>
          <w:sz w:val="22"/>
          <w:szCs w:val="22"/>
          <w:lang w:val="sk-SK" w:eastAsia="en-GB"/>
        </w:rPr>
        <w:t xml:space="preserve">pacienta </w:t>
      </w:r>
      <w:r w:rsidR="00EB254E">
        <w:rPr>
          <w:bCs/>
          <w:iCs/>
          <w:color w:val="000000"/>
          <w:sz w:val="22"/>
          <w:szCs w:val="22"/>
          <w:lang w:val="sk-SK" w:eastAsia="en-GB"/>
        </w:rPr>
        <w:t xml:space="preserve">treba sledovať </w:t>
      </w:r>
      <w:r>
        <w:rPr>
          <w:bCs/>
          <w:iCs/>
          <w:color w:val="000000"/>
          <w:sz w:val="22"/>
          <w:szCs w:val="22"/>
          <w:lang w:val="sk-SK" w:eastAsia="en-GB"/>
        </w:rPr>
        <w:t>a</w:t>
      </w:r>
      <w:r w:rsidR="00671772">
        <w:rPr>
          <w:bCs/>
          <w:iCs/>
          <w:color w:val="000000"/>
          <w:sz w:val="22"/>
          <w:szCs w:val="22"/>
          <w:lang w:val="sk-SK" w:eastAsia="en-GB"/>
        </w:rPr>
        <w:t xml:space="preserve"> má sa </w:t>
      </w:r>
      <w:r>
        <w:rPr>
          <w:bCs/>
          <w:iCs/>
          <w:color w:val="000000"/>
          <w:sz w:val="22"/>
          <w:szCs w:val="22"/>
          <w:lang w:val="sk-SK" w:eastAsia="en-GB"/>
        </w:rPr>
        <w:t>aplikovať štandardn</w:t>
      </w:r>
      <w:r w:rsidR="00671772">
        <w:rPr>
          <w:bCs/>
          <w:iCs/>
          <w:color w:val="000000"/>
          <w:sz w:val="22"/>
          <w:szCs w:val="22"/>
          <w:lang w:val="sk-SK" w:eastAsia="en-GB"/>
        </w:rPr>
        <w:t>á</w:t>
      </w:r>
      <w:r>
        <w:rPr>
          <w:bCs/>
          <w:iCs/>
          <w:color w:val="000000"/>
          <w:sz w:val="22"/>
          <w:szCs w:val="22"/>
          <w:lang w:val="sk-SK" w:eastAsia="en-GB"/>
        </w:rPr>
        <w:t xml:space="preserve"> podporn</w:t>
      </w:r>
      <w:r w:rsidR="00671772">
        <w:rPr>
          <w:bCs/>
          <w:iCs/>
          <w:color w:val="000000"/>
          <w:sz w:val="22"/>
          <w:szCs w:val="22"/>
          <w:lang w:val="sk-SK" w:eastAsia="en-GB"/>
        </w:rPr>
        <w:t>á</w:t>
      </w:r>
      <w:r>
        <w:rPr>
          <w:bCs/>
          <w:iCs/>
          <w:color w:val="000000"/>
          <w:sz w:val="22"/>
          <w:szCs w:val="22"/>
          <w:lang w:val="sk-SK" w:eastAsia="en-GB"/>
        </w:rPr>
        <w:t xml:space="preserve"> liečb</w:t>
      </w:r>
      <w:r w:rsidR="00671772">
        <w:rPr>
          <w:bCs/>
          <w:iCs/>
          <w:color w:val="000000"/>
          <w:sz w:val="22"/>
          <w:szCs w:val="22"/>
          <w:lang w:val="sk-SK" w:eastAsia="en-GB"/>
        </w:rPr>
        <w:t>a</w:t>
      </w:r>
      <w:r>
        <w:rPr>
          <w:bCs/>
          <w:iCs/>
          <w:color w:val="000000"/>
          <w:sz w:val="22"/>
          <w:szCs w:val="22"/>
          <w:lang w:val="sk-SK" w:eastAsia="en-GB"/>
        </w:rPr>
        <w:t>.</w:t>
      </w:r>
    </w:p>
    <w:p w14:paraId="62D87C49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2624DB4E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6EFE108E" w14:textId="77777777" w:rsidR="00B843DF" w:rsidRPr="00652B9D" w:rsidRDefault="00C0319B" w:rsidP="005F241E">
      <w:pPr>
        <w:keepNext/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5.</w:t>
      </w:r>
      <w:r w:rsidR="00A97DD5" w:rsidRPr="00652B9D">
        <w:rPr>
          <w:b/>
          <w:sz w:val="22"/>
          <w:szCs w:val="22"/>
          <w:lang w:val="sk-SK"/>
        </w:rPr>
        <w:tab/>
      </w:r>
      <w:r w:rsidRPr="00652B9D">
        <w:rPr>
          <w:b/>
          <w:caps/>
          <w:sz w:val="22"/>
          <w:szCs w:val="22"/>
          <w:lang w:val="sk-SK"/>
        </w:rPr>
        <w:t>F</w:t>
      </w:r>
      <w:r w:rsidR="00B843DF" w:rsidRPr="00652B9D">
        <w:rPr>
          <w:b/>
          <w:caps/>
          <w:sz w:val="22"/>
          <w:szCs w:val="22"/>
          <w:lang w:val="sk-SK"/>
        </w:rPr>
        <w:t>arma</w:t>
      </w:r>
      <w:r w:rsidRPr="00652B9D">
        <w:rPr>
          <w:b/>
          <w:caps/>
          <w:sz w:val="22"/>
          <w:szCs w:val="22"/>
          <w:lang w:val="sk-SK"/>
        </w:rPr>
        <w:t>k</w:t>
      </w:r>
      <w:r w:rsidR="00B843DF" w:rsidRPr="00652B9D">
        <w:rPr>
          <w:b/>
          <w:caps/>
          <w:sz w:val="22"/>
          <w:szCs w:val="22"/>
          <w:lang w:val="sk-SK"/>
        </w:rPr>
        <w:t>ologic</w:t>
      </w:r>
      <w:r w:rsidRPr="00652B9D">
        <w:rPr>
          <w:b/>
          <w:caps/>
          <w:sz w:val="22"/>
          <w:szCs w:val="22"/>
          <w:lang w:val="sk-SK"/>
        </w:rPr>
        <w:t>ké vlastnosti</w:t>
      </w:r>
    </w:p>
    <w:p w14:paraId="23CE13E5" w14:textId="77777777" w:rsidR="00B843DF" w:rsidRPr="00811FCF" w:rsidRDefault="00B843DF" w:rsidP="005F241E">
      <w:pPr>
        <w:keepNext/>
        <w:rPr>
          <w:sz w:val="22"/>
          <w:szCs w:val="22"/>
          <w:lang w:val="sk-SK"/>
        </w:rPr>
      </w:pPr>
    </w:p>
    <w:p w14:paraId="33DDF8DB" w14:textId="77777777" w:rsidR="00B843DF" w:rsidRPr="00652B9D" w:rsidRDefault="009F51CF" w:rsidP="005F241E">
      <w:pPr>
        <w:keepNext/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5.1</w:t>
      </w:r>
      <w:r w:rsidR="00A97DD5" w:rsidRPr="00652B9D">
        <w:rPr>
          <w:b/>
          <w:sz w:val="22"/>
          <w:szCs w:val="22"/>
          <w:lang w:val="sk-SK"/>
        </w:rPr>
        <w:tab/>
      </w:r>
      <w:proofErr w:type="spellStart"/>
      <w:r w:rsidR="00394E15" w:rsidRPr="00652B9D">
        <w:rPr>
          <w:b/>
          <w:sz w:val="22"/>
          <w:szCs w:val="22"/>
          <w:lang w:val="sk-SK"/>
        </w:rPr>
        <w:t>F</w:t>
      </w:r>
      <w:r w:rsidR="00B843DF" w:rsidRPr="00652B9D">
        <w:rPr>
          <w:b/>
          <w:sz w:val="22"/>
          <w:szCs w:val="22"/>
          <w:lang w:val="sk-SK"/>
        </w:rPr>
        <w:t>arma</w:t>
      </w:r>
      <w:r w:rsidR="00394E15" w:rsidRPr="00652B9D">
        <w:rPr>
          <w:b/>
          <w:sz w:val="22"/>
          <w:szCs w:val="22"/>
          <w:lang w:val="sk-SK"/>
        </w:rPr>
        <w:t>k</w:t>
      </w:r>
      <w:r w:rsidR="00B843DF" w:rsidRPr="00652B9D">
        <w:rPr>
          <w:b/>
          <w:sz w:val="22"/>
          <w:szCs w:val="22"/>
          <w:lang w:val="sk-SK"/>
        </w:rPr>
        <w:t>odynamic</w:t>
      </w:r>
      <w:r w:rsidR="00394E15" w:rsidRPr="00652B9D">
        <w:rPr>
          <w:b/>
          <w:sz w:val="22"/>
          <w:szCs w:val="22"/>
          <w:lang w:val="sk-SK"/>
        </w:rPr>
        <w:t>ké</w:t>
      </w:r>
      <w:proofErr w:type="spellEnd"/>
      <w:r w:rsidR="00394E15" w:rsidRPr="00652B9D">
        <w:rPr>
          <w:b/>
          <w:sz w:val="22"/>
          <w:szCs w:val="22"/>
          <w:lang w:val="sk-SK"/>
        </w:rPr>
        <w:t xml:space="preserve"> vlastnosti</w:t>
      </w:r>
    </w:p>
    <w:p w14:paraId="65A0BA08" w14:textId="77777777" w:rsidR="00B843DF" w:rsidRPr="00811FCF" w:rsidRDefault="00B843DF" w:rsidP="005F241E">
      <w:pPr>
        <w:keepNext/>
        <w:rPr>
          <w:sz w:val="22"/>
          <w:szCs w:val="22"/>
          <w:lang w:val="sk-SK"/>
        </w:rPr>
      </w:pPr>
    </w:p>
    <w:p w14:paraId="620DA1E4" w14:textId="77777777" w:rsidR="00B843DF" w:rsidRPr="00652B9D" w:rsidRDefault="00394E15" w:rsidP="005F241E">
      <w:pPr>
        <w:keepNext/>
        <w:rPr>
          <w:sz w:val="22"/>
          <w:szCs w:val="22"/>
          <w:lang w:val="sk-SK"/>
        </w:rPr>
      </w:pPr>
      <w:proofErr w:type="spellStart"/>
      <w:r w:rsidRPr="00652B9D">
        <w:rPr>
          <w:bCs/>
          <w:sz w:val="22"/>
          <w:szCs w:val="22"/>
          <w:lang w:val="sk-SK"/>
        </w:rPr>
        <w:t>F</w:t>
      </w:r>
      <w:r w:rsidR="00B843DF" w:rsidRPr="00652B9D">
        <w:rPr>
          <w:bCs/>
          <w:sz w:val="22"/>
          <w:szCs w:val="22"/>
          <w:lang w:val="sk-SK"/>
        </w:rPr>
        <w:t>arma</w:t>
      </w:r>
      <w:r w:rsidRPr="00652B9D">
        <w:rPr>
          <w:bCs/>
          <w:sz w:val="22"/>
          <w:szCs w:val="22"/>
          <w:lang w:val="sk-SK"/>
        </w:rPr>
        <w:t>k</w:t>
      </w:r>
      <w:r w:rsidR="00B843DF" w:rsidRPr="00652B9D">
        <w:rPr>
          <w:bCs/>
          <w:sz w:val="22"/>
          <w:szCs w:val="22"/>
          <w:lang w:val="sk-SK"/>
        </w:rPr>
        <w:t>oterapeutic</w:t>
      </w:r>
      <w:r w:rsidRPr="00652B9D">
        <w:rPr>
          <w:bCs/>
          <w:sz w:val="22"/>
          <w:szCs w:val="22"/>
          <w:lang w:val="sk-SK"/>
        </w:rPr>
        <w:t>ká</w:t>
      </w:r>
      <w:proofErr w:type="spellEnd"/>
      <w:r w:rsidRPr="00652B9D">
        <w:rPr>
          <w:bCs/>
          <w:sz w:val="22"/>
          <w:szCs w:val="22"/>
          <w:lang w:val="sk-SK"/>
        </w:rPr>
        <w:t xml:space="preserve"> skupina</w:t>
      </w:r>
      <w:r w:rsidR="00B843DF" w:rsidRPr="00652B9D">
        <w:rPr>
          <w:bCs/>
          <w:sz w:val="22"/>
          <w:szCs w:val="22"/>
          <w:lang w:val="sk-SK"/>
        </w:rPr>
        <w:t xml:space="preserve">: </w:t>
      </w:r>
      <w:proofErr w:type="spellStart"/>
      <w:r w:rsidR="00B843DF" w:rsidRPr="00652B9D">
        <w:rPr>
          <w:bCs/>
          <w:sz w:val="22"/>
          <w:szCs w:val="22"/>
          <w:lang w:val="sk-SK"/>
        </w:rPr>
        <w:t>Antimalari</w:t>
      </w:r>
      <w:r w:rsidRPr="00652B9D">
        <w:rPr>
          <w:bCs/>
          <w:sz w:val="22"/>
          <w:szCs w:val="22"/>
          <w:lang w:val="sk-SK"/>
        </w:rPr>
        <w:t>ká</w:t>
      </w:r>
      <w:proofErr w:type="spellEnd"/>
      <w:r w:rsidR="00A97DD5" w:rsidRPr="00652B9D">
        <w:rPr>
          <w:bCs/>
          <w:sz w:val="22"/>
          <w:szCs w:val="22"/>
          <w:lang w:val="sk-SK"/>
        </w:rPr>
        <w:t xml:space="preserve">, </w:t>
      </w:r>
      <w:r w:rsidR="00B843DF" w:rsidRPr="00652B9D">
        <w:rPr>
          <w:sz w:val="22"/>
          <w:szCs w:val="22"/>
          <w:lang w:val="sk-SK"/>
        </w:rPr>
        <w:t xml:space="preserve">ATC </w:t>
      </w:r>
      <w:r w:rsidRPr="00652B9D">
        <w:rPr>
          <w:sz w:val="22"/>
          <w:szCs w:val="22"/>
          <w:lang w:val="sk-SK"/>
        </w:rPr>
        <w:t>kód</w:t>
      </w:r>
      <w:r w:rsidR="00B843DF" w:rsidRPr="00652B9D">
        <w:rPr>
          <w:sz w:val="22"/>
          <w:szCs w:val="22"/>
          <w:lang w:val="sk-SK"/>
        </w:rPr>
        <w:t>:</w:t>
      </w:r>
      <w:r w:rsidR="00A97DD5"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sz w:val="22"/>
          <w:szCs w:val="22"/>
          <w:lang w:val="sk-SK"/>
        </w:rPr>
        <w:t>P01B</w:t>
      </w:r>
      <w:r w:rsidR="00811FCF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B51</w:t>
      </w:r>
    </w:p>
    <w:p w14:paraId="400891A1" w14:textId="77777777" w:rsidR="00B843DF" w:rsidRPr="00652B9D" w:rsidRDefault="00B843DF" w:rsidP="005F241E">
      <w:pPr>
        <w:keepNext/>
        <w:rPr>
          <w:sz w:val="22"/>
          <w:szCs w:val="22"/>
          <w:lang w:val="sk-SK"/>
        </w:rPr>
      </w:pPr>
    </w:p>
    <w:p w14:paraId="23C79340" w14:textId="77777777" w:rsidR="00B843DF" w:rsidRPr="00652B9D" w:rsidRDefault="003B3B83" w:rsidP="005F241E">
      <w:pPr>
        <w:keepNext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>Mechanizmus</w:t>
      </w:r>
      <w:r w:rsidR="00394E15" w:rsidRPr="00652B9D">
        <w:rPr>
          <w:bCs/>
          <w:sz w:val="22"/>
          <w:szCs w:val="22"/>
          <w:lang w:val="sk-SK"/>
        </w:rPr>
        <w:t xml:space="preserve"> účinku</w:t>
      </w:r>
    </w:p>
    <w:p w14:paraId="3A68B5D9" w14:textId="77777777" w:rsidR="00B843DF" w:rsidRPr="00652B9D" w:rsidRDefault="00B843DF" w:rsidP="005F241E">
      <w:pPr>
        <w:keepNext/>
        <w:rPr>
          <w:sz w:val="22"/>
          <w:szCs w:val="22"/>
          <w:lang w:val="sk-SK"/>
        </w:rPr>
      </w:pPr>
    </w:p>
    <w:p w14:paraId="5E151721" w14:textId="0012EF4D" w:rsidR="00B843DF" w:rsidRPr="00652B9D" w:rsidRDefault="001B4034" w:rsidP="005F241E">
      <w:pPr>
        <w:keepNext/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Zložky </w:t>
      </w:r>
      <w:proofErr w:type="spellStart"/>
      <w:r w:rsidR="00B843DF" w:rsidRPr="00652B9D">
        <w:rPr>
          <w:sz w:val="22"/>
          <w:szCs w:val="22"/>
          <w:lang w:val="sk-SK"/>
        </w:rPr>
        <w:t>Malarone</w:t>
      </w:r>
      <w:proofErr w:type="spellEnd"/>
      <w:r w:rsidR="00B843DF" w:rsidRPr="00652B9D">
        <w:rPr>
          <w:sz w:val="22"/>
          <w:szCs w:val="22"/>
          <w:lang w:val="sk-SK"/>
        </w:rPr>
        <w:t xml:space="preserve">,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sz w:val="22"/>
          <w:szCs w:val="22"/>
          <w:lang w:val="sk-SK"/>
        </w:rPr>
        <w:t>a</w:t>
      </w:r>
      <w:r w:rsidR="00374D6A">
        <w:rPr>
          <w:sz w:val="22"/>
          <w:szCs w:val="22"/>
          <w:lang w:val="sk-SK"/>
        </w:rPr>
        <w:t> </w:t>
      </w:r>
      <w:proofErr w:type="spellStart"/>
      <w:r w:rsidR="00B843DF"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</w:t>
      </w:r>
      <w:r w:rsidR="00374D6A">
        <w:rPr>
          <w:sz w:val="22"/>
          <w:szCs w:val="22"/>
          <w:lang w:val="sk-SK"/>
        </w:rPr>
        <w:t>í</w:t>
      </w:r>
      <w:r w:rsidR="00B843DF" w:rsidRPr="00652B9D">
        <w:rPr>
          <w:sz w:val="22"/>
          <w:szCs w:val="22"/>
          <w:lang w:val="sk-SK"/>
        </w:rPr>
        <w:t>l</w:t>
      </w:r>
      <w:r w:rsidRPr="00652B9D">
        <w:rPr>
          <w:sz w:val="22"/>
          <w:szCs w:val="22"/>
          <w:lang w:val="sk-SK"/>
        </w:rPr>
        <w:t>ium</w:t>
      </w:r>
      <w:proofErr w:type="spellEnd"/>
      <w:r w:rsidR="00374D6A">
        <w:rPr>
          <w:sz w:val="22"/>
          <w:szCs w:val="22"/>
          <w:lang w:val="sk-SK"/>
        </w:rPr>
        <w:t>-</w:t>
      </w:r>
      <w:r w:rsidR="00B843DF" w:rsidRPr="00652B9D">
        <w:rPr>
          <w:sz w:val="22"/>
          <w:szCs w:val="22"/>
          <w:lang w:val="sk-SK"/>
        </w:rPr>
        <w:t xml:space="preserve">chlorid, </w:t>
      </w:r>
      <w:r w:rsidR="00162585" w:rsidRPr="00652B9D">
        <w:rPr>
          <w:sz w:val="22"/>
          <w:szCs w:val="22"/>
          <w:lang w:val="sk-SK"/>
        </w:rPr>
        <w:t xml:space="preserve">narušujú dve odlišné cesty zapojené v </w:t>
      </w:r>
      <w:proofErr w:type="spellStart"/>
      <w:r w:rsidR="00162585" w:rsidRPr="00652B9D">
        <w:rPr>
          <w:sz w:val="22"/>
          <w:szCs w:val="22"/>
          <w:lang w:val="sk-SK"/>
        </w:rPr>
        <w:t>biosyntéze</w:t>
      </w:r>
      <w:proofErr w:type="spellEnd"/>
      <w:r w:rsidR="00162585" w:rsidRPr="00652B9D">
        <w:rPr>
          <w:sz w:val="22"/>
          <w:szCs w:val="22"/>
          <w:lang w:val="sk-SK"/>
        </w:rPr>
        <w:t xml:space="preserve"> </w:t>
      </w:r>
      <w:proofErr w:type="spellStart"/>
      <w:r w:rsidR="00162585" w:rsidRPr="00652B9D">
        <w:rPr>
          <w:sz w:val="22"/>
          <w:szCs w:val="22"/>
          <w:lang w:val="sk-SK"/>
        </w:rPr>
        <w:t>pyrimidínov</w:t>
      </w:r>
      <w:proofErr w:type="spellEnd"/>
      <w:r w:rsidR="00162585" w:rsidRPr="00652B9D">
        <w:rPr>
          <w:sz w:val="22"/>
          <w:szCs w:val="22"/>
          <w:lang w:val="sk-SK"/>
        </w:rPr>
        <w:t xml:space="preserve"> potrebnej pre replikáciu nukleovej kyseliny. Mechanizmus účinku</w:t>
      </w:r>
      <w:r w:rsidR="00B843DF" w:rsidRPr="00652B9D">
        <w:rPr>
          <w:sz w:val="22"/>
          <w:szCs w:val="22"/>
          <w:lang w:val="sk-SK"/>
        </w:rPr>
        <w:t xml:space="preserve">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ónu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="00162585" w:rsidRPr="00652B9D">
        <w:rPr>
          <w:sz w:val="22"/>
          <w:szCs w:val="22"/>
          <w:lang w:val="sk-SK"/>
        </w:rPr>
        <w:t>proti</w:t>
      </w:r>
      <w:r w:rsidR="00B843DF"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i/>
          <w:sz w:val="22"/>
          <w:szCs w:val="22"/>
          <w:lang w:val="sk-SK"/>
        </w:rPr>
        <w:t>P. </w:t>
      </w:r>
      <w:proofErr w:type="spellStart"/>
      <w:r w:rsidR="00B843DF" w:rsidRPr="00652B9D">
        <w:rPr>
          <w:i/>
          <w:sz w:val="22"/>
          <w:szCs w:val="22"/>
          <w:lang w:val="sk-SK"/>
        </w:rPr>
        <w:t>falciparum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="00B01C1C" w:rsidRPr="00652B9D">
        <w:rPr>
          <w:sz w:val="22"/>
          <w:szCs w:val="22"/>
          <w:lang w:val="sk-SK"/>
        </w:rPr>
        <w:t>spočíva v</w:t>
      </w:r>
      <w:r w:rsidR="00162585" w:rsidRPr="00652B9D">
        <w:rPr>
          <w:sz w:val="22"/>
          <w:szCs w:val="22"/>
          <w:lang w:val="sk-SK"/>
        </w:rPr>
        <w:t xml:space="preserve"> inhibíci</w:t>
      </w:r>
      <w:r w:rsidR="00B01C1C" w:rsidRPr="00652B9D">
        <w:rPr>
          <w:sz w:val="22"/>
          <w:szCs w:val="22"/>
          <w:lang w:val="sk-SK"/>
        </w:rPr>
        <w:t>i</w:t>
      </w:r>
      <w:r w:rsidR="00162585" w:rsidRPr="00652B9D">
        <w:rPr>
          <w:sz w:val="22"/>
          <w:szCs w:val="22"/>
          <w:lang w:val="sk-SK"/>
        </w:rPr>
        <w:t xml:space="preserve"> prenosu elektrónov v mitochondriách, na úrovni komplexu </w:t>
      </w:r>
      <w:proofErr w:type="spellStart"/>
      <w:r w:rsidR="00B843DF" w:rsidRPr="00652B9D">
        <w:rPr>
          <w:sz w:val="22"/>
          <w:szCs w:val="22"/>
          <w:lang w:val="sk-SK"/>
        </w:rPr>
        <w:t>cytochr</w:t>
      </w:r>
      <w:r w:rsidR="00162585" w:rsidRPr="00652B9D">
        <w:rPr>
          <w:sz w:val="22"/>
          <w:szCs w:val="22"/>
          <w:lang w:val="sk-SK"/>
        </w:rPr>
        <w:t>ó</w:t>
      </w:r>
      <w:r w:rsidR="00B843DF" w:rsidRPr="00652B9D">
        <w:rPr>
          <w:sz w:val="22"/>
          <w:szCs w:val="22"/>
          <w:lang w:val="sk-SK"/>
        </w:rPr>
        <w:t>m</w:t>
      </w:r>
      <w:r w:rsidR="00162585" w:rsidRPr="00652B9D">
        <w:rPr>
          <w:sz w:val="22"/>
          <w:szCs w:val="22"/>
          <w:lang w:val="sk-SK"/>
        </w:rPr>
        <w:t>u</w:t>
      </w:r>
      <w:proofErr w:type="spellEnd"/>
      <w:r w:rsidR="00B843DF" w:rsidRPr="00652B9D">
        <w:rPr>
          <w:sz w:val="22"/>
          <w:szCs w:val="22"/>
          <w:lang w:val="sk-SK"/>
        </w:rPr>
        <w:t xml:space="preserve"> bc</w:t>
      </w:r>
      <w:r w:rsidR="00B843DF" w:rsidRPr="00652B9D">
        <w:rPr>
          <w:sz w:val="22"/>
          <w:szCs w:val="22"/>
          <w:vertAlign w:val="subscript"/>
          <w:lang w:val="sk-SK"/>
        </w:rPr>
        <w:t>1</w:t>
      </w:r>
      <w:r w:rsidR="00B01C1C" w:rsidRPr="00652B9D">
        <w:rPr>
          <w:sz w:val="22"/>
          <w:szCs w:val="22"/>
          <w:lang w:val="sk-SK"/>
        </w:rPr>
        <w:t xml:space="preserve">, čoho následkom je </w:t>
      </w:r>
      <w:r w:rsidR="00162585" w:rsidRPr="00652B9D">
        <w:rPr>
          <w:sz w:val="22"/>
          <w:szCs w:val="22"/>
          <w:lang w:val="sk-SK"/>
        </w:rPr>
        <w:t xml:space="preserve">kolaps </w:t>
      </w:r>
      <w:r w:rsidR="0083744B" w:rsidRPr="00652B9D">
        <w:rPr>
          <w:sz w:val="22"/>
          <w:szCs w:val="22"/>
          <w:lang w:val="sk-SK"/>
        </w:rPr>
        <w:t xml:space="preserve">membránového potenciálu mitochondrií. Jedným mechanizmom účinku </w:t>
      </w:r>
      <w:proofErr w:type="spellStart"/>
      <w:r w:rsidR="0083744B"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="0083744B" w:rsidRPr="00652B9D">
        <w:rPr>
          <w:sz w:val="22"/>
          <w:szCs w:val="22"/>
          <w:lang w:val="sk-SK"/>
        </w:rPr>
        <w:t>anilu</w:t>
      </w:r>
      <w:proofErr w:type="spellEnd"/>
      <w:r w:rsidR="0083744B" w:rsidRPr="00652B9D">
        <w:rPr>
          <w:sz w:val="22"/>
          <w:szCs w:val="22"/>
          <w:lang w:val="sk-SK"/>
        </w:rPr>
        <w:t xml:space="preserve">, cez svoj </w:t>
      </w:r>
      <w:proofErr w:type="spellStart"/>
      <w:r w:rsidR="0083744B" w:rsidRPr="00652B9D">
        <w:rPr>
          <w:sz w:val="22"/>
          <w:szCs w:val="22"/>
          <w:lang w:val="sk-SK"/>
        </w:rPr>
        <w:t>metabolit</w:t>
      </w:r>
      <w:proofErr w:type="spellEnd"/>
      <w:r w:rsidR="0083744B" w:rsidRPr="00652B9D">
        <w:rPr>
          <w:sz w:val="22"/>
          <w:szCs w:val="22"/>
          <w:lang w:val="sk-SK"/>
        </w:rPr>
        <w:t xml:space="preserve"> </w:t>
      </w:r>
      <w:proofErr w:type="spellStart"/>
      <w:r w:rsidR="0083744B" w:rsidRPr="00652B9D">
        <w:rPr>
          <w:sz w:val="22"/>
          <w:szCs w:val="22"/>
          <w:lang w:val="sk-SK"/>
        </w:rPr>
        <w:t>cyklog</w:t>
      </w:r>
      <w:r w:rsidR="00D010FC">
        <w:rPr>
          <w:sz w:val="22"/>
          <w:szCs w:val="22"/>
          <w:lang w:val="sk-SK"/>
        </w:rPr>
        <w:t>u</w:t>
      </w:r>
      <w:r w:rsidR="0083744B" w:rsidRPr="00652B9D">
        <w:rPr>
          <w:sz w:val="22"/>
          <w:szCs w:val="22"/>
          <w:lang w:val="sk-SK"/>
        </w:rPr>
        <w:t>anil</w:t>
      </w:r>
      <w:proofErr w:type="spellEnd"/>
      <w:r w:rsidR="0083744B" w:rsidRPr="00652B9D">
        <w:rPr>
          <w:sz w:val="22"/>
          <w:szCs w:val="22"/>
          <w:lang w:val="sk-SK"/>
        </w:rPr>
        <w:t xml:space="preserve">, je inhibícia </w:t>
      </w:r>
      <w:proofErr w:type="spellStart"/>
      <w:r w:rsidR="0083744B" w:rsidRPr="00652B9D">
        <w:rPr>
          <w:sz w:val="22"/>
          <w:szCs w:val="22"/>
          <w:lang w:val="sk-SK"/>
        </w:rPr>
        <w:t>dihydrofolátreduktázy</w:t>
      </w:r>
      <w:proofErr w:type="spellEnd"/>
      <w:r w:rsidR="0083744B" w:rsidRPr="00652B9D">
        <w:rPr>
          <w:sz w:val="22"/>
          <w:szCs w:val="22"/>
          <w:lang w:val="sk-SK"/>
        </w:rPr>
        <w:t xml:space="preserve">, ktorá narúša syntézu </w:t>
      </w:r>
      <w:proofErr w:type="spellStart"/>
      <w:r w:rsidR="0083744B" w:rsidRPr="00652B9D">
        <w:rPr>
          <w:sz w:val="22"/>
          <w:szCs w:val="22"/>
          <w:lang w:val="sk-SK"/>
        </w:rPr>
        <w:t>deoxytymidilátu</w:t>
      </w:r>
      <w:proofErr w:type="spellEnd"/>
      <w:r w:rsidR="0083744B" w:rsidRPr="00652B9D">
        <w:rPr>
          <w:sz w:val="22"/>
          <w:szCs w:val="22"/>
          <w:lang w:val="sk-SK"/>
        </w:rPr>
        <w:t xml:space="preserve">. </w:t>
      </w:r>
      <w:proofErr w:type="spellStart"/>
      <w:r w:rsidR="00B843DF"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anil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="0083744B" w:rsidRPr="00652B9D">
        <w:rPr>
          <w:sz w:val="22"/>
          <w:szCs w:val="22"/>
          <w:lang w:val="sk-SK"/>
        </w:rPr>
        <w:t xml:space="preserve">má aj </w:t>
      </w:r>
      <w:proofErr w:type="spellStart"/>
      <w:r w:rsidR="0083744B" w:rsidRPr="00652B9D">
        <w:rPr>
          <w:sz w:val="22"/>
          <w:szCs w:val="22"/>
          <w:lang w:val="sk-SK"/>
        </w:rPr>
        <w:t>antimalarické</w:t>
      </w:r>
      <w:proofErr w:type="spellEnd"/>
      <w:r w:rsidR="0083744B" w:rsidRPr="00652B9D">
        <w:rPr>
          <w:sz w:val="22"/>
          <w:szCs w:val="22"/>
          <w:lang w:val="sk-SK"/>
        </w:rPr>
        <w:t xml:space="preserve"> pôsobenie nezávislé od svojho metabolizmu na </w:t>
      </w:r>
      <w:proofErr w:type="spellStart"/>
      <w:r w:rsidR="0083744B" w:rsidRPr="00652B9D">
        <w:rPr>
          <w:sz w:val="22"/>
          <w:szCs w:val="22"/>
          <w:lang w:val="sk-SK"/>
        </w:rPr>
        <w:t>cyklog</w:t>
      </w:r>
      <w:r w:rsidR="00C34A4E">
        <w:rPr>
          <w:sz w:val="22"/>
          <w:szCs w:val="22"/>
          <w:lang w:val="sk-SK"/>
        </w:rPr>
        <w:t>u</w:t>
      </w:r>
      <w:r w:rsidR="0083744B" w:rsidRPr="00652B9D">
        <w:rPr>
          <w:sz w:val="22"/>
          <w:szCs w:val="22"/>
          <w:lang w:val="sk-SK"/>
        </w:rPr>
        <w:t>anil</w:t>
      </w:r>
      <w:proofErr w:type="spellEnd"/>
      <w:r w:rsidR="0083744B" w:rsidRPr="00652B9D">
        <w:rPr>
          <w:sz w:val="22"/>
          <w:szCs w:val="22"/>
          <w:lang w:val="sk-SK"/>
        </w:rPr>
        <w:t xml:space="preserve">, a </w:t>
      </w:r>
      <w:proofErr w:type="spellStart"/>
      <w:r w:rsidR="0083744B"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="0083744B" w:rsidRPr="00652B9D">
        <w:rPr>
          <w:sz w:val="22"/>
          <w:szCs w:val="22"/>
          <w:lang w:val="sk-SK"/>
        </w:rPr>
        <w:t>anil</w:t>
      </w:r>
      <w:proofErr w:type="spellEnd"/>
      <w:r w:rsidR="0083744B" w:rsidRPr="00652B9D">
        <w:rPr>
          <w:sz w:val="22"/>
          <w:szCs w:val="22"/>
          <w:lang w:val="sk-SK"/>
        </w:rPr>
        <w:t xml:space="preserve">, ale nie </w:t>
      </w:r>
      <w:proofErr w:type="spellStart"/>
      <w:r w:rsidR="0083744B" w:rsidRPr="00652B9D">
        <w:rPr>
          <w:sz w:val="22"/>
          <w:szCs w:val="22"/>
          <w:lang w:val="sk-SK"/>
        </w:rPr>
        <w:t>cyklog</w:t>
      </w:r>
      <w:r w:rsidR="00C34A4E">
        <w:rPr>
          <w:sz w:val="22"/>
          <w:szCs w:val="22"/>
          <w:lang w:val="sk-SK"/>
        </w:rPr>
        <w:t>u</w:t>
      </w:r>
      <w:r w:rsidR="0083744B" w:rsidRPr="00652B9D">
        <w:rPr>
          <w:sz w:val="22"/>
          <w:szCs w:val="22"/>
          <w:lang w:val="sk-SK"/>
        </w:rPr>
        <w:t>anil</w:t>
      </w:r>
      <w:proofErr w:type="spellEnd"/>
      <w:r w:rsidR="0083744B" w:rsidRPr="00652B9D">
        <w:rPr>
          <w:sz w:val="22"/>
          <w:szCs w:val="22"/>
          <w:lang w:val="sk-SK"/>
        </w:rPr>
        <w:t xml:space="preserve">, je schopný </w:t>
      </w:r>
      <w:r w:rsidR="00146498" w:rsidRPr="00652B9D">
        <w:rPr>
          <w:sz w:val="22"/>
          <w:szCs w:val="22"/>
          <w:lang w:val="sk-SK"/>
        </w:rPr>
        <w:t>zosilniť</w:t>
      </w:r>
      <w:r w:rsidR="0083744B" w:rsidRPr="00652B9D">
        <w:rPr>
          <w:sz w:val="22"/>
          <w:szCs w:val="22"/>
          <w:lang w:val="sk-SK"/>
        </w:rPr>
        <w:t xml:space="preserve"> schopnosť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ónu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="00146498" w:rsidRPr="00652B9D">
        <w:rPr>
          <w:sz w:val="22"/>
          <w:szCs w:val="22"/>
          <w:lang w:val="sk-SK"/>
        </w:rPr>
        <w:t>spôsobiť kolaps membránového potenciálu mitochondrií u parazitov malárie.</w:t>
      </w:r>
      <w:r w:rsidR="00B843DF" w:rsidRPr="00652B9D">
        <w:rPr>
          <w:sz w:val="22"/>
          <w:szCs w:val="22"/>
          <w:lang w:val="sk-SK"/>
        </w:rPr>
        <w:t xml:space="preserve"> </w:t>
      </w:r>
      <w:r w:rsidR="00146498" w:rsidRPr="00652B9D">
        <w:rPr>
          <w:sz w:val="22"/>
          <w:szCs w:val="22"/>
          <w:lang w:val="sk-SK"/>
        </w:rPr>
        <w:t xml:space="preserve">Tento druhý mechanizmus môže vysvetľovať synergiu pozorovanú vtedy, keď sa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="00146498" w:rsidRPr="00652B9D">
        <w:rPr>
          <w:sz w:val="22"/>
          <w:szCs w:val="22"/>
          <w:lang w:val="sk-SK"/>
        </w:rPr>
        <w:t xml:space="preserve">a </w:t>
      </w:r>
      <w:proofErr w:type="spellStart"/>
      <w:r w:rsidR="00146498"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="00146498" w:rsidRPr="00652B9D">
        <w:rPr>
          <w:sz w:val="22"/>
          <w:szCs w:val="22"/>
          <w:lang w:val="sk-SK"/>
        </w:rPr>
        <w:t>anil</w:t>
      </w:r>
      <w:proofErr w:type="spellEnd"/>
      <w:r w:rsidR="00146498" w:rsidRPr="00652B9D">
        <w:rPr>
          <w:sz w:val="22"/>
          <w:szCs w:val="22"/>
          <w:lang w:val="sk-SK"/>
        </w:rPr>
        <w:t xml:space="preserve"> použijú v</w:t>
      </w:r>
      <w:r w:rsidR="00811FCF">
        <w:rPr>
          <w:sz w:val="22"/>
          <w:szCs w:val="22"/>
          <w:lang w:val="sk-SK"/>
        </w:rPr>
        <w:t> </w:t>
      </w:r>
      <w:r w:rsidR="00146498" w:rsidRPr="00652B9D">
        <w:rPr>
          <w:sz w:val="22"/>
          <w:szCs w:val="22"/>
          <w:lang w:val="sk-SK"/>
        </w:rPr>
        <w:t>kombinácii.</w:t>
      </w:r>
    </w:p>
    <w:p w14:paraId="6A2529E6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2EC53F63" w14:textId="77777777" w:rsidR="00B843DF" w:rsidRPr="00652B9D" w:rsidRDefault="00B843DF" w:rsidP="005F241E">
      <w:pPr>
        <w:rPr>
          <w:bCs/>
          <w:sz w:val="22"/>
          <w:szCs w:val="22"/>
          <w:lang w:val="sk-SK"/>
        </w:rPr>
      </w:pPr>
      <w:r w:rsidRPr="00652B9D">
        <w:rPr>
          <w:bCs/>
          <w:sz w:val="22"/>
          <w:szCs w:val="22"/>
          <w:lang w:val="sk-SK"/>
        </w:rPr>
        <w:t>Mi</w:t>
      </w:r>
      <w:r w:rsidR="00146498" w:rsidRPr="00652B9D">
        <w:rPr>
          <w:bCs/>
          <w:sz w:val="22"/>
          <w:szCs w:val="22"/>
          <w:lang w:val="sk-SK"/>
        </w:rPr>
        <w:t>k</w:t>
      </w:r>
      <w:r w:rsidRPr="00652B9D">
        <w:rPr>
          <w:bCs/>
          <w:sz w:val="22"/>
          <w:szCs w:val="22"/>
          <w:lang w:val="sk-SK"/>
        </w:rPr>
        <w:t>robi</w:t>
      </w:r>
      <w:r w:rsidR="00693DC1">
        <w:rPr>
          <w:bCs/>
          <w:sz w:val="22"/>
          <w:szCs w:val="22"/>
          <w:lang w:val="sk-SK"/>
        </w:rPr>
        <w:t>o</w:t>
      </w:r>
      <w:r w:rsidRPr="00652B9D">
        <w:rPr>
          <w:bCs/>
          <w:sz w:val="22"/>
          <w:szCs w:val="22"/>
          <w:lang w:val="sk-SK"/>
        </w:rPr>
        <w:t>l</w:t>
      </w:r>
      <w:r w:rsidR="00693DC1">
        <w:rPr>
          <w:bCs/>
          <w:sz w:val="22"/>
          <w:szCs w:val="22"/>
          <w:lang w:val="sk-SK"/>
        </w:rPr>
        <w:t>ó</w:t>
      </w:r>
      <w:r w:rsidRPr="00652B9D">
        <w:rPr>
          <w:bCs/>
          <w:sz w:val="22"/>
          <w:szCs w:val="22"/>
          <w:lang w:val="sk-SK"/>
        </w:rPr>
        <w:t>g</w:t>
      </w:r>
      <w:r w:rsidR="00146498" w:rsidRPr="00652B9D">
        <w:rPr>
          <w:bCs/>
          <w:sz w:val="22"/>
          <w:szCs w:val="22"/>
          <w:lang w:val="sk-SK"/>
        </w:rPr>
        <w:t>ia</w:t>
      </w:r>
    </w:p>
    <w:p w14:paraId="601D82D8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6731760D" w14:textId="77777777" w:rsidR="00B843DF" w:rsidRPr="00652B9D" w:rsidRDefault="00BF031F" w:rsidP="005F241E">
      <w:pPr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Pr="00652B9D">
        <w:rPr>
          <w:sz w:val="22"/>
          <w:szCs w:val="22"/>
          <w:lang w:val="sk-SK"/>
        </w:rPr>
        <w:t>ón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r w:rsidR="0082093B" w:rsidRPr="00652B9D">
        <w:rPr>
          <w:sz w:val="22"/>
          <w:szCs w:val="22"/>
          <w:lang w:val="sk-SK"/>
        </w:rPr>
        <w:t xml:space="preserve">má silný účinok proti </w:t>
      </w:r>
      <w:proofErr w:type="spellStart"/>
      <w:r w:rsidR="00B843DF" w:rsidRPr="00652B9D">
        <w:rPr>
          <w:i/>
          <w:sz w:val="22"/>
          <w:szCs w:val="22"/>
          <w:lang w:val="sk-SK"/>
        </w:rPr>
        <w:t>Plasmodium</w:t>
      </w:r>
      <w:proofErr w:type="spellEnd"/>
      <w:r w:rsidR="00B843DF" w:rsidRPr="00652B9D">
        <w:rPr>
          <w:i/>
          <w:sz w:val="22"/>
          <w:szCs w:val="22"/>
          <w:lang w:val="sk-SK"/>
        </w:rPr>
        <w:t xml:space="preserve"> </w:t>
      </w:r>
      <w:proofErr w:type="spellStart"/>
      <w:r w:rsidR="00B843DF" w:rsidRPr="00652B9D">
        <w:rPr>
          <w:i/>
          <w:sz w:val="22"/>
          <w:szCs w:val="22"/>
          <w:lang w:val="sk-SK"/>
        </w:rPr>
        <w:t>spp</w:t>
      </w:r>
      <w:proofErr w:type="spellEnd"/>
      <w:r w:rsidR="003C7516" w:rsidRPr="00652B9D">
        <w:rPr>
          <w:i/>
          <w:sz w:val="22"/>
          <w:szCs w:val="22"/>
          <w:lang w:val="sk-SK"/>
        </w:rPr>
        <w:t>.</w:t>
      </w:r>
      <w:r w:rsidR="00B843DF" w:rsidRPr="00652B9D">
        <w:rPr>
          <w:i/>
          <w:sz w:val="22"/>
          <w:szCs w:val="22"/>
          <w:lang w:val="sk-SK"/>
        </w:rPr>
        <w:t xml:space="preserve"> </w:t>
      </w:r>
      <w:r w:rsidR="00B843DF" w:rsidRPr="00652B9D">
        <w:rPr>
          <w:sz w:val="22"/>
          <w:szCs w:val="22"/>
          <w:lang w:val="sk-SK"/>
        </w:rPr>
        <w:t>(</w:t>
      </w:r>
      <w:r w:rsidR="00B843DF" w:rsidRPr="00652B9D">
        <w:rPr>
          <w:i/>
          <w:sz w:val="22"/>
          <w:szCs w:val="22"/>
          <w:lang w:val="sk-SK"/>
        </w:rPr>
        <w:t>in vitro</w:t>
      </w:r>
      <w:r w:rsidR="00B843DF" w:rsidRPr="00652B9D">
        <w:rPr>
          <w:sz w:val="22"/>
          <w:szCs w:val="22"/>
          <w:lang w:val="sk-SK"/>
        </w:rPr>
        <w:t xml:space="preserve"> </w:t>
      </w:r>
      <w:r w:rsidR="00C55837" w:rsidRPr="00652B9D">
        <w:rPr>
          <w:sz w:val="22"/>
          <w:szCs w:val="22"/>
          <w:lang w:val="sk-SK"/>
        </w:rPr>
        <w:t xml:space="preserve">hodnota </w:t>
      </w:r>
      <w:r w:rsidR="00B843DF" w:rsidRPr="00652B9D">
        <w:rPr>
          <w:sz w:val="22"/>
          <w:szCs w:val="22"/>
          <w:lang w:val="sk-SK"/>
        </w:rPr>
        <w:t>IC</w:t>
      </w:r>
      <w:r w:rsidR="00C55837" w:rsidRPr="00652B9D">
        <w:rPr>
          <w:sz w:val="22"/>
          <w:szCs w:val="22"/>
          <w:vertAlign w:val="subscript"/>
          <w:lang w:val="sk-SK"/>
        </w:rPr>
        <w:t>50</w:t>
      </w:r>
      <w:r w:rsidR="00B843DF" w:rsidRPr="00652B9D">
        <w:rPr>
          <w:sz w:val="22"/>
          <w:szCs w:val="22"/>
          <w:lang w:val="sk-SK"/>
        </w:rPr>
        <w:t xml:space="preserve"> </w:t>
      </w:r>
      <w:r w:rsidR="00C55837" w:rsidRPr="00652B9D">
        <w:rPr>
          <w:sz w:val="22"/>
          <w:szCs w:val="22"/>
          <w:lang w:val="sk-SK"/>
        </w:rPr>
        <w:t>0,23</w:t>
      </w:r>
      <w:r w:rsidR="00811FCF">
        <w:rPr>
          <w:sz w:val="22"/>
          <w:szCs w:val="22"/>
          <w:lang w:val="sk-SK"/>
        </w:rPr>
        <w:t> </w:t>
      </w:r>
      <w:r w:rsidR="00811FCF">
        <w:rPr>
          <w:sz w:val="22"/>
          <w:szCs w:val="22"/>
          <w:lang w:val="sk-SK"/>
        </w:rPr>
        <w:noBreakHyphen/>
        <w:t> </w:t>
      </w:r>
      <w:r w:rsidR="00C55837" w:rsidRPr="00652B9D">
        <w:rPr>
          <w:sz w:val="22"/>
          <w:szCs w:val="22"/>
          <w:lang w:val="sk-SK"/>
        </w:rPr>
        <w:t>1,43 </w:t>
      </w:r>
      <w:proofErr w:type="spellStart"/>
      <w:r w:rsidR="00C55837" w:rsidRPr="00652B9D">
        <w:rPr>
          <w:sz w:val="22"/>
          <w:szCs w:val="22"/>
          <w:lang w:val="sk-SK"/>
        </w:rPr>
        <w:t>ng</w:t>
      </w:r>
      <w:proofErr w:type="spellEnd"/>
      <w:r w:rsidR="00C55837" w:rsidRPr="00652B9D">
        <w:rPr>
          <w:sz w:val="22"/>
          <w:szCs w:val="22"/>
          <w:lang w:val="sk-SK"/>
        </w:rPr>
        <w:t xml:space="preserve">/ml </w:t>
      </w:r>
      <w:r w:rsidR="0082093B" w:rsidRPr="00652B9D">
        <w:rPr>
          <w:sz w:val="22"/>
          <w:szCs w:val="22"/>
          <w:lang w:val="sk-SK"/>
        </w:rPr>
        <w:t>proti</w:t>
      </w:r>
      <w:r w:rsidR="00B843DF"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i/>
          <w:sz w:val="22"/>
          <w:szCs w:val="22"/>
          <w:lang w:val="sk-SK"/>
        </w:rPr>
        <w:t>P.</w:t>
      </w:r>
      <w:r w:rsidR="00DC42E7">
        <w:rPr>
          <w:i/>
          <w:sz w:val="22"/>
          <w:szCs w:val="22"/>
          <w:lang w:val="sk-SK"/>
        </w:rPr>
        <w:t> </w:t>
      </w:r>
      <w:proofErr w:type="spellStart"/>
      <w:r w:rsidR="00B843DF" w:rsidRPr="00652B9D">
        <w:rPr>
          <w:i/>
          <w:sz w:val="22"/>
          <w:szCs w:val="22"/>
          <w:lang w:val="sk-SK"/>
        </w:rPr>
        <w:t>falciparum</w:t>
      </w:r>
      <w:proofErr w:type="spellEnd"/>
      <w:r w:rsidR="00B843DF" w:rsidRPr="00652B9D">
        <w:rPr>
          <w:sz w:val="22"/>
          <w:szCs w:val="22"/>
          <w:lang w:val="sk-SK"/>
        </w:rPr>
        <w:t>).</w:t>
      </w:r>
    </w:p>
    <w:p w14:paraId="6F8ACBE7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3ABD4E6F" w14:textId="77777777" w:rsidR="00B843DF" w:rsidRPr="00652B9D" w:rsidRDefault="00AD761F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Neexistuje skrížená rezistencia medzi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ónom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a</w:t>
      </w:r>
      <w:r w:rsidR="0067424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nejakými</w:t>
      </w:r>
      <w:r w:rsidR="0067424F" w:rsidRPr="00652B9D">
        <w:rPr>
          <w:sz w:val="22"/>
          <w:szCs w:val="22"/>
          <w:lang w:val="sk-SK"/>
        </w:rPr>
        <w:t xml:space="preserve"> ďalšími </w:t>
      </w:r>
      <w:proofErr w:type="spellStart"/>
      <w:r w:rsidR="004127B2" w:rsidRPr="00652B9D">
        <w:rPr>
          <w:sz w:val="22"/>
          <w:szCs w:val="22"/>
          <w:lang w:val="sk-SK"/>
        </w:rPr>
        <w:t>antimalarikami</w:t>
      </w:r>
      <w:proofErr w:type="spellEnd"/>
      <w:r w:rsidR="004127B2" w:rsidRPr="00652B9D">
        <w:rPr>
          <w:sz w:val="22"/>
          <w:szCs w:val="22"/>
          <w:lang w:val="sk-SK"/>
        </w:rPr>
        <w:t>, ktoré sa v</w:t>
      </w:r>
      <w:r w:rsidR="00811FCF">
        <w:rPr>
          <w:sz w:val="22"/>
          <w:szCs w:val="22"/>
          <w:lang w:val="sk-SK"/>
        </w:rPr>
        <w:t> </w:t>
      </w:r>
      <w:r w:rsidR="004127B2" w:rsidRPr="00652B9D">
        <w:rPr>
          <w:sz w:val="22"/>
          <w:szCs w:val="22"/>
          <w:lang w:val="sk-SK"/>
        </w:rPr>
        <w:t xml:space="preserve">súčasnosti používajú. Medzi viac ako </w:t>
      </w:r>
      <w:r w:rsidR="00B843DF" w:rsidRPr="00652B9D">
        <w:rPr>
          <w:sz w:val="22"/>
          <w:szCs w:val="22"/>
          <w:lang w:val="sk-SK"/>
        </w:rPr>
        <w:t>30</w:t>
      </w:r>
      <w:r w:rsidR="00811FCF">
        <w:rPr>
          <w:sz w:val="22"/>
          <w:szCs w:val="22"/>
          <w:lang w:val="sk-SK"/>
        </w:rPr>
        <w:t> </w:t>
      </w:r>
      <w:proofErr w:type="spellStart"/>
      <w:r w:rsidR="004127B2" w:rsidRPr="00652B9D">
        <w:rPr>
          <w:sz w:val="22"/>
          <w:szCs w:val="22"/>
          <w:lang w:val="sk-SK"/>
        </w:rPr>
        <w:t>izolátmi</w:t>
      </w:r>
      <w:proofErr w:type="spellEnd"/>
      <w:r w:rsidR="004127B2"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i/>
          <w:sz w:val="22"/>
          <w:szCs w:val="22"/>
          <w:lang w:val="sk-SK"/>
        </w:rPr>
        <w:t xml:space="preserve">P. </w:t>
      </w:r>
      <w:proofErr w:type="spellStart"/>
      <w:r w:rsidR="00B843DF" w:rsidRPr="00652B9D">
        <w:rPr>
          <w:i/>
          <w:sz w:val="22"/>
          <w:szCs w:val="22"/>
          <w:lang w:val="sk-SK"/>
        </w:rPr>
        <w:t>falciparum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="004127B2" w:rsidRPr="00652B9D">
        <w:rPr>
          <w:sz w:val="22"/>
          <w:szCs w:val="22"/>
          <w:lang w:val="sk-SK"/>
        </w:rPr>
        <w:t xml:space="preserve">bola </w:t>
      </w:r>
      <w:r w:rsidR="00B843DF" w:rsidRPr="00652B9D">
        <w:rPr>
          <w:i/>
          <w:sz w:val="22"/>
          <w:szCs w:val="22"/>
          <w:lang w:val="sk-SK"/>
        </w:rPr>
        <w:t>in vitro</w:t>
      </w:r>
      <w:r w:rsidR="00B843DF" w:rsidRPr="00652B9D">
        <w:rPr>
          <w:sz w:val="22"/>
          <w:szCs w:val="22"/>
          <w:lang w:val="sk-SK"/>
        </w:rPr>
        <w:t xml:space="preserve"> </w:t>
      </w:r>
      <w:r w:rsidR="004127B2" w:rsidRPr="00652B9D">
        <w:rPr>
          <w:sz w:val="22"/>
          <w:szCs w:val="22"/>
          <w:lang w:val="sk-SK"/>
        </w:rPr>
        <w:t>zistená rezistencia na</w:t>
      </w:r>
      <w:r w:rsidR="00811FCF">
        <w:rPr>
          <w:sz w:val="22"/>
          <w:szCs w:val="22"/>
          <w:lang w:val="sk-SK"/>
        </w:rPr>
        <w:t> </w:t>
      </w:r>
      <w:proofErr w:type="spellStart"/>
      <w:r w:rsidR="00B97091" w:rsidRPr="00652B9D">
        <w:rPr>
          <w:sz w:val="22"/>
          <w:szCs w:val="22"/>
          <w:lang w:val="sk-SK"/>
        </w:rPr>
        <w:t>chlorochin</w:t>
      </w:r>
      <w:proofErr w:type="spellEnd"/>
      <w:r w:rsidR="00B97091"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sz w:val="22"/>
          <w:szCs w:val="22"/>
          <w:lang w:val="sk-SK"/>
        </w:rPr>
        <w:t>(41</w:t>
      </w:r>
      <w:r w:rsidR="00523280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 xml:space="preserve">% </w:t>
      </w:r>
      <w:proofErr w:type="spellStart"/>
      <w:r w:rsidR="004127B2" w:rsidRPr="00652B9D">
        <w:rPr>
          <w:sz w:val="22"/>
          <w:szCs w:val="22"/>
          <w:lang w:val="sk-SK"/>
        </w:rPr>
        <w:t>izolátov</w:t>
      </w:r>
      <w:proofErr w:type="spellEnd"/>
      <w:r w:rsidR="00B843DF" w:rsidRPr="00652B9D">
        <w:rPr>
          <w:sz w:val="22"/>
          <w:szCs w:val="22"/>
          <w:lang w:val="sk-SK"/>
        </w:rPr>
        <w:t xml:space="preserve">), </w:t>
      </w:r>
      <w:r w:rsidR="004127B2" w:rsidRPr="00652B9D">
        <w:rPr>
          <w:sz w:val="22"/>
          <w:szCs w:val="22"/>
          <w:lang w:val="sk-SK"/>
        </w:rPr>
        <w:t xml:space="preserve">chinín </w:t>
      </w:r>
      <w:r w:rsidR="00B843DF" w:rsidRPr="00652B9D">
        <w:rPr>
          <w:sz w:val="22"/>
          <w:szCs w:val="22"/>
          <w:lang w:val="sk-SK"/>
        </w:rPr>
        <w:t>(32</w:t>
      </w:r>
      <w:r w:rsidR="00523280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 xml:space="preserve">% </w:t>
      </w:r>
      <w:proofErr w:type="spellStart"/>
      <w:r w:rsidR="00B843DF" w:rsidRPr="00652B9D">
        <w:rPr>
          <w:sz w:val="22"/>
          <w:szCs w:val="22"/>
          <w:lang w:val="sk-SK"/>
        </w:rPr>
        <w:t>i</w:t>
      </w:r>
      <w:r w:rsidR="004127B2" w:rsidRPr="00652B9D">
        <w:rPr>
          <w:sz w:val="22"/>
          <w:szCs w:val="22"/>
          <w:lang w:val="sk-SK"/>
        </w:rPr>
        <w:t>z</w:t>
      </w:r>
      <w:r w:rsidR="00B843DF" w:rsidRPr="00652B9D">
        <w:rPr>
          <w:sz w:val="22"/>
          <w:szCs w:val="22"/>
          <w:lang w:val="sk-SK"/>
        </w:rPr>
        <w:t>ol</w:t>
      </w:r>
      <w:r w:rsidR="004127B2" w:rsidRPr="00652B9D">
        <w:rPr>
          <w:sz w:val="22"/>
          <w:szCs w:val="22"/>
          <w:lang w:val="sk-SK"/>
        </w:rPr>
        <w:t>átov</w:t>
      </w:r>
      <w:proofErr w:type="spellEnd"/>
      <w:r w:rsidR="00B843DF" w:rsidRPr="00652B9D">
        <w:rPr>
          <w:sz w:val="22"/>
          <w:szCs w:val="22"/>
          <w:lang w:val="sk-SK"/>
        </w:rPr>
        <w:t xml:space="preserve">), </w:t>
      </w:r>
      <w:proofErr w:type="spellStart"/>
      <w:r w:rsidR="00B843DF" w:rsidRPr="00652B9D">
        <w:rPr>
          <w:sz w:val="22"/>
          <w:szCs w:val="22"/>
          <w:lang w:val="sk-SK"/>
        </w:rPr>
        <w:t>meflo</w:t>
      </w:r>
      <w:r w:rsidR="00B97091" w:rsidRPr="00652B9D">
        <w:rPr>
          <w:sz w:val="22"/>
          <w:szCs w:val="22"/>
          <w:lang w:val="sk-SK"/>
        </w:rPr>
        <w:t>ch</w:t>
      </w:r>
      <w:r w:rsidR="00B843DF" w:rsidRPr="00652B9D">
        <w:rPr>
          <w:sz w:val="22"/>
          <w:szCs w:val="22"/>
          <w:lang w:val="sk-SK"/>
        </w:rPr>
        <w:t>in</w:t>
      </w:r>
      <w:proofErr w:type="spellEnd"/>
      <w:r w:rsidR="00B843DF" w:rsidRPr="00652B9D">
        <w:rPr>
          <w:sz w:val="22"/>
          <w:szCs w:val="22"/>
          <w:lang w:val="sk-SK"/>
        </w:rPr>
        <w:t xml:space="preserve"> (29</w:t>
      </w:r>
      <w:r w:rsidR="00523280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%</w:t>
      </w:r>
      <w:r w:rsidR="004127B2" w:rsidRPr="00652B9D">
        <w:rPr>
          <w:sz w:val="22"/>
          <w:szCs w:val="22"/>
          <w:lang w:val="sk-SK"/>
        </w:rPr>
        <w:t xml:space="preserve"> </w:t>
      </w:r>
      <w:proofErr w:type="spellStart"/>
      <w:r w:rsidR="004127B2" w:rsidRPr="00652B9D">
        <w:rPr>
          <w:sz w:val="22"/>
          <w:szCs w:val="22"/>
          <w:lang w:val="sk-SK"/>
        </w:rPr>
        <w:t>izolátov</w:t>
      </w:r>
      <w:proofErr w:type="spellEnd"/>
      <w:r w:rsidR="00B843DF" w:rsidRPr="00652B9D">
        <w:rPr>
          <w:sz w:val="22"/>
          <w:szCs w:val="22"/>
          <w:lang w:val="sk-SK"/>
        </w:rPr>
        <w:t xml:space="preserve">) a </w:t>
      </w:r>
      <w:proofErr w:type="spellStart"/>
      <w:r w:rsidR="00B843DF" w:rsidRPr="00652B9D">
        <w:rPr>
          <w:sz w:val="22"/>
          <w:szCs w:val="22"/>
          <w:lang w:val="sk-SK"/>
        </w:rPr>
        <w:t>halofantrin</w:t>
      </w:r>
      <w:proofErr w:type="spellEnd"/>
      <w:r w:rsidR="00B843DF" w:rsidRPr="00652B9D">
        <w:rPr>
          <w:sz w:val="22"/>
          <w:szCs w:val="22"/>
          <w:lang w:val="sk-SK"/>
        </w:rPr>
        <w:t xml:space="preserve"> (48</w:t>
      </w:r>
      <w:r w:rsidR="00523280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 xml:space="preserve">% </w:t>
      </w:r>
      <w:proofErr w:type="spellStart"/>
      <w:r w:rsidR="004127B2" w:rsidRPr="00652B9D">
        <w:rPr>
          <w:sz w:val="22"/>
          <w:szCs w:val="22"/>
          <w:lang w:val="sk-SK"/>
        </w:rPr>
        <w:t>izolátov</w:t>
      </w:r>
      <w:proofErr w:type="spellEnd"/>
      <w:r w:rsidR="00B843DF" w:rsidRPr="00652B9D">
        <w:rPr>
          <w:sz w:val="22"/>
          <w:szCs w:val="22"/>
          <w:lang w:val="sk-SK"/>
        </w:rPr>
        <w:t>)</w:t>
      </w:r>
      <w:r w:rsidR="004127B2" w:rsidRPr="00652B9D">
        <w:rPr>
          <w:sz w:val="22"/>
          <w:szCs w:val="22"/>
          <w:lang w:val="sk-SK"/>
        </w:rPr>
        <w:t xml:space="preserve">, ale nie na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sz w:val="22"/>
          <w:szCs w:val="22"/>
          <w:lang w:val="sk-SK"/>
        </w:rPr>
        <w:t>(0</w:t>
      </w:r>
      <w:r w:rsidR="00523280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 xml:space="preserve">% </w:t>
      </w:r>
      <w:proofErr w:type="spellStart"/>
      <w:r w:rsidR="004127B2" w:rsidRPr="00652B9D">
        <w:rPr>
          <w:sz w:val="22"/>
          <w:szCs w:val="22"/>
          <w:lang w:val="sk-SK"/>
        </w:rPr>
        <w:t>iz</w:t>
      </w:r>
      <w:r w:rsidR="00B843DF" w:rsidRPr="00652B9D">
        <w:rPr>
          <w:sz w:val="22"/>
          <w:szCs w:val="22"/>
          <w:lang w:val="sk-SK"/>
        </w:rPr>
        <w:t>ol</w:t>
      </w:r>
      <w:r w:rsidR="004127B2" w:rsidRPr="00652B9D">
        <w:rPr>
          <w:sz w:val="22"/>
          <w:szCs w:val="22"/>
          <w:lang w:val="sk-SK"/>
        </w:rPr>
        <w:t>á</w:t>
      </w:r>
      <w:r w:rsidR="00B843DF" w:rsidRPr="00652B9D">
        <w:rPr>
          <w:sz w:val="22"/>
          <w:szCs w:val="22"/>
          <w:lang w:val="sk-SK"/>
        </w:rPr>
        <w:t>t</w:t>
      </w:r>
      <w:r w:rsidR="004127B2" w:rsidRPr="00652B9D">
        <w:rPr>
          <w:sz w:val="22"/>
          <w:szCs w:val="22"/>
          <w:lang w:val="sk-SK"/>
        </w:rPr>
        <w:t>ov</w:t>
      </w:r>
      <w:proofErr w:type="spellEnd"/>
      <w:r w:rsidR="00B843DF" w:rsidRPr="00652B9D">
        <w:rPr>
          <w:sz w:val="22"/>
          <w:szCs w:val="22"/>
          <w:lang w:val="sk-SK"/>
        </w:rPr>
        <w:t>).</w:t>
      </w:r>
    </w:p>
    <w:p w14:paraId="0B76D95C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697D5A83" w14:textId="77777777" w:rsidR="00B843DF" w:rsidRPr="00652B9D" w:rsidRDefault="00AD761F" w:rsidP="005F241E">
      <w:pPr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t>Antimalarický</w:t>
      </w:r>
      <w:proofErr w:type="spellEnd"/>
      <w:r w:rsidRPr="00652B9D">
        <w:rPr>
          <w:sz w:val="22"/>
          <w:szCs w:val="22"/>
          <w:lang w:val="sk-SK"/>
        </w:rPr>
        <w:t xml:space="preserve"> účinok </w:t>
      </w:r>
      <w:proofErr w:type="spellStart"/>
      <w:r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Pr="00652B9D">
        <w:rPr>
          <w:sz w:val="22"/>
          <w:szCs w:val="22"/>
          <w:lang w:val="sk-SK"/>
        </w:rPr>
        <w:t>anilu</w:t>
      </w:r>
      <w:proofErr w:type="spellEnd"/>
      <w:r w:rsidRPr="00652B9D">
        <w:rPr>
          <w:sz w:val="22"/>
          <w:szCs w:val="22"/>
          <w:lang w:val="sk-SK"/>
        </w:rPr>
        <w:t xml:space="preserve"> sa uplatňuje cez primárny </w:t>
      </w:r>
      <w:proofErr w:type="spellStart"/>
      <w:r w:rsidRPr="00652B9D">
        <w:rPr>
          <w:sz w:val="22"/>
          <w:szCs w:val="22"/>
          <w:lang w:val="sk-SK"/>
        </w:rPr>
        <w:t>metabolit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proofErr w:type="spellStart"/>
      <w:r w:rsidRPr="00652B9D">
        <w:rPr>
          <w:sz w:val="22"/>
          <w:szCs w:val="22"/>
          <w:lang w:val="sk-SK"/>
        </w:rPr>
        <w:t>cyklog</w:t>
      </w:r>
      <w:r w:rsidR="00C34A4E">
        <w:rPr>
          <w:sz w:val="22"/>
          <w:szCs w:val="22"/>
          <w:lang w:val="sk-SK"/>
        </w:rPr>
        <w:t>u</w:t>
      </w:r>
      <w:r w:rsidRPr="00652B9D">
        <w:rPr>
          <w:sz w:val="22"/>
          <w:szCs w:val="22"/>
          <w:lang w:val="sk-SK"/>
        </w:rPr>
        <w:t>anil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sz w:val="22"/>
          <w:szCs w:val="22"/>
          <w:lang w:val="sk-SK"/>
        </w:rPr>
        <w:t>(</w:t>
      </w:r>
      <w:r w:rsidR="00B843DF" w:rsidRPr="00652B9D">
        <w:rPr>
          <w:i/>
          <w:sz w:val="22"/>
          <w:szCs w:val="22"/>
          <w:lang w:val="sk-SK"/>
        </w:rPr>
        <w:t>in vitro</w:t>
      </w:r>
      <w:r w:rsidR="00B843DF" w:rsidRPr="00652B9D">
        <w:rPr>
          <w:sz w:val="22"/>
          <w:szCs w:val="22"/>
          <w:lang w:val="sk-SK"/>
        </w:rPr>
        <w:t xml:space="preserve"> </w:t>
      </w:r>
      <w:r w:rsidR="00C55837" w:rsidRPr="00652B9D">
        <w:rPr>
          <w:sz w:val="22"/>
          <w:szCs w:val="22"/>
          <w:lang w:val="sk-SK"/>
        </w:rPr>
        <w:t xml:space="preserve">hodnota </w:t>
      </w:r>
      <w:r w:rsidR="00B843DF" w:rsidRPr="00652B9D">
        <w:rPr>
          <w:sz w:val="22"/>
          <w:szCs w:val="22"/>
          <w:lang w:val="sk-SK"/>
        </w:rPr>
        <w:t>IC</w:t>
      </w:r>
      <w:r w:rsidR="00C55837" w:rsidRPr="00652B9D">
        <w:rPr>
          <w:sz w:val="22"/>
          <w:szCs w:val="22"/>
          <w:vertAlign w:val="subscript"/>
          <w:lang w:val="sk-SK"/>
        </w:rPr>
        <w:t>50</w:t>
      </w:r>
      <w:r w:rsidR="00B843DF" w:rsidRPr="00652B9D">
        <w:rPr>
          <w:sz w:val="22"/>
          <w:szCs w:val="22"/>
          <w:lang w:val="sk-SK"/>
        </w:rPr>
        <w:t xml:space="preserve"> </w:t>
      </w:r>
      <w:r w:rsidR="00C55837" w:rsidRPr="00652B9D">
        <w:rPr>
          <w:sz w:val="22"/>
          <w:szCs w:val="22"/>
          <w:lang w:val="sk-SK"/>
        </w:rPr>
        <w:t>4</w:t>
      </w:r>
      <w:r w:rsidR="00523280">
        <w:rPr>
          <w:sz w:val="22"/>
          <w:szCs w:val="22"/>
          <w:lang w:val="sk-SK"/>
        </w:rPr>
        <w:t> </w:t>
      </w:r>
      <w:r w:rsidR="00523280">
        <w:rPr>
          <w:sz w:val="22"/>
          <w:szCs w:val="22"/>
          <w:lang w:val="sk-SK"/>
        </w:rPr>
        <w:noBreakHyphen/>
        <w:t> </w:t>
      </w:r>
      <w:r w:rsidR="00C55837" w:rsidRPr="00652B9D">
        <w:rPr>
          <w:sz w:val="22"/>
          <w:szCs w:val="22"/>
          <w:lang w:val="sk-SK"/>
        </w:rPr>
        <w:t>20</w:t>
      </w:r>
      <w:r w:rsidR="00523280">
        <w:rPr>
          <w:sz w:val="22"/>
          <w:szCs w:val="22"/>
          <w:lang w:val="sk-SK"/>
        </w:rPr>
        <w:t> </w:t>
      </w:r>
      <w:proofErr w:type="spellStart"/>
      <w:r w:rsidR="00C55837" w:rsidRPr="00652B9D">
        <w:rPr>
          <w:sz w:val="22"/>
          <w:szCs w:val="22"/>
          <w:lang w:val="sk-SK"/>
        </w:rPr>
        <w:t>ng</w:t>
      </w:r>
      <w:proofErr w:type="spellEnd"/>
      <w:r w:rsidR="00C55837" w:rsidRPr="00652B9D">
        <w:rPr>
          <w:sz w:val="22"/>
          <w:szCs w:val="22"/>
          <w:lang w:val="sk-SK"/>
        </w:rPr>
        <w:t xml:space="preserve">/ml </w:t>
      </w:r>
      <w:r w:rsidRPr="00652B9D">
        <w:rPr>
          <w:sz w:val="22"/>
          <w:szCs w:val="22"/>
          <w:lang w:val="sk-SK"/>
        </w:rPr>
        <w:t xml:space="preserve">proti rôznym kmeňom </w:t>
      </w:r>
      <w:r w:rsidR="00B843DF" w:rsidRPr="00652B9D">
        <w:rPr>
          <w:i/>
          <w:sz w:val="22"/>
          <w:szCs w:val="22"/>
          <w:lang w:val="sk-SK"/>
        </w:rPr>
        <w:t xml:space="preserve">P. </w:t>
      </w:r>
      <w:proofErr w:type="spellStart"/>
      <w:r w:rsidR="00B843DF" w:rsidRPr="00652B9D">
        <w:rPr>
          <w:i/>
          <w:sz w:val="22"/>
          <w:szCs w:val="22"/>
          <w:lang w:val="sk-SK"/>
        </w:rPr>
        <w:t>falciparum</w:t>
      </w:r>
      <w:proofErr w:type="spellEnd"/>
      <w:r w:rsidR="00B843DF" w:rsidRPr="00652B9D">
        <w:rPr>
          <w:sz w:val="22"/>
          <w:szCs w:val="22"/>
          <w:lang w:val="sk-SK"/>
        </w:rPr>
        <w:t xml:space="preserve">; </w:t>
      </w:r>
      <w:r w:rsidR="00975E0F" w:rsidRPr="00652B9D">
        <w:rPr>
          <w:sz w:val="22"/>
          <w:szCs w:val="22"/>
          <w:lang w:val="sk-SK"/>
        </w:rPr>
        <w:t>istá aktivita</w:t>
      </w:r>
      <w:r w:rsidR="00C55837" w:rsidRPr="00652B9D">
        <w:rPr>
          <w:sz w:val="22"/>
          <w:szCs w:val="22"/>
          <w:lang w:val="sk-SK"/>
        </w:rPr>
        <w:t xml:space="preserve"> </w:t>
      </w:r>
      <w:proofErr w:type="spellStart"/>
      <w:r w:rsidR="00C55837"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="00C55837" w:rsidRPr="00652B9D">
        <w:rPr>
          <w:sz w:val="22"/>
          <w:szCs w:val="22"/>
          <w:lang w:val="sk-SK"/>
        </w:rPr>
        <w:t>anilu</w:t>
      </w:r>
      <w:proofErr w:type="spellEnd"/>
      <w:r w:rsidR="00C55837" w:rsidRPr="00652B9D">
        <w:rPr>
          <w:sz w:val="22"/>
          <w:szCs w:val="22"/>
          <w:lang w:val="sk-SK"/>
        </w:rPr>
        <w:t xml:space="preserve"> a ďalšieho </w:t>
      </w:r>
      <w:proofErr w:type="spellStart"/>
      <w:r w:rsidR="00C55837" w:rsidRPr="00652B9D">
        <w:rPr>
          <w:sz w:val="22"/>
          <w:szCs w:val="22"/>
          <w:lang w:val="sk-SK"/>
        </w:rPr>
        <w:t>metabolitu</w:t>
      </w:r>
      <w:proofErr w:type="spellEnd"/>
      <w:r w:rsidR="00C55837" w:rsidRPr="00652B9D">
        <w:rPr>
          <w:sz w:val="22"/>
          <w:szCs w:val="22"/>
          <w:lang w:val="sk-SK"/>
        </w:rPr>
        <w:t>,</w:t>
      </w:r>
      <w:r w:rsidR="00E279C3" w:rsidRPr="00652B9D">
        <w:rPr>
          <w:sz w:val="22"/>
          <w:szCs w:val="22"/>
          <w:lang w:val="sk-SK"/>
        </w:rPr>
        <w:t xml:space="preserve"> </w:t>
      </w:r>
      <w:r w:rsidR="003A5B52" w:rsidRPr="00652B9D">
        <w:rPr>
          <w:sz w:val="22"/>
          <w:szCs w:val="22"/>
          <w:lang w:val="sk-SK"/>
        </w:rPr>
        <w:t>4</w:t>
      </w:r>
      <w:r w:rsidR="009D35DE">
        <w:rPr>
          <w:sz w:val="22"/>
          <w:szCs w:val="22"/>
          <w:lang w:val="sk-SK"/>
        </w:rPr>
        <w:noBreakHyphen/>
      </w:r>
      <w:r w:rsidR="00B843DF" w:rsidRPr="00652B9D">
        <w:rPr>
          <w:sz w:val="22"/>
          <w:szCs w:val="22"/>
          <w:lang w:val="sk-SK"/>
        </w:rPr>
        <w:t>chloro</w:t>
      </w:r>
      <w:r w:rsidR="00C55837" w:rsidRPr="00652B9D">
        <w:rPr>
          <w:sz w:val="22"/>
          <w:szCs w:val="22"/>
          <w:lang w:val="sk-SK"/>
        </w:rPr>
        <w:t>f</w:t>
      </w:r>
      <w:r w:rsidR="00B843DF" w:rsidRPr="00652B9D">
        <w:rPr>
          <w:sz w:val="22"/>
          <w:szCs w:val="22"/>
          <w:lang w:val="sk-SK"/>
        </w:rPr>
        <w:t>enylbig</w:t>
      </w:r>
      <w:r w:rsidR="00C34A4E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anid</w:t>
      </w:r>
      <w:r w:rsidR="00C55837" w:rsidRPr="00652B9D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 xml:space="preserve">, </w:t>
      </w:r>
      <w:r w:rsidR="00C55837" w:rsidRPr="00652B9D">
        <w:rPr>
          <w:sz w:val="22"/>
          <w:szCs w:val="22"/>
          <w:lang w:val="sk-SK"/>
        </w:rPr>
        <w:t>je pozorovan</w:t>
      </w:r>
      <w:r w:rsidR="00975E0F" w:rsidRPr="00652B9D">
        <w:rPr>
          <w:sz w:val="22"/>
          <w:szCs w:val="22"/>
          <w:lang w:val="sk-SK"/>
        </w:rPr>
        <w:t>á</w:t>
      </w:r>
      <w:r w:rsidR="00C55837"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i/>
          <w:sz w:val="22"/>
          <w:szCs w:val="22"/>
          <w:lang w:val="sk-SK"/>
        </w:rPr>
        <w:t>in vitro</w:t>
      </w:r>
      <w:r w:rsidR="00B843DF" w:rsidRPr="00652B9D">
        <w:rPr>
          <w:sz w:val="22"/>
          <w:szCs w:val="22"/>
          <w:lang w:val="sk-SK"/>
        </w:rPr>
        <w:t xml:space="preserve"> </w:t>
      </w:r>
      <w:r w:rsidR="00C55837" w:rsidRPr="00652B9D">
        <w:rPr>
          <w:sz w:val="22"/>
          <w:szCs w:val="22"/>
          <w:lang w:val="sk-SK"/>
        </w:rPr>
        <w:t>pri</w:t>
      </w:r>
      <w:r w:rsidR="00B843DF" w:rsidRPr="00652B9D">
        <w:rPr>
          <w:sz w:val="22"/>
          <w:szCs w:val="22"/>
          <w:lang w:val="sk-SK"/>
        </w:rPr>
        <w:t xml:space="preserve"> 600</w:t>
      </w:r>
      <w:r w:rsidR="00523280">
        <w:rPr>
          <w:sz w:val="22"/>
          <w:szCs w:val="22"/>
          <w:lang w:val="sk-SK"/>
        </w:rPr>
        <w:t> </w:t>
      </w:r>
      <w:r w:rsidR="00523280">
        <w:rPr>
          <w:sz w:val="22"/>
          <w:szCs w:val="22"/>
          <w:lang w:val="sk-SK"/>
        </w:rPr>
        <w:noBreakHyphen/>
        <w:t> </w:t>
      </w:r>
      <w:r w:rsidR="00B843DF" w:rsidRPr="00652B9D">
        <w:rPr>
          <w:sz w:val="22"/>
          <w:szCs w:val="22"/>
          <w:lang w:val="sk-SK"/>
        </w:rPr>
        <w:t>3</w:t>
      </w:r>
      <w:r w:rsidR="00523280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000</w:t>
      </w:r>
      <w:r w:rsidR="00523280">
        <w:rPr>
          <w:sz w:val="22"/>
          <w:szCs w:val="22"/>
          <w:lang w:val="sk-SK"/>
        </w:rPr>
        <w:t> </w:t>
      </w:r>
      <w:proofErr w:type="spellStart"/>
      <w:r w:rsidR="00B843DF" w:rsidRPr="00652B9D">
        <w:rPr>
          <w:sz w:val="22"/>
          <w:szCs w:val="22"/>
          <w:lang w:val="sk-SK"/>
        </w:rPr>
        <w:t>ng</w:t>
      </w:r>
      <w:proofErr w:type="spellEnd"/>
      <w:r w:rsidR="00B843DF" w:rsidRPr="00652B9D">
        <w:rPr>
          <w:sz w:val="22"/>
          <w:szCs w:val="22"/>
          <w:lang w:val="sk-SK"/>
        </w:rPr>
        <w:t>/m</w:t>
      </w:r>
      <w:r w:rsidR="00C55837" w:rsidRPr="00652B9D">
        <w:rPr>
          <w:sz w:val="22"/>
          <w:szCs w:val="22"/>
          <w:lang w:val="sk-SK"/>
        </w:rPr>
        <w:t>l</w:t>
      </w:r>
      <w:r w:rsidR="00B843DF" w:rsidRPr="00652B9D">
        <w:rPr>
          <w:sz w:val="22"/>
          <w:szCs w:val="22"/>
          <w:lang w:val="sk-SK"/>
        </w:rPr>
        <w:t>).</w:t>
      </w:r>
    </w:p>
    <w:p w14:paraId="0906475C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50EC39E3" w14:textId="77777777" w:rsidR="00B843DF" w:rsidRPr="00652B9D" w:rsidRDefault="00C55837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V </w:t>
      </w:r>
      <w:r w:rsidR="003A5B52" w:rsidRPr="00652B9D">
        <w:rPr>
          <w:i/>
          <w:sz w:val="22"/>
          <w:szCs w:val="22"/>
          <w:lang w:val="sk-SK"/>
        </w:rPr>
        <w:t>in vitro</w:t>
      </w:r>
      <w:r w:rsidR="003A5B52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štúdiách </w:t>
      </w:r>
      <w:r w:rsidR="003A5B52" w:rsidRPr="00652B9D">
        <w:rPr>
          <w:i/>
          <w:sz w:val="22"/>
          <w:szCs w:val="22"/>
          <w:lang w:val="sk-SK"/>
        </w:rPr>
        <w:t xml:space="preserve">P. </w:t>
      </w:r>
      <w:proofErr w:type="spellStart"/>
      <w:r w:rsidRPr="00652B9D">
        <w:rPr>
          <w:i/>
          <w:sz w:val="22"/>
          <w:szCs w:val="22"/>
          <w:lang w:val="sk-SK"/>
        </w:rPr>
        <w:t>falciparum</w:t>
      </w:r>
      <w:proofErr w:type="spellEnd"/>
      <w:r w:rsidRPr="00652B9D">
        <w:rPr>
          <w:sz w:val="22"/>
          <w:szCs w:val="22"/>
          <w:lang w:val="sk-SK"/>
        </w:rPr>
        <w:t xml:space="preserve"> sa dokázalo, že kombinácia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ónu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sz w:val="22"/>
          <w:szCs w:val="22"/>
          <w:lang w:val="sk-SK"/>
        </w:rPr>
        <w:t xml:space="preserve">a </w:t>
      </w:r>
      <w:proofErr w:type="spellStart"/>
      <w:r w:rsidR="00B843DF"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anil</w:t>
      </w:r>
      <w:r w:rsidRPr="00652B9D">
        <w:rPr>
          <w:sz w:val="22"/>
          <w:szCs w:val="22"/>
          <w:lang w:val="sk-SK"/>
        </w:rPr>
        <w:t>u</w:t>
      </w:r>
      <w:proofErr w:type="spellEnd"/>
      <w:r w:rsidRPr="00652B9D">
        <w:rPr>
          <w:sz w:val="22"/>
          <w:szCs w:val="22"/>
          <w:lang w:val="sk-SK"/>
        </w:rPr>
        <w:t xml:space="preserve"> je synergická. Tát</w:t>
      </w:r>
      <w:r w:rsidR="00975E0F" w:rsidRPr="00652B9D">
        <w:rPr>
          <w:sz w:val="22"/>
          <w:szCs w:val="22"/>
          <w:lang w:val="sk-SK"/>
        </w:rPr>
        <w:t>o</w:t>
      </w:r>
      <w:r w:rsidRPr="00652B9D">
        <w:rPr>
          <w:sz w:val="22"/>
          <w:szCs w:val="22"/>
          <w:lang w:val="sk-SK"/>
        </w:rPr>
        <w:t xml:space="preserve"> zosilnená účinnosť bola preukázaná </w:t>
      </w:r>
      <w:r w:rsidR="00975E0F" w:rsidRPr="00652B9D">
        <w:rPr>
          <w:sz w:val="22"/>
          <w:szCs w:val="22"/>
          <w:lang w:val="sk-SK"/>
        </w:rPr>
        <w:t>tiež</w:t>
      </w:r>
      <w:r w:rsidRPr="00652B9D">
        <w:rPr>
          <w:sz w:val="22"/>
          <w:szCs w:val="22"/>
          <w:lang w:val="sk-SK"/>
        </w:rPr>
        <w:t xml:space="preserve"> v klinických štúdiách u imúnnych aj neimúnnych pacientov.</w:t>
      </w:r>
    </w:p>
    <w:p w14:paraId="11758C6A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659874E7" w14:textId="77777777" w:rsidR="00B843DF" w:rsidRPr="00652B9D" w:rsidRDefault="00DB5E87" w:rsidP="005F241E">
      <w:pPr>
        <w:keepNext/>
        <w:keepLines/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lastRenderedPageBreak/>
        <w:t>5.2</w:t>
      </w:r>
      <w:r w:rsidR="00481ED7">
        <w:rPr>
          <w:b/>
          <w:sz w:val="22"/>
          <w:szCs w:val="22"/>
          <w:lang w:val="sk-SK"/>
        </w:rPr>
        <w:tab/>
      </w:r>
      <w:proofErr w:type="spellStart"/>
      <w:r w:rsidR="00EC65E9" w:rsidRPr="00652B9D">
        <w:rPr>
          <w:b/>
          <w:sz w:val="22"/>
          <w:szCs w:val="22"/>
          <w:lang w:val="sk-SK"/>
        </w:rPr>
        <w:t>Fa</w:t>
      </w:r>
      <w:r w:rsidR="00B843DF" w:rsidRPr="00652B9D">
        <w:rPr>
          <w:b/>
          <w:sz w:val="22"/>
          <w:szCs w:val="22"/>
          <w:lang w:val="sk-SK"/>
        </w:rPr>
        <w:t>rma</w:t>
      </w:r>
      <w:r w:rsidR="00EC65E9" w:rsidRPr="00652B9D">
        <w:rPr>
          <w:b/>
          <w:sz w:val="22"/>
          <w:szCs w:val="22"/>
          <w:lang w:val="sk-SK"/>
        </w:rPr>
        <w:t>k</w:t>
      </w:r>
      <w:r w:rsidR="00B843DF" w:rsidRPr="00652B9D">
        <w:rPr>
          <w:b/>
          <w:sz w:val="22"/>
          <w:szCs w:val="22"/>
          <w:lang w:val="sk-SK"/>
        </w:rPr>
        <w:t>okinetic</w:t>
      </w:r>
      <w:r w:rsidR="00EC65E9" w:rsidRPr="00652B9D">
        <w:rPr>
          <w:b/>
          <w:sz w:val="22"/>
          <w:szCs w:val="22"/>
          <w:lang w:val="sk-SK"/>
        </w:rPr>
        <w:t>ké</w:t>
      </w:r>
      <w:proofErr w:type="spellEnd"/>
      <w:r w:rsidR="00EC65E9" w:rsidRPr="00652B9D">
        <w:rPr>
          <w:b/>
          <w:sz w:val="22"/>
          <w:szCs w:val="22"/>
          <w:lang w:val="sk-SK"/>
        </w:rPr>
        <w:t xml:space="preserve"> vlastnosti</w:t>
      </w:r>
    </w:p>
    <w:p w14:paraId="24C9BD2D" w14:textId="77777777" w:rsidR="00B843DF" w:rsidRPr="00523280" w:rsidRDefault="00B843DF" w:rsidP="005F241E">
      <w:pPr>
        <w:keepNext/>
        <w:keepLines/>
        <w:rPr>
          <w:sz w:val="22"/>
          <w:szCs w:val="22"/>
          <w:lang w:val="sk-SK"/>
        </w:rPr>
      </w:pPr>
    </w:p>
    <w:p w14:paraId="6A6B3978" w14:textId="77777777" w:rsidR="00B843DF" w:rsidRPr="00652B9D" w:rsidRDefault="00EC65E9" w:rsidP="005F241E">
      <w:pPr>
        <w:keepNext/>
        <w:keepLines/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Neexistujú žiadne </w:t>
      </w:r>
      <w:proofErr w:type="spellStart"/>
      <w:r w:rsidRPr="00652B9D">
        <w:rPr>
          <w:sz w:val="22"/>
          <w:szCs w:val="22"/>
          <w:lang w:val="sk-SK"/>
        </w:rPr>
        <w:t>farmakokinetické</w:t>
      </w:r>
      <w:proofErr w:type="spellEnd"/>
      <w:r w:rsidRPr="00652B9D">
        <w:rPr>
          <w:sz w:val="22"/>
          <w:szCs w:val="22"/>
          <w:lang w:val="sk-SK"/>
        </w:rPr>
        <w:t xml:space="preserve"> interakcie medzi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ónom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sz w:val="22"/>
          <w:szCs w:val="22"/>
          <w:lang w:val="sk-SK"/>
        </w:rPr>
        <w:t xml:space="preserve">a </w:t>
      </w:r>
      <w:proofErr w:type="spellStart"/>
      <w:r w:rsidR="00B843DF"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anil</w:t>
      </w:r>
      <w:r w:rsidRPr="00652B9D">
        <w:rPr>
          <w:sz w:val="22"/>
          <w:szCs w:val="22"/>
          <w:lang w:val="sk-SK"/>
        </w:rPr>
        <w:t>om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r w:rsidR="00DB5E87" w:rsidRPr="00652B9D">
        <w:rPr>
          <w:sz w:val="22"/>
          <w:szCs w:val="22"/>
          <w:lang w:val="sk-SK"/>
        </w:rPr>
        <w:t xml:space="preserve">podávaným </w:t>
      </w:r>
      <w:r w:rsidRPr="00652B9D">
        <w:rPr>
          <w:sz w:val="22"/>
          <w:szCs w:val="22"/>
          <w:lang w:val="sk-SK"/>
        </w:rPr>
        <w:t>v</w:t>
      </w:r>
      <w:r w:rsidR="000A6FD7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odporúčanej dávke</w:t>
      </w:r>
      <w:r w:rsidR="00B843DF" w:rsidRPr="00652B9D">
        <w:rPr>
          <w:sz w:val="22"/>
          <w:szCs w:val="22"/>
          <w:lang w:val="sk-SK"/>
        </w:rPr>
        <w:t xml:space="preserve">. </w:t>
      </w:r>
      <w:r w:rsidRPr="00652B9D">
        <w:rPr>
          <w:sz w:val="22"/>
          <w:szCs w:val="22"/>
          <w:lang w:val="sk-SK"/>
        </w:rPr>
        <w:t xml:space="preserve">V klinických štúdiách, v ktorých deti užívali dávku </w:t>
      </w:r>
      <w:proofErr w:type="spellStart"/>
      <w:r w:rsidR="00B843DF" w:rsidRPr="00652B9D">
        <w:rPr>
          <w:sz w:val="22"/>
          <w:szCs w:val="22"/>
          <w:lang w:val="sk-SK"/>
        </w:rPr>
        <w:t>Malarone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podľa telesnej hmotnosti, boli minimálne hladiny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ónu</w:t>
      </w:r>
      <w:proofErr w:type="spellEnd"/>
      <w:r w:rsidR="00B843DF" w:rsidRPr="00652B9D">
        <w:rPr>
          <w:sz w:val="22"/>
          <w:szCs w:val="22"/>
          <w:lang w:val="sk-SK"/>
        </w:rPr>
        <w:t xml:space="preserve">, </w:t>
      </w:r>
      <w:proofErr w:type="spellStart"/>
      <w:r w:rsidR="00B843DF"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anil</w:t>
      </w:r>
      <w:r w:rsidRPr="00652B9D">
        <w:rPr>
          <w:sz w:val="22"/>
          <w:szCs w:val="22"/>
          <w:lang w:val="sk-SK"/>
        </w:rPr>
        <w:t>u</w:t>
      </w:r>
      <w:proofErr w:type="spellEnd"/>
      <w:r w:rsidR="00B843DF" w:rsidRPr="00652B9D">
        <w:rPr>
          <w:sz w:val="22"/>
          <w:szCs w:val="22"/>
          <w:lang w:val="sk-SK"/>
        </w:rPr>
        <w:t xml:space="preserve"> a </w:t>
      </w:r>
      <w:proofErr w:type="spellStart"/>
      <w:r w:rsidR="00B843DF" w:rsidRPr="00652B9D">
        <w:rPr>
          <w:sz w:val="22"/>
          <w:szCs w:val="22"/>
          <w:lang w:val="sk-SK"/>
        </w:rPr>
        <w:t>cy</w:t>
      </w:r>
      <w:r w:rsidRPr="00652B9D">
        <w:rPr>
          <w:sz w:val="22"/>
          <w:szCs w:val="22"/>
          <w:lang w:val="sk-SK"/>
        </w:rPr>
        <w:t>k</w:t>
      </w:r>
      <w:r w:rsidR="00B843DF" w:rsidRPr="00652B9D">
        <w:rPr>
          <w:sz w:val="22"/>
          <w:szCs w:val="22"/>
          <w:lang w:val="sk-SK"/>
        </w:rPr>
        <w:t>log</w:t>
      </w:r>
      <w:r w:rsidR="00C34A4E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anil</w:t>
      </w:r>
      <w:r w:rsidRPr="00652B9D">
        <w:rPr>
          <w:sz w:val="22"/>
          <w:szCs w:val="22"/>
          <w:lang w:val="sk-SK"/>
        </w:rPr>
        <w:t>u</w:t>
      </w:r>
      <w:proofErr w:type="spellEnd"/>
      <w:r w:rsidRPr="00652B9D">
        <w:rPr>
          <w:sz w:val="22"/>
          <w:szCs w:val="22"/>
          <w:lang w:val="sk-SK"/>
        </w:rPr>
        <w:t xml:space="preserve"> u detí zvyčajne v rozsahu pozorovanom u dospelých.</w:t>
      </w:r>
    </w:p>
    <w:p w14:paraId="2E888D6E" w14:textId="77777777" w:rsidR="00B843DF" w:rsidRPr="003B3B83" w:rsidRDefault="00B843DF" w:rsidP="005F241E">
      <w:pPr>
        <w:rPr>
          <w:sz w:val="22"/>
          <w:szCs w:val="22"/>
          <w:lang w:val="sk-SK"/>
        </w:rPr>
      </w:pPr>
    </w:p>
    <w:p w14:paraId="47A690D3" w14:textId="77777777" w:rsidR="00B843DF" w:rsidRPr="00652B9D" w:rsidRDefault="00B843DF" w:rsidP="005F241E">
      <w:pPr>
        <w:keepNext/>
        <w:rPr>
          <w:bCs/>
          <w:sz w:val="22"/>
          <w:szCs w:val="22"/>
          <w:lang w:val="sk-SK"/>
        </w:rPr>
      </w:pPr>
      <w:r w:rsidRPr="00652B9D">
        <w:rPr>
          <w:bCs/>
          <w:sz w:val="22"/>
          <w:szCs w:val="22"/>
          <w:lang w:val="sk-SK"/>
        </w:rPr>
        <w:t>Absorp</w:t>
      </w:r>
      <w:r w:rsidR="00EC65E9" w:rsidRPr="00652B9D">
        <w:rPr>
          <w:bCs/>
          <w:sz w:val="22"/>
          <w:szCs w:val="22"/>
          <w:lang w:val="sk-SK"/>
        </w:rPr>
        <w:t>c</w:t>
      </w:r>
      <w:r w:rsidRPr="00652B9D">
        <w:rPr>
          <w:bCs/>
          <w:sz w:val="22"/>
          <w:szCs w:val="22"/>
          <w:lang w:val="sk-SK"/>
        </w:rPr>
        <w:t>i</w:t>
      </w:r>
      <w:r w:rsidR="00EC65E9" w:rsidRPr="00652B9D">
        <w:rPr>
          <w:bCs/>
          <w:sz w:val="22"/>
          <w:szCs w:val="22"/>
          <w:lang w:val="sk-SK"/>
        </w:rPr>
        <w:t>a</w:t>
      </w:r>
    </w:p>
    <w:p w14:paraId="5C0EBCA7" w14:textId="77777777" w:rsidR="00A97DD5" w:rsidRPr="00652B9D" w:rsidRDefault="00A97DD5" w:rsidP="005F241E">
      <w:pPr>
        <w:keepNext/>
        <w:rPr>
          <w:sz w:val="22"/>
          <w:szCs w:val="22"/>
          <w:lang w:val="sk-SK"/>
        </w:rPr>
      </w:pPr>
    </w:p>
    <w:p w14:paraId="3C682FE1" w14:textId="77777777" w:rsidR="00B843DF" w:rsidRPr="00652B9D" w:rsidRDefault="00BF031F" w:rsidP="005F241E">
      <w:pPr>
        <w:keepNext/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Pr="00652B9D">
        <w:rPr>
          <w:sz w:val="22"/>
          <w:szCs w:val="22"/>
          <w:lang w:val="sk-SK"/>
        </w:rPr>
        <w:t>ón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r w:rsidR="00EC65E9" w:rsidRPr="00652B9D">
        <w:rPr>
          <w:sz w:val="22"/>
          <w:szCs w:val="22"/>
          <w:lang w:val="sk-SK"/>
        </w:rPr>
        <w:t xml:space="preserve">je vysoko </w:t>
      </w:r>
      <w:proofErr w:type="spellStart"/>
      <w:r w:rsidR="00EC65E9" w:rsidRPr="00652B9D">
        <w:rPr>
          <w:sz w:val="22"/>
          <w:szCs w:val="22"/>
          <w:lang w:val="sk-SK"/>
        </w:rPr>
        <w:t>lipofilná</w:t>
      </w:r>
      <w:proofErr w:type="spellEnd"/>
      <w:r w:rsidR="00EC65E9" w:rsidRPr="00652B9D">
        <w:rPr>
          <w:sz w:val="22"/>
          <w:szCs w:val="22"/>
          <w:lang w:val="sk-SK"/>
        </w:rPr>
        <w:t xml:space="preserve"> zložka s nízkou rozpustnosťou vo vode.</w:t>
      </w:r>
      <w:r w:rsidR="00B843DF" w:rsidRPr="00652B9D">
        <w:rPr>
          <w:sz w:val="22"/>
          <w:szCs w:val="22"/>
          <w:lang w:val="sk-SK"/>
        </w:rPr>
        <w:t xml:space="preserve"> </w:t>
      </w:r>
      <w:r w:rsidR="00EC65E9" w:rsidRPr="00652B9D">
        <w:rPr>
          <w:sz w:val="22"/>
          <w:szCs w:val="22"/>
          <w:lang w:val="sk-SK"/>
        </w:rPr>
        <w:t xml:space="preserve">U pacientov infikovaných </w:t>
      </w:r>
      <w:r w:rsidR="00B843DF" w:rsidRPr="00652B9D">
        <w:rPr>
          <w:sz w:val="22"/>
          <w:szCs w:val="22"/>
          <w:lang w:val="sk-SK"/>
        </w:rPr>
        <w:t>HIV</w:t>
      </w:r>
      <w:r w:rsidR="00EC65E9" w:rsidRPr="00652B9D">
        <w:rPr>
          <w:sz w:val="22"/>
          <w:szCs w:val="22"/>
          <w:lang w:val="sk-SK"/>
        </w:rPr>
        <w:t xml:space="preserve"> je absolútna biologická dostupnosť </w:t>
      </w:r>
      <w:r w:rsidR="00B843DF" w:rsidRPr="00652B9D">
        <w:rPr>
          <w:sz w:val="22"/>
          <w:szCs w:val="22"/>
          <w:lang w:val="sk-SK"/>
        </w:rPr>
        <w:t>750</w:t>
      </w:r>
      <w:r w:rsidR="000A6FD7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 xml:space="preserve">mg </w:t>
      </w:r>
      <w:r w:rsidR="00EC65E9" w:rsidRPr="00652B9D">
        <w:rPr>
          <w:sz w:val="22"/>
          <w:szCs w:val="22"/>
          <w:lang w:val="sk-SK"/>
        </w:rPr>
        <w:t xml:space="preserve">jednorazovej dávky tabliet </w:t>
      </w:r>
      <w:proofErr w:type="spellStart"/>
      <w:r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Pr="00652B9D">
        <w:rPr>
          <w:sz w:val="22"/>
          <w:szCs w:val="22"/>
          <w:lang w:val="sk-SK"/>
        </w:rPr>
        <w:t>ónu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r w:rsidR="00EC65E9" w:rsidRPr="00652B9D">
        <w:rPr>
          <w:sz w:val="22"/>
          <w:szCs w:val="22"/>
          <w:lang w:val="sk-SK"/>
        </w:rPr>
        <w:t xml:space="preserve">užitých s jedlom </w:t>
      </w:r>
      <w:r w:rsidR="00B843DF" w:rsidRPr="00652B9D">
        <w:rPr>
          <w:sz w:val="22"/>
          <w:szCs w:val="22"/>
          <w:lang w:val="sk-SK"/>
        </w:rPr>
        <w:t>23</w:t>
      </w:r>
      <w:r w:rsidR="00422807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 xml:space="preserve">% </w:t>
      </w:r>
      <w:r w:rsidR="00EC65E9" w:rsidRPr="00652B9D">
        <w:rPr>
          <w:sz w:val="22"/>
          <w:szCs w:val="22"/>
          <w:lang w:val="sk-SK"/>
        </w:rPr>
        <w:t xml:space="preserve">s </w:t>
      </w:r>
      <w:r w:rsidR="00413CEF" w:rsidRPr="00652B9D">
        <w:rPr>
          <w:sz w:val="22"/>
          <w:szCs w:val="22"/>
          <w:lang w:val="sk-SK"/>
        </w:rPr>
        <w:t>približne 45</w:t>
      </w:r>
      <w:r w:rsidR="00422807">
        <w:rPr>
          <w:sz w:val="22"/>
          <w:szCs w:val="22"/>
          <w:lang w:val="sk-SK"/>
        </w:rPr>
        <w:t> </w:t>
      </w:r>
      <w:r w:rsidR="00413CEF" w:rsidRPr="00652B9D">
        <w:rPr>
          <w:sz w:val="22"/>
          <w:szCs w:val="22"/>
          <w:lang w:val="sk-SK"/>
        </w:rPr>
        <w:t xml:space="preserve">% </w:t>
      </w:r>
      <w:proofErr w:type="spellStart"/>
      <w:r w:rsidR="00413CEF" w:rsidRPr="00652B9D">
        <w:rPr>
          <w:sz w:val="22"/>
          <w:szCs w:val="22"/>
          <w:lang w:val="sk-SK"/>
        </w:rPr>
        <w:t>interindividuálnou</w:t>
      </w:r>
      <w:proofErr w:type="spellEnd"/>
      <w:r w:rsidR="00413CEF" w:rsidRPr="00652B9D">
        <w:rPr>
          <w:sz w:val="22"/>
          <w:szCs w:val="22"/>
          <w:lang w:val="sk-SK"/>
        </w:rPr>
        <w:t xml:space="preserve"> variabilitou.</w:t>
      </w:r>
    </w:p>
    <w:p w14:paraId="0401A315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4DDA1606" w14:textId="77777777" w:rsidR="00B843DF" w:rsidRPr="003B3B83" w:rsidRDefault="00BA0E06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Potravinový tuk užitý s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ónom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zvyšuje rýchlosť a rozsah absorpcie, pričom v porovnaní s</w:t>
      </w:r>
      <w:r w:rsidR="000A6FD7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užitím nalačno zvyšuje AUC 2</w:t>
      </w:r>
      <w:r w:rsidR="000A6FD7">
        <w:rPr>
          <w:sz w:val="22"/>
          <w:szCs w:val="22"/>
          <w:lang w:val="sk-SK"/>
        </w:rPr>
        <w:noBreakHyphen/>
        <w:t> </w:t>
      </w:r>
      <w:r w:rsidR="00DB5E87" w:rsidRPr="00652B9D">
        <w:rPr>
          <w:sz w:val="22"/>
          <w:szCs w:val="22"/>
          <w:lang w:val="sk-SK"/>
        </w:rPr>
        <w:t>až</w:t>
      </w:r>
      <w:r w:rsidR="000A6FD7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3</w:t>
      </w:r>
      <w:r w:rsidR="000A6FD7">
        <w:rPr>
          <w:sz w:val="22"/>
          <w:szCs w:val="22"/>
          <w:lang w:val="sk-SK"/>
        </w:rPr>
        <w:noBreakHyphen/>
      </w:r>
      <w:r w:rsidRPr="00652B9D">
        <w:rPr>
          <w:sz w:val="22"/>
          <w:szCs w:val="22"/>
          <w:lang w:val="sk-SK"/>
        </w:rPr>
        <w:t xml:space="preserve">násobne a </w:t>
      </w:r>
      <w:proofErr w:type="spellStart"/>
      <w:r w:rsidRPr="00652B9D">
        <w:rPr>
          <w:sz w:val="22"/>
          <w:szCs w:val="22"/>
          <w:lang w:val="sk-SK"/>
        </w:rPr>
        <w:t>C</w:t>
      </w:r>
      <w:r w:rsidRPr="00652B9D">
        <w:rPr>
          <w:sz w:val="22"/>
          <w:szCs w:val="22"/>
          <w:vertAlign w:val="subscript"/>
          <w:lang w:val="sk-SK"/>
        </w:rPr>
        <w:t>max</w:t>
      </w:r>
      <w:proofErr w:type="spellEnd"/>
      <w:r w:rsidRPr="00652B9D">
        <w:rPr>
          <w:sz w:val="22"/>
          <w:szCs w:val="22"/>
          <w:vertAlign w:val="subscript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5</w:t>
      </w:r>
      <w:r w:rsidR="000A6FD7">
        <w:rPr>
          <w:sz w:val="22"/>
          <w:szCs w:val="22"/>
          <w:lang w:val="sk-SK"/>
        </w:rPr>
        <w:noBreakHyphen/>
      </w:r>
      <w:r w:rsidRPr="00652B9D">
        <w:rPr>
          <w:sz w:val="22"/>
          <w:szCs w:val="22"/>
          <w:lang w:val="sk-SK"/>
        </w:rPr>
        <w:t xml:space="preserve">násobne. Pacientom sa odporúča, aby tablety </w:t>
      </w:r>
      <w:proofErr w:type="spellStart"/>
      <w:r w:rsidR="00B843DF" w:rsidRPr="00652B9D">
        <w:rPr>
          <w:sz w:val="22"/>
          <w:szCs w:val="22"/>
          <w:lang w:val="sk-SK"/>
        </w:rPr>
        <w:t>Malarone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užívali s jedlom alebo mliečnym nápojom </w:t>
      </w:r>
      <w:r w:rsidR="00B843DF" w:rsidRPr="00652B9D">
        <w:rPr>
          <w:sz w:val="22"/>
          <w:szCs w:val="22"/>
          <w:lang w:val="sk-SK"/>
        </w:rPr>
        <w:t>(</w:t>
      </w:r>
      <w:r w:rsidRPr="00652B9D">
        <w:rPr>
          <w:sz w:val="22"/>
          <w:szCs w:val="22"/>
          <w:lang w:val="sk-SK"/>
        </w:rPr>
        <w:t>pozri časť</w:t>
      </w:r>
      <w:r w:rsidR="000A6FD7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4.2).</w:t>
      </w:r>
    </w:p>
    <w:p w14:paraId="428BC344" w14:textId="77777777" w:rsidR="00B843DF" w:rsidRPr="000A6FD7" w:rsidRDefault="00B843DF" w:rsidP="005F241E">
      <w:pPr>
        <w:rPr>
          <w:sz w:val="22"/>
          <w:szCs w:val="22"/>
          <w:lang w:val="sk-SK"/>
        </w:rPr>
      </w:pPr>
    </w:p>
    <w:p w14:paraId="06CECE70" w14:textId="71731E28" w:rsidR="00B843DF" w:rsidRPr="00652B9D" w:rsidRDefault="00B843DF" w:rsidP="005F241E">
      <w:pPr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Pr="00652B9D">
        <w:rPr>
          <w:sz w:val="22"/>
          <w:szCs w:val="22"/>
          <w:lang w:val="sk-SK"/>
        </w:rPr>
        <w:t>an</w:t>
      </w:r>
      <w:r w:rsidR="00374D6A">
        <w:rPr>
          <w:sz w:val="22"/>
          <w:szCs w:val="22"/>
          <w:lang w:val="sk-SK"/>
        </w:rPr>
        <w:t>í</w:t>
      </w:r>
      <w:r w:rsidRPr="00652B9D">
        <w:rPr>
          <w:sz w:val="22"/>
          <w:szCs w:val="22"/>
          <w:lang w:val="sk-SK"/>
        </w:rPr>
        <w:t>l</w:t>
      </w:r>
      <w:r w:rsidR="00BA0E06" w:rsidRPr="00652B9D">
        <w:rPr>
          <w:sz w:val="22"/>
          <w:szCs w:val="22"/>
          <w:lang w:val="sk-SK"/>
        </w:rPr>
        <w:t>ium</w:t>
      </w:r>
      <w:proofErr w:type="spellEnd"/>
      <w:r w:rsidR="00374D6A">
        <w:rPr>
          <w:sz w:val="22"/>
          <w:szCs w:val="22"/>
          <w:lang w:val="sk-SK"/>
        </w:rPr>
        <w:t>-</w:t>
      </w:r>
      <w:r w:rsidRPr="00652B9D">
        <w:rPr>
          <w:sz w:val="22"/>
          <w:szCs w:val="22"/>
          <w:lang w:val="sk-SK"/>
        </w:rPr>
        <w:t xml:space="preserve">chlorid </w:t>
      </w:r>
      <w:r w:rsidR="00BA0E06" w:rsidRPr="00652B9D">
        <w:rPr>
          <w:sz w:val="22"/>
          <w:szCs w:val="22"/>
          <w:lang w:val="sk-SK"/>
        </w:rPr>
        <w:t>sa rýchlo a rozsiahlo absorbuje bez ohľadu na príjem jedla.</w:t>
      </w:r>
    </w:p>
    <w:p w14:paraId="46D26425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1058C7E5" w14:textId="77777777" w:rsidR="00B843DF" w:rsidRPr="00652B9D" w:rsidRDefault="00B843DF" w:rsidP="005F241E">
      <w:pPr>
        <w:keepNext/>
        <w:rPr>
          <w:bCs/>
          <w:sz w:val="22"/>
          <w:szCs w:val="22"/>
          <w:lang w:val="sk-SK"/>
        </w:rPr>
      </w:pPr>
      <w:r w:rsidRPr="00652B9D">
        <w:rPr>
          <w:bCs/>
          <w:sz w:val="22"/>
          <w:szCs w:val="22"/>
          <w:lang w:val="sk-SK"/>
        </w:rPr>
        <w:t>Distrib</w:t>
      </w:r>
      <w:r w:rsidR="00BA0E06" w:rsidRPr="00652B9D">
        <w:rPr>
          <w:bCs/>
          <w:sz w:val="22"/>
          <w:szCs w:val="22"/>
          <w:lang w:val="sk-SK"/>
        </w:rPr>
        <w:t>úcia</w:t>
      </w:r>
    </w:p>
    <w:p w14:paraId="38F9579C" w14:textId="77777777" w:rsidR="00A97DD5" w:rsidRPr="00652B9D" w:rsidRDefault="00A97DD5" w:rsidP="005F241E">
      <w:pPr>
        <w:keepNext/>
        <w:rPr>
          <w:sz w:val="22"/>
          <w:szCs w:val="22"/>
          <w:lang w:val="sk-SK"/>
        </w:rPr>
      </w:pPr>
    </w:p>
    <w:p w14:paraId="50A2D715" w14:textId="77777777" w:rsidR="00B843DF" w:rsidRPr="00652B9D" w:rsidRDefault="002813DA" w:rsidP="005F241E">
      <w:pPr>
        <w:keepNext/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Z</w:t>
      </w:r>
      <w:r w:rsidR="001D5F0B">
        <w:rPr>
          <w:sz w:val="22"/>
          <w:szCs w:val="22"/>
          <w:lang w:val="sk-SK"/>
        </w:rPr>
        <w:t>danlivý</w:t>
      </w:r>
      <w:r w:rsidRPr="00652B9D">
        <w:rPr>
          <w:sz w:val="22"/>
          <w:szCs w:val="22"/>
          <w:lang w:val="sk-SK"/>
        </w:rPr>
        <w:t xml:space="preserve"> distribučný objem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ónu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sz w:val="22"/>
          <w:szCs w:val="22"/>
          <w:lang w:val="sk-SK"/>
        </w:rPr>
        <w:t xml:space="preserve">a </w:t>
      </w:r>
      <w:proofErr w:type="spellStart"/>
      <w:r w:rsidR="00B843DF"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anil</w:t>
      </w:r>
      <w:r w:rsidRPr="00652B9D">
        <w:rPr>
          <w:sz w:val="22"/>
          <w:szCs w:val="22"/>
          <w:lang w:val="sk-SK"/>
        </w:rPr>
        <w:t>u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="00975557" w:rsidRPr="00652B9D">
        <w:rPr>
          <w:sz w:val="22"/>
          <w:szCs w:val="22"/>
          <w:lang w:val="sk-SK"/>
        </w:rPr>
        <w:t>závisí od telesnej hmotnosti</w:t>
      </w:r>
      <w:r w:rsidR="00B843DF" w:rsidRPr="00652B9D">
        <w:rPr>
          <w:sz w:val="22"/>
          <w:szCs w:val="22"/>
          <w:lang w:val="sk-SK"/>
        </w:rPr>
        <w:t>.</w:t>
      </w:r>
    </w:p>
    <w:p w14:paraId="1222318D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44D3976F" w14:textId="77777777" w:rsidR="00B843DF" w:rsidRPr="00652B9D" w:rsidRDefault="00B843DF" w:rsidP="005F241E">
      <w:pPr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8E7289" w:rsidRPr="00652B9D">
        <w:rPr>
          <w:sz w:val="22"/>
          <w:szCs w:val="22"/>
          <w:lang w:val="sk-SK"/>
        </w:rPr>
        <w:t>ón</w:t>
      </w:r>
      <w:proofErr w:type="spellEnd"/>
      <w:r w:rsidR="00975557" w:rsidRPr="00652B9D">
        <w:rPr>
          <w:sz w:val="22"/>
          <w:szCs w:val="22"/>
          <w:lang w:val="sk-SK"/>
        </w:rPr>
        <w:t xml:space="preserve"> sa vo veľkej miere viaže na bielkoviny </w:t>
      </w:r>
      <w:r w:rsidRPr="00652B9D">
        <w:rPr>
          <w:sz w:val="22"/>
          <w:szCs w:val="22"/>
          <w:lang w:val="sk-SK"/>
        </w:rPr>
        <w:t>(99</w:t>
      </w:r>
      <w:r w:rsidR="001D5F0B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%)</w:t>
      </w:r>
      <w:r w:rsidR="00975557" w:rsidRPr="00652B9D">
        <w:rPr>
          <w:sz w:val="22"/>
          <w:szCs w:val="22"/>
          <w:lang w:val="sk-SK"/>
        </w:rPr>
        <w:t xml:space="preserve">, ale </w:t>
      </w:r>
      <w:r w:rsidR="00975557" w:rsidRPr="00652B9D">
        <w:rPr>
          <w:i/>
          <w:iCs/>
          <w:sz w:val="22"/>
          <w:szCs w:val="22"/>
          <w:lang w:val="sk-SK"/>
        </w:rPr>
        <w:t xml:space="preserve">in vitro </w:t>
      </w:r>
      <w:proofErr w:type="spellStart"/>
      <w:r w:rsidR="00975557" w:rsidRPr="00652B9D">
        <w:rPr>
          <w:sz w:val="22"/>
          <w:szCs w:val="22"/>
          <w:lang w:val="sk-SK"/>
        </w:rPr>
        <w:t>nevytesňuje</w:t>
      </w:r>
      <w:proofErr w:type="spellEnd"/>
      <w:r w:rsidR="00975557" w:rsidRPr="00652B9D">
        <w:rPr>
          <w:sz w:val="22"/>
          <w:szCs w:val="22"/>
          <w:lang w:val="sk-SK"/>
        </w:rPr>
        <w:t xml:space="preserve"> z väzby ostatné liečivá, ktoré sa vo veľkej miere viažu na bielkoviny, čo svedčí o tom, že významné liekové interakcie vznikajúce </w:t>
      </w:r>
      <w:proofErr w:type="spellStart"/>
      <w:r w:rsidR="00975557" w:rsidRPr="00652B9D">
        <w:rPr>
          <w:sz w:val="22"/>
          <w:szCs w:val="22"/>
          <w:lang w:val="sk-SK"/>
        </w:rPr>
        <w:t>vytesňovaním</w:t>
      </w:r>
      <w:proofErr w:type="spellEnd"/>
      <w:r w:rsidR="00975557" w:rsidRPr="00652B9D">
        <w:rPr>
          <w:sz w:val="22"/>
          <w:szCs w:val="22"/>
          <w:lang w:val="sk-SK"/>
        </w:rPr>
        <w:t xml:space="preserve"> z väzby nie sú pravdepodobné</w:t>
      </w:r>
      <w:r w:rsidRPr="00652B9D">
        <w:rPr>
          <w:sz w:val="22"/>
          <w:szCs w:val="22"/>
          <w:lang w:val="sk-SK"/>
        </w:rPr>
        <w:t>.</w:t>
      </w:r>
    </w:p>
    <w:p w14:paraId="0465536C" w14:textId="77777777" w:rsidR="007F1C0B" w:rsidRPr="00652B9D" w:rsidRDefault="007F1C0B" w:rsidP="005F241E">
      <w:pPr>
        <w:rPr>
          <w:sz w:val="22"/>
          <w:szCs w:val="22"/>
          <w:lang w:val="sk-SK"/>
        </w:rPr>
      </w:pPr>
    </w:p>
    <w:p w14:paraId="3E3DFE65" w14:textId="77777777" w:rsidR="00B843DF" w:rsidRPr="00652B9D" w:rsidRDefault="00975557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Po perorálnom podaní je distribučný objem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ónu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u dospelých a detí približne</w:t>
      </w:r>
      <w:r w:rsidR="00B843DF" w:rsidRPr="00652B9D">
        <w:rPr>
          <w:sz w:val="22"/>
          <w:szCs w:val="22"/>
          <w:lang w:val="sk-SK"/>
        </w:rPr>
        <w:t xml:space="preserve"> 8</w:t>
      </w:r>
      <w:r w:rsidRPr="00652B9D">
        <w:rPr>
          <w:sz w:val="22"/>
          <w:szCs w:val="22"/>
          <w:lang w:val="sk-SK"/>
        </w:rPr>
        <w:t>,</w:t>
      </w:r>
      <w:r w:rsidR="00B843DF" w:rsidRPr="00652B9D">
        <w:rPr>
          <w:sz w:val="22"/>
          <w:szCs w:val="22"/>
          <w:lang w:val="sk-SK"/>
        </w:rPr>
        <w:t>8</w:t>
      </w:r>
      <w:r w:rsidR="001D5F0B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l</w:t>
      </w:r>
      <w:r w:rsidR="00B843DF" w:rsidRPr="00652B9D">
        <w:rPr>
          <w:sz w:val="22"/>
          <w:szCs w:val="22"/>
          <w:lang w:val="sk-SK"/>
        </w:rPr>
        <w:t>/</w:t>
      </w:r>
      <w:r w:rsidRPr="00652B9D">
        <w:rPr>
          <w:sz w:val="22"/>
          <w:szCs w:val="22"/>
          <w:lang w:val="sk-SK"/>
        </w:rPr>
        <w:t>k</w:t>
      </w:r>
      <w:r w:rsidR="00B843DF" w:rsidRPr="00652B9D">
        <w:rPr>
          <w:sz w:val="22"/>
          <w:szCs w:val="22"/>
          <w:lang w:val="sk-SK"/>
        </w:rPr>
        <w:t>g.</w:t>
      </w:r>
    </w:p>
    <w:p w14:paraId="6B555051" w14:textId="77777777" w:rsidR="00B843DF" w:rsidRPr="001D5F0B" w:rsidRDefault="00B843DF" w:rsidP="005F241E">
      <w:pPr>
        <w:rPr>
          <w:sz w:val="22"/>
          <w:szCs w:val="22"/>
          <w:lang w:val="sk-SK"/>
        </w:rPr>
      </w:pPr>
    </w:p>
    <w:p w14:paraId="42F71548" w14:textId="77777777" w:rsidR="00B843DF" w:rsidRPr="00652B9D" w:rsidRDefault="006A4397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Väzba </w:t>
      </w:r>
      <w:proofErr w:type="spellStart"/>
      <w:r w:rsidRPr="00652B9D">
        <w:rPr>
          <w:sz w:val="22"/>
          <w:szCs w:val="22"/>
          <w:lang w:val="sk-SK"/>
        </w:rPr>
        <w:t>p</w:t>
      </w:r>
      <w:r w:rsidR="00B843DF" w:rsidRPr="00652B9D">
        <w:rPr>
          <w:sz w:val="22"/>
          <w:szCs w:val="22"/>
          <w:lang w:val="sk-SK"/>
        </w:rPr>
        <w:t>rog</w:t>
      </w:r>
      <w:r w:rsidR="00C34A4E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anil</w:t>
      </w:r>
      <w:r w:rsidRPr="00652B9D">
        <w:rPr>
          <w:sz w:val="22"/>
          <w:szCs w:val="22"/>
          <w:lang w:val="sk-SK"/>
        </w:rPr>
        <w:t>u</w:t>
      </w:r>
      <w:proofErr w:type="spellEnd"/>
      <w:r w:rsidRPr="00652B9D">
        <w:rPr>
          <w:sz w:val="22"/>
          <w:szCs w:val="22"/>
          <w:lang w:val="sk-SK"/>
        </w:rPr>
        <w:t xml:space="preserve"> na bielkoviny je </w:t>
      </w:r>
      <w:r w:rsidR="00B843DF" w:rsidRPr="00652B9D">
        <w:rPr>
          <w:sz w:val="22"/>
          <w:szCs w:val="22"/>
          <w:lang w:val="sk-SK"/>
        </w:rPr>
        <w:t>75</w:t>
      </w:r>
      <w:r w:rsidR="001D5F0B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%.</w:t>
      </w:r>
      <w:r w:rsidR="00B843DF" w:rsidRPr="00652B9D">
        <w:rPr>
          <w:b/>
          <w:i/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Po perorálnom podaní je distribučný objem </w:t>
      </w:r>
      <w:proofErr w:type="spellStart"/>
      <w:r w:rsidR="00B843DF"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anil</w:t>
      </w:r>
      <w:r w:rsidRPr="00652B9D">
        <w:rPr>
          <w:sz w:val="22"/>
          <w:szCs w:val="22"/>
          <w:lang w:val="sk-SK"/>
        </w:rPr>
        <w:t>u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u</w:t>
      </w:r>
      <w:r w:rsidR="001D5F0B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dospelých a detí v rozsahu od</w:t>
      </w:r>
      <w:r w:rsidR="001D5F0B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20</w:t>
      </w:r>
      <w:r w:rsidR="001D5F0B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d</w:t>
      </w:r>
      <w:r w:rsidR="00B843DF" w:rsidRPr="00652B9D">
        <w:rPr>
          <w:sz w:val="22"/>
          <w:szCs w:val="22"/>
          <w:lang w:val="sk-SK"/>
        </w:rPr>
        <w:t>o</w:t>
      </w:r>
      <w:r w:rsidR="001D5F0B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42</w:t>
      </w:r>
      <w:r w:rsidR="001D5F0B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l</w:t>
      </w:r>
      <w:r w:rsidR="00B843DF" w:rsidRPr="00652B9D">
        <w:rPr>
          <w:sz w:val="22"/>
          <w:szCs w:val="22"/>
          <w:lang w:val="sk-SK"/>
        </w:rPr>
        <w:t>/kg.</w:t>
      </w:r>
    </w:p>
    <w:p w14:paraId="1BF84DB1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1FC92D4F" w14:textId="77777777" w:rsidR="00B843DF" w:rsidRPr="00652B9D" w:rsidRDefault="00E57144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V ľudskej plazme nebola väzba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ónu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sz w:val="22"/>
          <w:szCs w:val="22"/>
          <w:lang w:val="sk-SK"/>
        </w:rPr>
        <w:t xml:space="preserve">a </w:t>
      </w:r>
      <w:proofErr w:type="spellStart"/>
      <w:r w:rsidR="00B843DF"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anil</w:t>
      </w:r>
      <w:r w:rsidRPr="00652B9D">
        <w:rPr>
          <w:sz w:val="22"/>
          <w:szCs w:val="22"/>
          <w:lang w:val="sk-SK"/>
        </w:rPr>
        <w:t>u</w:t>
      </w:r>
      <w:proofErr w:type="spellEnd"/>
      <w:r w:rsidRPr="00652B9D">
        <w:rPr>
          <w:sz w:val="22"/>
          <w:szCs w:val="22"/>
          <w:lang w:val="sk-SK"/>
        </w:rPr>
        <w:t xml:space="preserve"> ovplyvnená ich vzájomnou prítomnosťou</w:t>
      </w:r>
      <w:r w:rsidR="00B843DF" w:rsidRPr="00652B9D">
        <w:rPr>
          <w:sz w:val="22"/>
          <w:szCs w:val="22"/>
          <w:lang w:val="sk-SK"/>
        </w:rPr>
        <w:t>.</w:t>
      </w:r>
    </w:p>
    <w:p w14:paraId="03DBF769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28AF241A" w14:textId="77777777" w:rsidR="00B843DF" w:rsidRPr="00652B9D" w:rsidRDefault="003B3B83" w:rsidP="005F241E">
      <w:pPr>
        <w:rPr>
          <w:bCs/>
          <w:sz w:val="22"/>
          <w:szCs w:val="22"/>
          <w:lang w:val="sk-SK"/>
        </w:rPr>
      </w:pPr>
      <w:proofErr w:type="spellStart"/>
      <w:r>
        <w:rPr>
          <w:bCs/>
          <w:sz w:val="22"/>
          <w:szCs w:val="22"/>
          <w:lang w:val="sk-SK"/>
        </w:rPr>
        <w:t>Biotransformácia</w:t>
      </w:r>
      <w:proofErr w:type="spellEnd"/>
    </w:p>
    <w:p w14:paraId="6208D2AF" w14:textId="77777777" w:rsidR="00A97DD5" w:rsidRPr="00652B9D" w:rsidRDefault="00A97DD5" w:rsidP="005F241E">
      <w:pPr>
        <w:rPr>
          <w:sz w:val="22"/>
          <w:szCs w:val="22"/>
          <w:lang w:val="sk-SK"/>
        </w:rPr>
      </w:pPr>
    </w:p>
    <w:p w14:paraId="07876A3B" w14:textId="77777777" w:rsidR="00B843DF" w:rsidRPr="00652B9D" w:rsidRDefault="004C3912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Neexistujú dôkazy o tom, že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je metabolizovaný a dochádza k zanedbateľnému vylučovaniu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ónu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močom, pričom </w:t>
      </w:r>
      <w:r w:rsidR="00B76469" w:rsidRPr="00652B9D">
        <w:rPr>
          <w:sz w:val="22"/>
          <w:szCs w:val="22"/>
          <w:lang w:val="sk-SK"/>
        </w:rPr>
        <w:t xml:space="preserve">východiskové liečivo je vylúčené hlavne </w:t>
      </w:r>
      <w:r w:rsidR="00B843DF" w:rsidRPr="00652B9D">
        <w:rPr>
          <w:sz w:val="22"/>
          <w:szCs w:val="22"/>
          <w:lang w:val="sk-SK"/>
        </w:rPr>
        <w:t>(90</w:t>
      </w:r>
      <w:r w:rsidR="001D5F0B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 xml:space="preserve">%) </w:t>
      </w:r>
      <w:r w:rsidR="00B76469" w:rsidRPr="00652B9D">
        <w:rPr>
          <w:sz w:val="22"/>
          <w:szCs w:val="22"/>
          <w:lang w:val="sk-SK"/>
        </w:rPr>
        <w:t>v nezmene</w:t>
      </w:r>
      <w:r w:rsidR="006312EE" w:rsidRPr="00652B9D">
        <w:rPr>
          <w:sz w:val="22"/>
          <w:szCs w:val="22"/>
          <w:lang w:val="sk-SK"/>
        </w:rPr>
        <w:t>ne</w:t>
      </w:r>
      <w:r w:rsidR="00B76469" w:rsidRPr="00652B9D">
        <w:rPr>
          <w:sz w:val="22"/>
          <w:szCs w:val="22"/>
          <w:lang w:val="sk-SK"/>
        </w:rPr>
        <w:t>j forme stolicou.</w:t>
      </w:r>
    </w:p>
    <w:p w14:paraId="71030710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1C32E268" w14:textId="6858E5C8" w:rsidR="00B843DF" w:rsidRPr="00652B9D" w:rsidRDefault="00B843DF" w:rsidP="005F241E">
      <w:pPr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t>Prog</w:t>
      </w:r>
      <w:r w:rsidR="00C34A4E">
        <w:rPr>
          <w:sz w:val="22"/>
          <w:szCs w:val="22"/>
          <w:lang w:val="sk-SK"/>
        </w:rPr>
        <w:t>u</w:t>
      </w:r>
      <w:r w:rsidRPr="00652B9D">
        <w:rPr>
          <w:sz w:val="22"/>
          <w:szCs w:val="22"/>
          <w:lang w:val="sk-SK"/>
        </w:rPr>
        <w:t>an</w:t>
      </w:r>
      <w:r w:rsidR="00374D6A">
        <w:rPr>
          <w:sz w:val="22"/>
          <w:szCs w:val="22"/>
          <w:lang w:val="sk-SK"/>
        </w:rPr>
        <w:t>í</w:t>
      </w:r>
      <w:r w:rsidRPr="00652B9D">
        <w:rPr>
          <w:sz w:val="22"/>
          <w:szCs w:val="22"/>
          <w:lang w:val="sk-SK"/>
        </w:rPr>
        <w:t>l</w:t>
      </w:r>
      <w:r w:rsidR="00B76469" w:rsidRPr="00652B9D">
        <w:rPr>
          <w:sz w:val="22"/>
          <w:szCs w:val="22"/>
          <w:lang w:val="sk-SK"/>
        </w:rPr>
        <w:t>ium</w:t>
      </w:r>
      <w:proofErr w:type="spellEnd"/>
      <w:r w:rsidR="00374D6A">
        <w:rPr>
          <w:sz w:val="22"/>
          <w:szCs w:val="22"/>
          <w:lang w:val="sk-SK"/>
        </w:rPr>
        <w:t>-</w:t>
      </w:r>
      <w:r w:rsidRPr="00652B9D">
        <w:rPr>
          <w:sz w:val="22"/>
          <w:szCs w:val="22"/>
          <w:lang w:val="sk-SK"/>
        </w:rPr>
        <w:t>chlorid</w:t>
      </w:r>
      <w:r w:rsidR="00B76469" w:rsidRPr="00652B9D">
        <w:rPr>
          <w:sz w:val="22"/>
          <w:szCs w:val="22"/>
          <w:lang w:val="sk-SK"/>
        </w:rPr>
        <w:t xml:space="preserve"> je čiastočne metabolizovaný, hlavne </w:t>
      </w:r>
      <w:proofErr w:type="spellStart"/>
      <w:r w:rsidR="006312EE" w:rsidRPr="00652B9D">
        <w:rPr>
          <w:sz w:val="22"/>
          <w:szCs w:val="22"/>
          <w:lang w:val="sk-SK"/>
        </w:rPr>
        <w:t>izoenzýmom</w:t>
      </w:r>
      <w:proofErr w:type="spellEnd"/>
      <w:r w:rsidR="006312EE" w:rsidRPr="00652B9D">
        <w:rPr>
          <w:sz w:val="22"/>
          <w:szCs w:val="22"/>
          <w:lang w:val="sk-SK"/>
        </w:rPr>
        <w:t xml:space="preserve"> 2C19 polymorfného </w:t>
      </w:r>
      <w:proofErr w:type="spellStart"/>
      <w:r w:rsidR="006312EE" w:rsidRPr="00652B9D">
        <w:rPr>
          <w:sz w:val="22"/>
          <w:szCs w:val="22"/>
          <w:lang w:val="sk-SK"/>
        </w:rPr>
        <w:t>cytoch</w:t>
      </w:r>
      <w:r w:rsidR="00DB5E87" w:rsidRPr="00652B9D">
        <w:rPr>
          <w:sz w:val="22"/>
          <w:szCs w:val="22"/>
          <w:lang w:val="sk-SK"/>
        </w:rPr>
        <w:t>ró</w:t>
      </w:r>
      <w:r w:rsidR="006312EE" w:rsidRPr="00652B9D">
        <w:rPr>
          <w:sz w:val="22"/>
          <w:szCs w:val="22"/>
          <w:lang w:val="sk-SK"/>
        </w:rPr>
        <w:t>mu</w:t>
      </w:r>
      <w:proofErr w:type="spellEnd"/>
      <w:r w:rsidR="006312EE" w:rsidRPr="00652B9D">
        <w:rPr>
          <w:sz w:val="22"/>
          <w:szCs w:val="22"/>
          <w:lang w:val="sk-SK"/>
        </w:rPr>
        <w:t xml:space="preserve"> P450, s menej ako 40</w:t>
      </w:r>
      <w:r w:rsidR="001D5F0B">
        <w:rPr>
          <w:sz w:val="22"/>
          <w:szCs w:val="22"/>
          <w:lang w:val="sk-SK"/>
        </w:rPr>
        <w:t> </w:t>
      </w:r>
      <w:r w:rsidR="006312EE" w:rsidRPr="00652B9D">
        <w:rPr>
          <w:sz w:val="22"/>
          <w:szCs w:val="22"/>
          <w:lang w:val="sk-SK"/>
        </w:rPr>
        <w:t xml:space="preserve">% vylúčenými v nezmenenej forme močom. Jeho </w:t>
      </w:r>
      <w:proofErr w:type="spellStart"/>
      <w:r w:rsidR="006312EE" w:rsidRPr="00652B9D">
        <w:rPr>
          <w:sz w:val="22"/>
          <w:szCs w:val="22"/>
          <w:lang w:val="sk-SK"/>
        </w:rPr>
        <w:t>metabolity</w:t>
      </w:r>
      <w:proofErr w:type="spellEnd"/>
      <w:r w:rsidR="00B65911" w:rsidRPr="00652B9D">
        <w:rPr>
          <w:sz w:val="22"/>
          <w:szCs w:val="22"/>
          <w:lang w:val="sk-SK"/>
        </w:rPr>
        <w:t>,</w:t>
      </w:r>
      <w:r w:rsidR="006312EE" w:rsidRPr="00652B9D">
        <w:rPr>
          <w:sz w:val="22"/>
          <w:szCs w:val="22"/>
          <w:lang w:val="sk-SK"/>
        </w:rPr>
        <w:t xml:space="preserve"> </w:t>
      </w:r>
      <w:proofErr w:type="spellStart"/>
      <w:r w:rsidRPr="00652B9D">
        <w:rPr>
          <w:sz w:val="22"/>
          <w:szCs w:val="22"/>
          <w:lang w:val="sk-SK"/>
        </w:rPr>
        <w:t>cy</w:t>
      </w:r>
      <w:r w:rsidR="006312EE" w:rsidRPr="00652B9D">
        <w:rPr>
          <w:sz w:val="22"/>
          <w:szCs w:val="22"/>
          <w:lang w:val="sk-SK"/>
        </w:rPr>
        <w:t>k</w:t>
      </w:r>
      <w:r w:rsidRPr="00652B9D">
        <w:rPr>
          <w:sz w:val="22"/>
          <w:szCs w:val="22"/>
          <w:lang w:val="sk-SK"/>
        </w:rPr>
        <w:t>log</w:t>
      </w:r>
      <w:r w:rsidR="00C34A4E">
        <w:rPr>
          <w:sz w:val="22"/>
          <w:szCs w:val="22"/>
          <w:lang w:val="sk-SK"/>
        </w:rPr>
        <w:t>u</w:t>
      </w:r>
      <w:r w:rsidRPr="00652B9D">
        <w:rPr>
          <w:sz w:val="22"/>
          <w:szCs w:val="22"/>
          <w:lang w:val="sk-SK"/>
        </w:rPr>
        <w:t>anil</w:t>
      </w:r>
      <w:proofErr w:type="spellEnd"/>
      <w:r w:rsidRPr="00652B9D">
        <w:rPr>
          <w:sz w:val="22"/>
          <w:szCs w:val="22"/>
          <w:lang w:val="sk-SK"/>
        </w:rPr>
        <w:t xml:space="preserve"> a 4</w:t>
      </w:r>
      <w:r w:rsidR="00B65911" w:rsidRPr="00652B9D">
        <w:rPr>
          <w:sz w:val="22"/>
          <w:szCs w:val="22"/>
          <w:lang w:val="sk-SK"/>
        </w:rPr>
        <w:noBreakHyphen/>
      </w:r>
      <w:r w:rsidRPr="00652B9D">
        <w:rPr>
          <w:sz w:val="22"/>
          <w:szCs w:val="22"/>
          <w:lang w:val="sk-SK"/>
        </w:rPr>
        <w:t>chloro</w:t>
      </w:r>
      <w:r w:rsidR="006312EE" w:rsidRPr="00652B9D">
        <w:rPr>
          <w:sz w:val="22"/>
          <w:szCs w:val="22"/>
          <w:lang w:val="sk-SK"/>
        </w:rPr>
        <w:t>f</w:t>
      </w:r>
      <w:r w:rsidRPr="00652B9D">
        <w:rPr>
          <w:sz w:val="22"/>
          <w:szCs w:val="22"/>
          <w:lang w:val="sk-SK"/>
        </w:rPr>
        <w:t>enylbig</w:t>
      </w:r>
      <w:r w:rsidR="00D010FC">
        <w:rPr>
          <w:sz w:val="22"/>
          <w:szCs w:val="22"/>
          <w:lang w:val="sk-SK"/>
        </w:rPr>
        <w:t>u</w:t>
      </w:r>
      <w:r w:rsidRPr="00652B9D">
        <w:rPr>
          <w:sz w:val="22"/>
          <w:szCs w:val="22"/>
          <w:lang w:val="sk-SK"/>
        </w:rPr>
        <w:t>anid</w:t>
      </w:r>
      <w:r w:rsidR="006312EE" w:rsidRPr="00652B9D">
        <w:rPr>
          <w:sz w:val="22"/>
          <w:szCs w:val="22"/>
          <w:lang w:val="sk-SK"/>
        </w:rPr>
        <w:t>, sa tiež vylučujú močom</w:t>
      </w:r>
      <w:r w:rsidRPr="00652B9D">
        <w:rPr>
          <w:sz w:val="22"/>
          <w:szCs w:val="22"/>
          <w:lang w:val="sk-SK"/>
        </w:rPr>
        <w:t>.</w:t>
      </w:r>
    </w:p>
    <w:p w14:paraId="67247157" w14:textId="77777777" w:rsidR="00B843DF" w:rsidRPr="00652B9D" w:rsidRDefault="00B843DF" w:rsidP="005F241E">
      <w:pPr>
        <w:rPr>
          <w:i/>
          <w:sz w:val="22"/>
          <w:szCs w:val="22"/>
          <w:lang w:val="sk-SK"/>
        </w:rPr>
      </w:pPr>
    </w:p>
    <w:p w14:paraId="7C1D1455" w14:textId="77777777" w:rsidR="00B843DF" w:rsidRPr="00652B9D" w:rsidRDefault="006312EE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Zdá sa, že počas podávania </w:t>
      </w:r>
      <w:proofErr w:type="spellStart"/>
      <w:r w:rsidR="00B843DF" w:rsidRPr="00652B9D">
        <w:rPr>
          <w:sz w:val="22"/>
          <w:szCs w:val="22"/>
          <w:lang w:val="sk-SK"/>
        </w:rPr>
        <w:t>Malarone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v odporúčaných dávkach stav metabolizmu </w:t>
      </w:r>
      <w:proofErr w:type="spellStart"/>
      <w:r w:rsidRPr="00652B9D">
        <w:rPr>
          <w:sz w:val="22"/>
          <w:szCs w:val="22"/>
          <w:lang w:val="sk-SK"/>
        </w:rPr>
        <w:t>prog</w:t>
      </w:r>
      <w:r w:rsidR="00D010FC">
        <w:rPr>
          <w:sz w:val="22"/>
          <w:szCs w:val="22"/>
          <w:lang w:val="sk-SK"/>
        </w:rPr>
        <w:t>u</w:t>
      </w:r>
      <w:r w:rsidRPr="00652B9D">
        <w:rPr>
          <w:sz w:val="22"/>
          <w:szCs w:val="22"/>
          <w:lang w:val="sk-SK"/>
        </w:rPr>
        <w:t>anilu</w:t>
      </w:r>
      <w:proofErr w:type="spellEnd"/>
      <w:r w:rsidRPr="00652B9D">
        <w:rPr>
          <w:sz w:val="22"/>
          <w:szCs w:val="22"/>
          <w:lang w:val="sk-SK"/>
        </w:rPr>
        <w:t xml:space="preserve"> nemá žiadn</w:t>
      </w:r>
      <w:r w:rsidR="00DB5E87" w:rsidRPr="00652B9D">
        <w:rPr>
          <w:sz w:val="22"/>
          <w:szCs w:val="22"/>
          <w:lang w:val="sk-SK"/>
        </w:rPr>
        <w:t>y</w:t>
      </w:r>
      <w:r w:rsidRPr="00652B9D">
        <w:rPr>
          <w:sz w:val="22"/>
          <w:szCs w:val="22"/>
          <w:lang w:val="sk-SK"/>
        </w:rPr>
        <w:t xml:space="preserve"> </w:t>
      </w:r>
      <w:r w:rsidR="00DB5E87" w:rsidRPr="00652B9D">
        <w:rPr>
          <w:sz w:val="22"/>
          <w:szCs w:val="22"/>
          <w:lang w:val="sk-SK"/>
        </w:rPr>
        <w:t>vplyv</w:t>
      </w:r>
      <w:r w:rsidRPr="00652B9D">
        <w:rPr>
          <w:sz w:val="22"/>
          <w:szCs w:val="22"/>
          <w:lang w:val="sk-SK"/>
        </w:rPr>
        <w:t xml:space="preserve"> na liečbu alebo profylaxiu malárie.</w:t>
      </w:r>
    </w:p>
    <w:p w14:paraId="02A1F925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1ADFA216" w14:textId="77777777" w:rsidR="00B843DF" w:rsidRPr="00652B9D" w:rsidRDefault="00B843DF" w:rsidP="005F241E">
      <w:pPr>
        <w:rPr>
          <w:bCs/>
          <w:sz w:val="22"/>
          <w:szCs w:val="22"/>
          <w:lang w:val="sk-SK"/>
        </w:rPr>
      </w:pPr>
      <w:r w:rsidRPr="00652B9D">
        <w:rPr>
          <w:bCs/>
          <w:sz w:val="22"/>
          <w:szCs w:val="22"/>
          <w:lang w:val="sk-SK"/>
        </w:rPr>
        <w:t>Elimin</w:t>
      </w:r>
      <w:r w:rsidR="006312EE" w:rsidRPr="00652B9D">
        <w:rPr>
          <w:bCs/>
          <w:sz w:val="22"/>
          <w:szCs w:val="22"/>
          <w:lang w:val="sk-SK"/>
        </w:rPr>
        <w:t>ácia</w:t>
      </w:r>
    </w:p>
    <w:p w14:paraId="1059EED4" w14:textId="77777777" w:rsidR="00A97DD5" w:rsidRPr="00652B9D" w:rsidRDefault="00A97DD5" w:rsidP="005F241E">
      <w:pPr>
        <w:rPr>
          <w:sz w:val="22"/>
          <w:szCs w:val="22"/>
          <w:lang w:val="sk-SK"/>
        </w:rPr>
      </w:pPr>
    </w:p>
    <w:p w14:paraId="652BF469" w14:textId="77777777" w:rsidR="00B843DF" w:rsidRPr="00652B9D" w:rsidRDefault="006312EE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Eliminačný polčas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ónu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je približne </w:t>
      </w:r>
      <w:r w:rsidR="00B843DF" w:rsidRPr="00652B9D">
        <w:rPr>
          <w:sz w:val="22"/>
          <w:szCs w:val="22"/>
          <w:lang w:val="sk-SK"/>
        </w:rPr>
        <w:t>2</w:t>
      </w:r>
      <w:r w:rsidR="001D5F0B">
        <w:rPr>
          <w:sz w:val="22"/>
          <w:szCs w:val="22"/>
          <w:lang w:val="sk-SK"/>
        </w:rPr>
        <w:t> </w:t>
      </w:r>
      <w:r w:rsidR="001D5F0B">
        <w:rPr>
          <w:sz w:val="22"/>
          <w:szCs w:val="22"/>
          <w:lang w:val="sk-SK"/>
        </w:rPr>
        <w:noBreakHyphen/>
        <w:t> </w:t>
      </w:r>
      <w:r w:rsidR="00B843DF" w:rsidRPr="00652B9D">
        <w:rPr>
          <w:sz w:val="22"/>
          <w:szCs w:val="22"/>
          <w:lang w:val="sk-SK"/>
        </w:rPr>
        <w:t>3</w:t>
      </w:r>
      <w:r w:rsidR="001D5F0B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d</w:t>
      </w:r>
      <w:r w:rsidRPr="00652B9D">
        <w:rPr>
          <w:sz w:val="22"/>
          <w:szCs w:val="22"/>
          <w:lang w:val="sk-SK"/>
        </w:rPr>
        <w:t>ni u dospelých a</w:t>
      </w:r>
      <w:r w:rsidR="001D5F0B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1</w:t>
      </w:r>
      <w:r w:rsidR="001D5F0B">
        <w:rPr>
          <w:sz w:val="22"/>
          <w:szCs w:val="22"/>
          <w:lang w:val="sk-SK"/>
        </w:rPr>
        <w:t> </w:t>
      </w:r>
      <w:r w:rsidR="001D5F0B">
        <w:rPr>
          <w:sz w:val="22"/>
          <w:szCs w:val="22"/>
          <w:lang w:val="sk-SK"/>
        </w:rPr>
        <w:noBreakHyphen/>
        <w:t> </w:t>
      </w:r>
      <w:r w:rsidR="00B843DF" w:rsidRPr="00652B9D">
        <w:rPr>
          <w:sz w:val="22"/>
          <w:szCs w:val="22"/>
          <w:lang w:val="sk-SK"/>
        </w:rPr>
        <w:t>2</w:t>
      </w:r>
      <w:r w:rsidR="001D5F0B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d</w:t>
      </w:r>
      <w:r w:rsidRPr="00652B9D">
        <w:rPr>
          <w:sz w:val="22"/>
          <w:szCs w:val="22"/>
          <w:lang w:val="sk-SK"/>
        </w:rPr>
        <w:t>ni u detí</w:t>
      </w:r>
      <w:r w:rsidR="00B843DF" w:rsidRPr="00652B9D">
        <w:rPr>
          <w:sz w:val="22"/>
          <w:szCs w:val="22"/>
          <w:lang w:val="sk-SK"/>
        </w:rPr>
        <w:t>.</w:t>
      </w:r>
    </w:p>
    <w:p w14:paraId="624C3F3A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2222812B" w14:textId="77777777" w:rsidR="00B843DF" w:rsidRPr="00652B9D" w:rsidRDefault="006312EE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Eliminačný polčas </w:t>
      </w:r>
      <w:proofErr w:type="spellStart"/>
      <w:r w:rsidR="00B843DF" w:rsidRPr="00652B9D">
        <w:rPr>
          <w:sz w:val="22"/>
          <w:szCs w:val="22"/>
          <w:lang w:val="sk-SK"/>
        </w:rPr>
        <w:t>prog</w:t>
      </w:r>
      <w:r w:rsidR="00D010FC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anil</w:t>
      </w:r>
      <w:r w:rsidRPr="00652B9D">
        <w:rPr>
          <w:sz w:val="22"/>
          <w:szCs w:val="22"/>
          <w:lang w:val="sk-SK"/>
        </w:rPr>
        <w:t>u</w:t>
      </w:r>
      <w:proofErr w:type="spellEnd"/>
      <w:r w:rsidR="00B843DF" w:rsidRPr="00652B9D">
        <w:rPr>
          <w:sz w:val="22"/>
          <w:szCs w:val="22"/>
          <w:lang w:val="sk-SK"/>
        </w:rPr>
        <w:t xml:space="preserve"> a </w:t>
      </w:r>
      <w:proofErr w:type="spellStart"/>
      <w:r w:rsidR="00B843DF" w:rsidRPr="00652B9D">
        <w:rPr>
          <w:sz w:val="22"/>
          <w:szCs w:val="22"/>
          <w:lang w:val="sk-SK"/>
        </w:rPr>
        <w:t>cy</w:t>
      </w:r>
      <w:r w:rsidRPr="00652B9D">
        <w:rPr>
          <w:sz w:val="22"/>
          <w:szCs w:val="22"/>
          <w:lang w:val="sk-SK"/>
        </w:rPr>
        <w:t>k</w:t>
      </w:r>
      <w:r w:rsidR="00B843DF" w:rsidRPr="00652B9D">
        <w:rPr>
          <w:sz w:val="22"/>
          <w:szCs w:val="22"/>
          <w:lang w:val="sk-SK"/>
        </w:rPr>
        <w:t>log</w:t>
      </w:r>
      <w:r w:rsidR="00D010FC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anil</w:t>
      </w:r>
      <w:r w:rsidRPr="00652B9D">
        <w:rPr>
          <w:sz w:val="22"/>
          <w:szCs w:val="22"/>
          <w:lang w:val="sk-SK"/>
        </w:rPr>
        <w:t>u</w:t>
      </w:r>
      <w:proofErr w:type="spellEnd"/>
      <w:r w:rsidRPr="00652B9D">
        <w:rPr>
          <w:sz w:val="22"/>
          <w:szCs w:val="22"/>
          <w:lang w:val="sk-SK"/>
        </w:rPr>
        <w:t xml:space="preserve"> je približne </w:t>
      </w:r>
      <w:r w:rsidR="00B843DF" w:rsidRPr="00652B9D">
        <w:rPr>
          <w:sz w:val="22"/>
          <w:szCs w:val="22"/>
          <w:lang w:val="sk-SK"/>
        </w:rPr>
        <w:t>12</w:t>
      </w:r>
      <w:r w:rsidR="001D5F0B">
        <w:rPr>
          <w:sz w:val="22"/>
          <w:szCs w:val="22"/>
          <w:lang w:val="sk-SK"/>
        </w:rPr>
        <w:t> </w:t>
      </w:r>
      <w:r w:rsidR="001D5F0B">
        <w:rPr>
          <w:sz w:val="22"/>
          <w:szCs w:val="22"/>
          <w:lang w:val="sk-SK"/>
        </w:rPr>
        <w:noBreakHyphen/>
        <w:t> </w:t>
      </w:r>
      <w:r w:rsidR="00B843DF" w:rsidRPr="00652B9D">
        <w:rPr>
          <w:sz w:val="22"/>
          <w:szCs w:val="22"/>
          <w:lang w:val="sk-SK"/>
        </w:rPr>
        <w:t>15</w:t>
      </w:r>
      <w:r w:rsidR="001D5F0B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hodín u dospelých aj u detí</w:t>
      </w:r>
      <w:r w:rsidR="00B843DF" w:rsidRPr="00652B9D">
        <w:rPr>
          <w:sz w:val="22"/>
          <w:szCs w:val="22"/>
          <w:lang w:val="sk-SK"/>
        </w:rPr>
        <w:t>.</w:t>
      </w:r>
    </w:p>
    <w:p w14:paraId="20C21415" w14:textId="77777777" w:rsidR="007F1C0B" w:rsidRPr="00652B9D" w:rsidRDefault="007F1C0B" w:rsidP="005F241E">
      <w:pPr>
        <w:rPr>
          <w:sz w:val="22"/>
          <w:szCs w:val="22"/>
          <w:u w:val="single"/>
          <w:lang w:val="sk-SK"/>
        </w:rPr>
      </w:pPr>
    </w:p>
    <w:p w14:paraId="50892BB7" w14:textId="77777777" w:rsidR="00B843DF" w:rsidRPr="00652B9D" w:rsidRDefault="00A456CB" w:rsidP="005F241E">
      <w:pPr>
        <w:keepNext/>
        <w:keepLines/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lastRenderedPageBreak/>
        <w:t xml:space="preserve">Perorálny </w:t>
      </w:r>
      <w:proofErr w:type="spellStart"/>
      <w:r w:rsidRPr="00652B9D">
        <w:rPr>
          <w:sz w:val="22"/>
          <w:szCs w:val="22"/>
          <w:lang w:val="sk-SK"/>
        </w:rPr>
        <w:t>klírens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ónu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sz w:val="22"/>
          <w:szCs w:val="22"/>
          <w:lang w:val="sk-SK"/>
        </w:rPr>
        <w:t xml:space="preserve">a </w:t>
      </w:r>
      <w:proofErr w:type="spellStart"/>
      <w:r w:rsidR="00B843DF" w:rsidRPr="00652B9D">
        <w:rPr>
          <w:sz w:val="22"/>
          <w:szCs w:val="22"/>
          <w:lang w:val="sk-SK"/>
        </w:rPr>
        <w:t>prog</w:t>
      </w:r>
      <w:r w:rsidR="00D010FC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anil</w:t>
      </w:r>
      <w:r w:rsidRPr="00652B9D">
        <w:rPr>
          <w:sz w:val="22"/>
          <w:szCs w:val="22"/>
          <w:lang w:val="sk-SK"/>
        </w:rPr>
        <w:t>u</w:t>
      </w:r>
      <w:proofErr w:type="spellEnd"/>
      <w:r w:rsidRPr="00652B9D">
        <w:rPr>
          <w:sz w:val="22"/>
          <w:szCs w:val="22"/>
          <w:lang w:val="sk-SK"/>
        </w:rPr>
        <w:t xml:space="preserve"> sa zvyšuje so zvyšujúcou sa telesnou hmotnosťou a je približne o</w:t>
      </w:r>
      <w:r w:rsidR="001D5F0B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70</w:t>
      </w:r>
      <w:r w:rsidR="001D5F0B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 xml:space="preserve">% </w:t>
      </w:r>
      <w:r w:rsidRPr="00652B9D">
        <w:rPr>
          <w:sz w:val="22"/>
          <w:szCs w:val="22"/>
          <w:lang w:val="sk-SK"/>
        </w:rPr>
        <w:t>vyšší u</w:t>
      </w:r>
      <w:r w:rsidR="001D5F0B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80</w:t>
      </w:r>
      <w:r w:rsidR="001D5F0B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 xml:space="preserve">kg jedinca v porovnaní so </w:t>
      </w:r>
      <w:smartTag w:uri="urn:schemas-microsoft-com:office:smarttags" w:element="metricconverter">
        <w:smartTagPr>
          <w:attr w:name="ProductID" w:val="40ﾠkg"/>
        </w:smartTagPr>
        <w:r w:rsidRPr="00652B9D">
          <w:rPr>
            <w:sz w:val="22"/>
            <w:szCs w:val="22"/>
            <w:lang w:val="sk-SK"/>
          </w:rPr>
          <w:t>40</w:t>
        </w:r>
        <w:r w:rsidR="001D5F0B">
          <w:rPr>
            <w:sz w:val="22"/>
            <w:szCs w:val="22"/>
            <w:lang w:val="sk-SK"/>
          </w:rPr>
          <w:t> </w:t>
        </w:r>
        <w:r w:rsidRPr="00652B9D">
          <w:rPr>
            <w:sz w:val="22"/>
            <w:szCs w:val="22"/>
            <w:lang w:val="sk-SK"/>
          </w:rPr>
          <w:t>kg</w:t>
        </w:r>
      </w:smartTag>
      <w:r w:rsidRPr="00652B9D">
        <w:rPr>
          <w:sz w:val="22"/>
          <w:szCs w:val="22"/>
          <w:lang w:val="sk-SK"/>
        </w:rPr>
        <w:t xml:space="preserve"> jedincom. Priemerný perorálny </w:t>
      </w:r>
      <w:proofErr w:type="spellStart"/>
      <w:r w:rsidRPr="00652B9D">
        <w:rPr>
          <w:sz w:val="22"/>
          <w:szCs w:val="22"/>
          <w:lang w:val="sk-SK"/>
        </w:rPr>
        <w:t>klírens</w:t>
      </w:r>
      <w:proofErr w:type="spellEnd"/>
      <w:r w:rsidRPr="00652B9D">
        <w:rPr>
          <w:sz w:val="22"/>
          <w:szCs w:val="22"/>
          <w:lang w:val="sk-SK"/>
        </w:rPr>
        <w:t xml:space="preserve"> u</w:t>
      </w:r>
      <w:r w:rsidR="001D5F0B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 xml:space="preserve">pediatrických a dospelých pacientov s telesnou hmotnosťou </w:t>
      </w:r>
      <w:r w:rsidR="00B843DF" w:rsidRPr="00652B9D">
        <w:rPr>
          <w:sz w:val="22"/>
          <w:szCs w:val="22"/>
          <w:lang w:val="sk-SK"/>
        </w:rPr>
        <w:t>10</w:t>
      </w:r>
      <w:r w:rsidR="001D5F0B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až</w:t>
      </w:r>
      <w:r w:rsidR="001D5F0B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80</w:t>
      </w:r>
      <w:r w:rsidR="003B3B83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 xml:space="preserve">kg </w:t>
      </w:r>
      <w:r w:rsidRPr="00652B9D">
        <w:rPr>
          <w:sz w:val="22"/>
          <w:szCs w:val="22"/>
          <w:lang w:val="sk-SK"/>
        </w:rPr>
        <w:t>bol v rozsahu od</w:t>
      </w:r>
      <w:r w:rsidR="001D5F0B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0</w:t>
      </w:r>
      <w:r w:rsidRPr="00652B9D">
        <w:rPr>
          <w:sz w:val="22"/>
          <w:szCs w:val="22"/>
          <w:lang w:val="sk-SK"/>
        </w:rPr>
        <w:t>,</w:t>
      </w:r>
      <w:r w:rsidR="00B843DF" w:rsidRPr="00652B9D">
        <w:rPr>
          <w:sz w:val="22"/>
          <w:szCs w:val="22"/>
          <w:lang w:val="sk-SK"/>
        </w:rPr>
        <w:t>8</w:t>
      </w:r>
      <w:r w:rsidR="001D5F0B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d</w:t>
      </w:r>
      <w:r w:rsidR="00B843DF" w:rsidRPr="00652B9D">
        <w:rPr>
          <w:sz w:val="22"/>
          <w:szCs w:val="22"/>
          <w:lang w:val="sk-SK"/>
        </w:rPr>
        <w:t>o</w:t>
      </w:r>
      <w:r w:rsidR="001D5F0B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10</w:t>
      </w:r>
      <w:r w:rsidRPr="00652B9D">
        <w:rPr>
          <w:sz w:val="22"/>
          <w:szCs w:val="22"/>
          <w:lang w:val="sk-SK"/>
        </w:rPr>
        <w:t>,</w:t>
      </w:r>
      <w:r w:rsidR="00B843DF" w:rsidRPr="00652B9D">
        <w:rPr>
          <w:sz w:val="22"/>
          <w:szCs w:val="22"/>
          <w:lang w:val="sk-SK"/>
        </w:rPr>
        <w:t>8</w:t>
      </w:r>
      <w:r w:rsidR="00076B24" w:rsidRPr="00652B9D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l</w:t>
      </w:r>
      <w:r w:rsidR="00B843DF" w:rsidRPr="00652B9D">
        <w:rPr>
          <w:sz w:val="22"/>
          <w:szCs w:val="22"/>
          <w:lang w:val="sk-SK"/>
        </w:rPr>
        <w:t xml:space="preserve">/h </w:t>
      </w:r>
      <w:r w:rsidRPr="00652B9D">
        <w:rPr>
          <w:sz w:val="22"/>
          <w:szCs w:val="22"/>
          <w:lang w:val="sk-SK"/>
        </w:rPr>
        <w:t xml:space="preserve">pre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sz w:val="22"/>
          <w:szCs w:val="22"/>
          <w:lang w:val="sk-SK"/>
        </w:rPr>
        <w:t>a</w:t>
      </w:r>
      <w:r w:rsidR="001D5F0B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od</w:t>
      </w:r>
      <w:r w:rsidR="001D5F0B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15</w:t>
      </w:r>
      <w:r w:rsidR="001D5F0B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d</w:t>
      </w:r>
      <w:r w:rsidR="00B843DF" w:rsidRPr="00652B9D">
        <w:rPr>
          <w:sz w:val="22"/>
          <w:szCs w:val="22"/>
          <w:lang w:val="sk-SK"/>
        </w:rPr>
        <w:t>o</w:t>
      </w:r>
      <w:r w:rsidR="001D5F0B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106</w:t>
      </w:r>
      <w:r w:rsidR="003B3B83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l</w:t>
      </w:r>
      <w:r w:rsidR="00B843DF" w:rsidRPr="00652B9D">
        <w:rPr>
          <w:sz w:val="22"/>
          <w:szCs w:val="22"/>
          <w:lang w:val="sk-SK"/>
        </w:rPr>
        <w:t xml:space="preserve">/h </w:t>
      </w:r>
      <w:r w:rsidRPr="00652B9D">
        <w:rPr>
          <w:sz w:val="22"/>
          <w:szCs w:val="22"/>
          <w:lang w:val="sk-SK"/>
        </w:rPr>
        <w:t>pre</w:t>
      </w:r>
      <w:r w:rsidR="00B843DF" w:rsidRPr="00652B9D">
        <w:rPr>
          <w:sz w:val="22"/>
          <w:szCs w:val="22"/>
          <w:lang w:val="sk-SK"/>
        </w:rPr>
        <w:t xml:space="preserve"> </w:t>
      </w:r>
      <w:proofErr w:type="spellStart"/>
      <w:r w:rsidR="00B843DF" w:rsidRPr="00652B9D">
        <w:rPr>
          <w:sz w:val="22"/>
          <w:szCs w:val="22"/>
          <w:lang w:val="sk-SK"/>
        </w:rPr>
        <w:t>prog</w:t>
      </w:r>
      <w:r w:rsidR="00D010FC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anil</w:t>
      </w:r>
      <w:proofErr w:type="spellEnd"/>
      <w:r w:rsidR="00B843DF" w:rsidRPr="00652B9D">
        <w:rPr>
          <w:sz w:val="22"/>
          <w:szCs w:val="22"/>
          <w:lang w:val="sk-SK"/>
        </w:rPr>
        <w:t>.</w:t>
      </w:r>
    </w:p>
    <w:p w14:paraId="395EED43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09C0FEC2" w14:textId="77777777" w:rsidR="00B843DF" w:rsidRPr="00652B9D" w:rsidRDefault="00430BC2" w:rsidP="005F241E">
      <w:pPr>
        <w:rPr>
          <w:bCs/>
          <w:snapToGrid w:val="0"/>
          <w:sz w:val="22"/>
          <w:szCs w:val="22"/>
          <w:lang w:val="sk-SK"/>
        </w:rPr>
      </w:pPr>
      <w:proofErr w:type="spellStart"/>
      <w:r w:rsidRPr="00652B9D">
        <w:rPr>
          <w:bCs/>
          <w:snapToGrid w:val="0"/>
          <w:sz w:val="22"/>
          <w:szCs w:val="22"/>
          <w:lang w:val="sk-SK"/>
        </w:rPr>
        <w:t>F</w:t>
      </w:r>
      <w:r w:rsidR="00B843DF" w:rsidRPr="00652B9D">
        <w:rPr>
          <w:bCs/>
          <w:snapToGrid w:val="0"/>
          <w:sz w:val="22"/>
          <w:szCs w:val="22"/>
          <w:lang w:val="sk-SK"/>
        </w:rPr>
        <w:t>arma</w:t>
      </w:r>
      <w:r w:rsidRPr="00652B9D">
        <w:rPr>
          <w:bCs/>
          <w:snapToGrid w:val="0"/>
          <w:sz w:val="22"/>
          <w:szCs w:val="22"/>
          <w:lang w:val="sk-SK"/>
        </w:rPr>
        <w:t>k</w:t>
      </w:r>
      <w:r w:rsidR="00B843DF" w:rsidRPr="00652B9D">
        <w:rPr>
          <w:bCs/>
          <w:snapToGrid w:val="0"/>
          <w:sz w:val="22"/>
          <w:szCs w:val="22"/>
          <w:lang w:val="sk-SK"/>
        </w:rPr>
        <w:t>okineti</w:t>
      </w:r>
      <w:r w:rsidRPr="00652B9D">
        <w:rPr>
          <w:bCs/>
          <w:snapToGrid w:val="0"/>
          <w:sz w:val="22"/>
          <w:szCs w:val="22"/>
          <w:lang w:val="sk-SK"/>
        </w:rPr>
        <w:t>ka</w:t>
      </w:r>
      <w:proofErr w:type="spellEnd"/>
      <w:r w:rsidRPr="00652B9D">
        <w:rPr>
          <w:bCs/>
          <w:snapToGrid w:val="0"/>
          <w:sz w:val="22"/>
          <w:szCs w:val="22"/>
          <w:lang w:val="sk-SK"/>
        </w:rPr>
        <w:t xml:space="preserve"> u starších osôb</w:t>
      </w:r>
    </w:p>
    <w:p w14:paraId="4BF9FCAB" w14:textId="77777777" w:rsidR="00A97DD5" w:rsidRPr="00652B9D" w:rsidRDefault="00A97DD5" w:rsidP="005F241E">
      <w:pPr>
        <w:rPr>
          <w:snapToGrid w:val="0"/>
          <w:sz w:val="22"/>
          <w:szCs w:val="22"/>
          <w:lang w:val="sk-SK"/>
        </w:rPr>
      </w:pPr>
    </w:p>
    <w:p w14:paraId="505EFBB2" w14:textId="77777777" w:rsidR="00B843DF" w:rsidRPr="00652B9D" w:rsidRDefault="00877D97" w:rsidP="005F241E">
      <w:pPr>
        <w:rPr>
          <w:snapToGrid w:val="0"/>
          <w:sz w:val="22"/>
          <w:szCs w:val="22"/>
          <w:lang w:val="sk-SK"/>
        </w:rPr>
      </w:pPr>
      <w:r w:rsidRPr="00652B9D">
        <w:rPr>
          <w:snapToGrid w:val="0"/>
          <w:sz w:val="22"/>
          <w:szCs w:val="22"/>
          <w:lang w:val="sk-SK"/>
        </w:rPr>
        <w:t xml:space="preserve">Neexistuje žiadna </w:t>
      </w:r>
      <w:r w:rsidR="00812397" w:rsidRPr="00652B9D">
        <w:rPr>
          <w:snapToGrid w:val="0"/>
          <w:sz w:val="22"/>
          <w:szCs w:val="22"/>
          <w:lang w:val="sk-SK"/>
        </w:rPr>
        <w:t xml:space="preserve">klinicky </w:t>
      </w:r>
      <w:r w:rsidRPr="00652B9D">
        <w:rPr>
          <w:snapToGrid w:val="0"/>
          <w:sz w:val="22"/>
          <w:szCs w:val="22"/>
          <w:lang w:val="sk-SK"/>
        </w:rPr>
        <w:t xml:space="preserve">významná zmena v priemernej rýchlosti alebo rozsahu absorpcie </w:t>
      </w:r>
      <w:proofErr w:type="spellStart"/>
      <w:r w:rsidR="00BF031F" w:rsidRPr="00652B9D">
        <w:rPr>
          <w:snapToGrid w:val="0"/>
          <w:sz w:val="22"/>
          <w:szCs w:val="22"/>
          <w:lang w:val="sk-SK"/>
        </w:rPr>
        <w:t>atova</w:t>
      </w:r>
      <w:r w:rsidR="00C34A4E">
        <w:rPr>
          <w:snapToGrid w:val="0"/>
          <w:sz w:val="22"/>
          <w:szCs w:val="22"/>
          <w:lang w:val="sk-SK"/>
        </w:rPr>
        <w:t>ch</w:t>
      </w:r>
      <w:r w:rsidR="00BF031F" w:rsidRPr="00652B9D">
        <w:rPr>
          <w:snapToGrid w:val="0"/>
          <w:sz w:val="22"/>
          <w:szCs w:val="22"/>
          <w:lang w:val="sk-SK"/>
        </w:rPr>
        <w:t>ónu</w:t>
      </w:r>
      <w:proofErr w:type="spellEnd"/>
      <w:r w:rsidR="00BF031F" w:rsidRPr="00652B9D">
        <w:rPr>
          <w:snapToGrid w:val="0"/>
          <w:sz w:val="22"/>
          <w:szCs w:val="22"/>
          <w:lang w:val="sk-SK"/>
        </w:rPr>
        <w:t xml:space="preserve"> </w:t>
      </w:r>
      <w:r w:rsidRPr="00652B9D">
        <w:rPr>
          <w:snapToGrid w:val="0"/>
          <w:sz w:val="22"/>
          <w:szCs w:val="22"/>
          <w:lang w:val="sk-SK"/>
        </w:rPr>
        <w:t>alebo</w:t>
      </w:r>
      <w:r w:rsidR="00B843DF" w:rsidRPr="00652B9D">
        <w:rPr>
          <w:snapToGrid w:val="0"/>
          <w:sz w:val="22"/>
          <w:szCs w:val="22"/>
          <w:lang w:val="sk-SK"/>
        </w:rPr>
        <w:t xml:space="preserve"> </w:t>
      </w:r>
      <w:proofErr w:type="spellStart"/>
      <w:r w:rsidR="00B843DF" w:rsidRPr="00652B9D">
        <w:rPr>
          <w:snapToGrid w:val="0"/>
          <w:sz w:val="22"/>
          <w:szCs w:val="22"/>
          <w:lang w:val="sk-SK"/>
        </w:rPr>
        <w:t>prog</w:t>
      </w:r>
      <w:r w:rsidR="00D010FC">
        <w:rPr>
          <w:snapToGrid w:val="0"/>
          <w:sz w:val="22"/>
          <w:szCs w:val="22"/>
          <w:lang w:val="sk-SK"/>
        </w:rPr>
        <w:t>u</w:t>
      </w:r>
      <w:r w:rsidR="00B843DF" w:rsidRPr="00652B9D">
        <w:rPr>
          <w:snapToGrid w:val="0"/>
          <w:sz w:val="22"/>
          <w:szCs w:val="22"/>
          <w:lang w:val="sk-SK"/>
        </w:rPr>
        <w:t>anil</w:t>
      </w:r>
      <w:r w:rsidRPr="00652B9D">
        <w:rPr>
          <w:snapToGrid w:val="0"/>
          <w:sz w:val="22"/>
          <w:szCs w:val="22"/>
          <w:lang w:val="sk-SK"/>
        </w:rPr>
        <w:t>u</w:t>
      </w:r>
      <w:proofErr w:type="spellEnd"/>
      <w:r w:rsidRPr="00652B9D">
        <w:rPr>
          <w:snapToGrid w:val="0"/>
          <w:sz w:val="22"/>
          <w:szCs w:val="22"/>
          <w:lang w:val="sk-SK"/>
        </w:rPr>
        <w:t xml:space="preserve"> medzi staršími a mladými pacientmi.</w:t>
      </w:r>
      <w:r w:rsidR="00B843DF" w:rsidRPr="00652B9D">
        <w:rPr>
          <w:snapToGrid w:val="0"/>
          <w:sz w:val="22"/>
          <w:szCs w:val="22"/>
          <w:lang w:val="sk-SK"/>
        </w:rPr>
        <w:t xml:space="preserve"> Syst</w:t>
      </w:r>
      <w:r w:rsidRPr="00652B9D">
        <w:rPr>
          <w:snapToGrid w:val="0"/>
          <w:sz w:val="22"/>
          <w:szCs w:val="22"/>
          <w:lang w:val="sk-SK"/>
        </w:rPr>
        <w:t xml:space="preserve">émová dostupnosť </w:t>
      </w:r>
      <w:proofErr w:type="spellStart"/>
      <w:r w:rsidR="00B843DF" w:rsidRPr="00652B9D">
        <w:rPr>
          <w:snapToGrid w:val="0"/>
          <w:sz w:val="22"/>
          <w:szCs w:val="22"/>
          <w:lang w:val="sk-SK"/>
        </w:rPr>
        <w:t>cy</w:t>
      </w:r>
      <w:r w:rsidRPr="00652B9D">
        <w:rPr>
          <w:snapToGrid w:val="0"/>
          <w:sz w:val="22"/>
          <w:szCs w:val="22"/>
          <w:lang w:val="sk-SK"/>
        </w:rPr>
        <w:t>k</w:t>
      </w:r>
      <w:r w:rsidR="00B843DF" w:rsidRPr="00652B9D">
        <w:rPr>
          <w:snapToGrid w:val="0"/>
          <w:sz w:val="22"/>
          <w:szCs w:val="22"/>
          <w:lang w:val="sk-SK"/>
        </w:rPr>
        <w:t>log</w:t>
      </w:r>
      <w:r w:rsidR="00D010FC">
        <w:rPr>
          <w:snapToGrid w:val="0"/>
          <w:sz w:val="22"/>
          <w:szCs w:val="22"/>
          <w:lang w:val="sk-SK"/>
        </w:rPr>
        <w:t>u</w:t>
      </w:r>
      <w:r w:rsidR="00B843DF" w:rsidRPr="00652B9D">
        <w:rPr>
          <w:snapToGrid w:val="0"/>
          <w:sz w:val="22"/>
          <w:szCs w:val="22"/>
          <w:lang w:val="sk-SK"/>
        </w:rPr>
        <w:t>anil</w:t>
      </w:r>
      <w:r w:rsidRPr="00652B9D">
        <w:rPr>
          <w:snapToGrid w:val="0"/>
          <w:sz w:val="22"/>
          <w:szCs w:val="22"/>
          <w:lang w:val="sk-SK"/>
        </w:rPr>
        <w:t>u</w:t>
      </w:r>
      <w:proofErr w:type="spellEnd"/>
      <w:r w:rsidRPr="00652B9D">
        <w:rPr>
          <w:snapToGrid w:val="0"/>
          <w:sz w:val="22"/>
          <w:szCs w:val="22"/>
          <w:lang w:val="sk-SK"/>
        </w:rPr>
        <w:t xml:space="preserve"> je vyššia u starších osôb v porovnaní s mladšími pacientmi </w:t>
      </w:r>
      <w:r w:rsidR="00B843DF" w:rsidRPr="00652B9D">
        <w:rPr>
          <w:snapToGrid w:val="0"/>
          <w:sz w:val="22"/>
          <w:szCs w:val="22"/>
          <w:lang w:val="sk-SK"/>
        </w:rPr>
        <w:t xml:space="preserve">(AUC </w:t>
      </w:r>
      <w:r w:rsidRPr="00652B9D">
        <w:rPr>
          <w:snapToGrid w:val="0"/>
          <w:sz w:val="22"/>
          <w:szCs w:val="22"/>
          <w:lang w:val="sk-SK"/>
        </w:rPr>
        <w:t>je zvýšená o</w:t>
      </w:r>
      <w:r w:rsidR="00F37A7A">
        <w:rPr>
          <w:snapToGrid w:val="0"/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>140</w:t>
      </w:r>
      <w:r w:rsidR="00F37A7A">
        <w:rPr>
          <w:snapToGrid w:val="0"/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>% a</w:t>
      </w:r>
      <w:r w:rsidR="00F37A7A">
        <w:rPr>
          <w:snapToGrid w:val="0"/>
          <w:sz w:val="22"/>
          <w:szCs w:val="22"/>
          <w:lang w:val="sk-SK"/>
        </w:rPr>
        <w:t> </w:t>
      </w:r>
      <w:proofErr w:type="spellStart"/>
      <w:r w:rsidR="00B843DF" w:rsidRPr="00652B9D">
        <w:rPr>
          <w:snapToGrid w:val="0"/>
          <w:sz w:val="22"/>
          <w:szCs w:val="22"/>
          <w:lang w:val="sk-SK"/>
        </w:rPr>
        <w:t>C</w:t>
      </w:r>
      <w:r w:rsidRPr="00652B9D">
        <w:rPr>
          <w:snapToGrid w:val="0"/>
          <w:sz w:val="22"/>
          <w:szCs w:val="22"/>
          <w:vertAlign w:val="subscript"/>
          <w:lang w:val="sk-SK"/>
        </w:rPr>
        <w:t>max</w:t>
      </w:r>
      <w:proofErr w:type="spellEnd"/>
      <w:r w:rsidR="00B843DF" w:rsidRPr="00652B9D">
        <w:rPr>
          <w:snapToGrid w:val="0"/>
          <w:sz w:val="22"/>
          <w:szCs w:val="22"/>
          <w:lang w:val="sk-SK"/>
        </w:rPr>
        <w:t xml:space="preserve"> </w:t>
      </w:r>
      <w:r w:rsidRPr="00652B9D">
        <w:rPr>
          <w:snapToGrid w:val="0"/>
          <w:sz w:val="22"/>
          <w:szCs w:val="22"/>
          <w:lang w:val="sk-SK"/>
        </w:rPr>
        <w:t>je zvýšená o</w:t>
      </w:r>
      <w:r w:rsidR="00F37A7A">
        <w:rPr>
          <w:snapToGrid w:val="0"/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>80</w:t>
      </w:r>
      <w:r w:rsidR="00F37A7A">
        <w:rPr>
          <w:snapToGrid w:val="0"/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>%)</w:t>
      </w:r>
      <w:r w:rsidR="00422807">
        <w:rPr>
          <w:snapToGrid w:val="0"/>
          <w:sz w:val="22"/>
          <w:szCs w:val="22"/>
          <w:lang w:val="sk-SK"/>
        </w:rPr>
        <w:t>,</w:t>
      </w:r>
      <w:r w:rsidR="00B843DF" w:rsidRPr="00652B9D">
        <w:rPr>
          <w:snapToGrid w:val="0"/>
          <w:sz w:val="22"/>
          <w:szCs w:val="22"/>
          <w:lang w:val="sk-SK"/>
        </w:rPr>
        <w:t xml:space="preserve"> </w:t>
      </w:r>
      <w:r w:rsidRPr="00652B9D">
        <w:rPr>
          <w:snapToGrid w:val="0"/>
          <w:sz w:val="22"/>
          <w:szCs w:val="22"/>
          <w:lang w:val="sk-SK"/>
        </w:rPr>
        <w:t>ale n</w:t>
      </w:r>
      <w:r w:rsidR="009D5A6F" w:rsidRPr="00652B9D">
        <w:rPr>
          <w:snapToGrid w:val="0"/>
          <w:sz w:val="22"/>
          <w:szCs w:val="22"/>
          <w:lang w:val="sk-SK"/>
        </w:rPr>
        <w:t>edochádza k</w:t>
      </w:r>
      <w:r w:rsidRPr="00652B9D">
        <w:rPr>
          <w:snapToGrid w:val="0"/>
          <w:sz w:val="22"/>
          <w:szCs w:val="22"/>
          <w:lang w:val="sk-SK"/>
        </w:rPr>
        <w:t xml:space="preserve"> žiadn</w:t>
      </w:r>
      <w:r w:rsidR="009D5A6F" w:rsidRPr="00652B9D">
        <w:rPr>
          <w:snapToGrid w:val="0"/>
          <w:sz w:val="22"/>
          <w:szCs w:val="22"/>
          <w:lang w:val="sk-SK"/>
        </w:rPr>
        <w:t>ej</w:t>
      </w:r>
      <w:r w:rsidRPr="00652B9D">
        <w:rPr>
          <w:snapToGrid w:val="0"/>
          <w:sz w:val="22"/>
          <w:szCs w:val="22"/>
          <w:lang w:val="sk-SK"/>
        </w:rPr>
        <w:t xml:space="preserve"> klinicky významn</w:t>
      </w:r>
      <w:r w:rsidR="009D5A6F" w:rsidRPr="00652B9D">
        <w:rPr>
          <w:snapToGrid w:val="0"/>
          <w:sz w:val="22"/>
          <w:szCs w:val="22"/>
          <w:lang w:val="sk-SK"/>
        </w:rPr>
        <w:t>ej</w:t>
      </w:r>
      <w:r w:rsidRPr="00652B9D">
        <w:rPr>
          <w:snapToGrid w:val="0"/>
          <w:sz w:val="22"/>
          <w:szCs w:val="22"/>
          <w:lang w:val="sk-SK"/>
        </w:rPr>
        <w:t xml:space="preserve"> zmen</w:t>
      </w:r>
      <w:r w:rsidR="009D5A6F" w:rsidRPr="00652B9D">
        <w:rPr>
          <w:snapToGrid w:val="0"/>
          <w:sz w:val="22"/>
          <w:szCs w:val="22"/>
          <w:lang w:val="sk-SK"/>
        </w:rPr>
        <w:t>e</w:t>
      </w:r>
      <w:r w:rsidRPr="00652B9D">
        <w:rPr>
          <w:snapToGrid w:val="0"/>
          <w:sz w:val="22"/>
          <w:szCs w:val="22"/>
          <w:lang w:val="sk-SK"/>
        </w:rPr>
        <w:t xml:space="preserve"> v jeho eliminačnom polčase </w:t>
      </w:r>
      <w:r w:rsidR="00B843DF" w:rsidRPr="00652B9D">
        <w:rPr>
          <w:snapToGrid w:val="0"/>
          <w:sz w:val="22"/>
          <w:szCs w:val="22"/>
          <w:lang w:val="sk-SK"/>
        </w:rPr>
        <w:t>(</w:t>
      </w:r>
      <w:r w:rsidRPr="00652B9D">
        <w:rPr>
          <w:snapToGrid w:val="0"/>
          <w:sz w:val="22"/>
          <w:szCs w:val="22"/>
          <w:lang w:val="sk-SK"/>
        </w:rPr>
        <w:t>pozri časť</w:t>
      </w:r>
      <w:r w:rsidR="00F37A7A">
        <w:rPr>
          <w:snapToGrid w:val="0"/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>4.2).</w:t>
      </w:r>
    </w:p>
    <w:p w14:paraId="66EAB1C1" w14:textId="77777777" w:rsidR="00B843DF" w:rsidRPr="00652B9D" w:rsidRDefault="00B843DF" w:rsidP="005F241E">
      <w:pPr>
        <w:rPr>
          <w:snapToGrid w:val="0"/>
          <w:sz w:val="22"/>
          <w:szCs w:val="22"/>
          <w:lang w:val="sk-SK"/>
        </w:rPr>
      </w:pPr>
    </w:p>
    <w:p w14:paraId="54B22E00" w14:textId="77777777" w:rsidR="00B843DF" w:rsidRPr="00652B9D" w:rsidRDefault="00686EED" w:rsidP="005F241E">
      <w:pPr>
        <w:rPr>
          <w:bCs/>
          <w:snapToGrid w:val="0"/>
          <w:sz w:val="22"/>
          <w:szCs w:val="22"/>
          <w:lang w:val="sk-SK"/>
        </w:rPr>
      </w:pPr>
      <w:proofErr w:type="spellStart"/>
      <w:r w:rsidRPr="00652B9D">
        <w:rPr>
          <w:bCs/>
          <w:snapToGrid w:val="0"/>
          <w:sz w:val="22"/>
          <w:szCs w:val="22"/>
          <w:lang w:val="sk-SK"/>
        </w:rPr>
        <w:t>F</w:t>
      </w:r>
      <w:r w:rsidR="00B843DF" w:rsidRPr="00652B9D">
        <w:rPr>
          <w:bCs/>
          <w:snapToGrid w:val="0"/>
          <w:sz w:val="22"/>
          <w:szCs w:val="22"/>
          <w:lang w:val="sk-SK"/>
        </w:rPr>
        <w:t>arma</w:t>
      </w:r>
      <w:r w:rsidRPr="00652B9D">
        <w:rPr>
          <w:bCs/>
          <w:snapToGrid w:val="0"/>
          <w:sz w:val="22"/>
          <w:szCs w:val="22"/>
          <w:lang w:val="sk-SK"/>
        </w:rPr>
        <w:t>k</w:t>
      </w:r>
      <w:r w:rsidR="00B843DF" w:rsidRPr="00652B9D">
        <w:rPr>
          <w:bCs/>
          <w:snapToGrid w:val="0"/>
          <w:sz w:val="22"/>
          <w:szCs w:val="22"/>
          <w:lang w:val="sk-SK"/>
        </w:rPr>
        <w:t>okineti</w:t>
      </w:r>
      <w:r w:rsidRPr="00652B9D">
        <w:rPr>
          <w:bCs/>
          <w:snapToGrid w:val="0"/>
          <w:sz w:val="22"/>
          <w:szCs w:val="22"/>
          <w:lang w:val="sk-SK"/>
        </w:rPr>
        <w:t>ka</w:t>
      </w:r>
      <w:proofErr w:type="spellEnd"/>
      <w:r w:rsidRPr="00652B9D">
        <w:rPr>
          <w:bCs/>
          <w:snapToGrid w:val="0"/>
          <w:sz w:val="22"/>
          <w:szCs w:val="22"/>
          <w:lang w:val="sk-SK"/>
        </w:rPr>
        <w:t xml:space="preserve"> u pacientov s poruchou funkcie obličiek</w:t>
      </w:r>
    </w:p>
    <w:p w14:paraId="529B9DA0" w14:textId="77777777" w:rsidR="00A97DD5" w:rsidRPr="00652B9D" w:rsidRDefault="00A97DD5" w:rsidP="005F241E">
      <w:pPr>
        <w:rPr>
          <w:snapToGrid w:val="0"/>
          <w:sz w:val="22"/>
          <w:szCs w:val="22"/>
          <w:lang w:val="sk-SK"/>
        </w:rPr>
      </w:pPr>
    </w:p>
    <w:p w14:paraId="36FAE4FB" w14:textId="77777777" w:rsidR="00B843DF" w:rsidRPr="00652B9D" w:rsidRDefault="006548C5" w:rsidP="005F241E">
      <w:pPr>
        <w:rPr>
          <w:snapToGrid w:val="0"/>
          <w:sz w:val="22"/>
          <w:szCs w:val="22"/>
          <w:lang w:val="sk-SK"/>
        </w:rPr>
      </w:pPr>
      <w:r w:rsidRPr="00652B9D">
        <w:rPr>
          <w:snapToGrid w:val="0"/>
          <w:sz w:val="22"/>
          <w:szCs w:val="22"/>
          <w:lang w:val="sk-SK"/>
        </w:rPr>
        <w:t xml:space="preserve">U pacientov s miernou až stredne ťažkou poruchou </w:t>
      </w:r>
      <w:r w:rsidR="00CC77B1" w:rsidRPr="00652B9D">
        <w:rPr>
          <w:snapToGrid w:val="0"/>
          <w:sz w:val="22"/>
          <w:szCs w:val="22"/>
          <w:lang w:val="sk-SK"/>
        </w:rPr>
        <w:t xml:space="preserve">funkcie </w:t>
      </w:r>
      <w:r w:rsidRPr="00652B9D">
        <w:rPr>
          <w:snapToGrid w:val="0"/>
          <w:sz w:val="22"/>
          <w:szCs w:val="22"/>
          <w:lang w:val="sk-SK"/>
        </w:rPr>
        <w:t xml:space="preserve">obličiek sú údaje o perorálnom </w:t>
      </w:r>
      <w:proofErr w:type="spellStart"/>
      <w:r w:rsidRPr="00652B9D">
        <w:rPr>
          <w:snapToGrid w:val="0"/>
          <w:sz w:val="22"/>
          <w:szCs w:val="22"/>
          <w:lang w:val="sk-SK"/>
        </w:rPr>
        <w:t>klírense</w:t>
      </w:r>
      <w:proofErr w:type="spellEnd"/>
      <w:r w:rsidRPr="00652B9D">
        <w:rPr>
          <w:snapToGrid w:val="0"/>
          <w:sz w:val="22"/>
          <w:szCs w:val="22"/>
          <w:lang w:val="sk-SK"/>
        </w:rPr>
        <w:t xml:space="preserve"> a/alebo AUC pre </w:t>
      </w:r>
      <w:proofErr w:type="spellStart"/>
      <w:r w:rsidR="00BF031F" w:rsidRPr="00652B9D">
        <w:rPr>
          <w:snapToGrid w:val="0"/>
          <w:sz w:val="22"/>
          <w:szCs w:val="22"/>
          <w:lang w:val="sk-SK"/>
        </w:rPr>
        <w:t>atova</w:t>
      </w:r>
      <w:r w:rsidR="00C34A4E">
        <w:rPr>
          <w:snapToGrid w:val="0"/>
          <w:sz w:val="22"/>
          <w:szCs w:val="22"/>
          <w:lang w:val="sk-SK"/>
        </w:rPr>
        <w:t>ch</w:t>
      </w:r>
      <w:r w:rsidR="00BF031F" w:rsidRPr="00652B9D">
        <w:rPr>
          <w:snapToGrid w:val="0"/>
          <w:sz w:val="22"/>
          <w:szCs w:val="22"/>
          <w:lang w:val="sk-SK"/>
        </w:rPr>
        <w:t>ón</w:t>
      </w:r>
      <w:proofErr w:type="spellEnd"/>
      <w:r w:rsidRPr="00652B9D">
        <w:rPr>
          <w:snapToGrid w:val="0"/>
          <w:sz w:val="22"/>
          <w:szCs w:val="22"/>
          <w:lang w:val="sk-SK"/>
        </w:rPr>
        <w:t>,</w:t>
      </w:r>
      <w:r w:rsidR="00B843DF" w:rsidRPr="00652B9D">
        <w:rPr>
          <w:snapToGrid w:val="0"/>
          <w:sz w:val="22"/>
          <w:szCs w:val="22"/>
          <w:lang w:val="sk-SK"/>
        </w:rPr>
        <w:t xml:space="preserve"> </w:t>
      </w:r>
      <w:proofErr w:type="spellStart"/>
      <w:r w:rsidR="00ED7B84" w:rsidRPr="00652B9D">
        <w:rPr>
          <w:snapToGrid w:val="0"/>
          <w:sz w:val="22"/>
          <w:szCs w:val="22"/>
          <w:lang w:val="sk-SK"/>
        </w:rPr>
        <w:t>prog</w:t>
      </w:r>
      <w:r w:rsidR="00D010FC">
        <w:rPr>
          <w:snapToGrid w:val="0"/>
          <w:sz w:val="22"/>
          <w:szCs w:val="22"/>
          <w:lang w:val="sk-SK"/>
        </w:rPr>
        <w:t>u</w:t>
      </w:r>
      <w:r w:rsidR="00ED7B84" w:rsidRPr="00652B9D">
        <w:rPr>
          <w:snapToGrid w:val="0"/>
          <w:sz w:val="22"/>
          <w:szCs w:val="22"/>
          <w:lang w:val="sk-SK"/>
        </w:rPr>
        <w:t>anil</w:t>
      </w:r>
      <w:proofErr w:type="spellEnd"/>
      <w:r w:rsidR="00ED7B84" w:rsidRPr="00652B9D">
        <w:rPr>
          <w:snapToGrid w:val="0"/>
          <w:sz w:val="22"/>
          <w:szCs w:val="22"/>
          <w:lang w:val="sk-SK"/>
        </w:rPr>
        <w:t xml:space="preserve"> </w:t>
      </w:r>
      <w:r w:rsidR="00B843DF" w:rsidRPr="00652B9D">
        <w:rPr>
          <w:snapToGrid w:val="0"/>
          <w:sz w:val="22"/>
          <w:szCs w:val="22"/>
          <w:lang w:val="sk-SK"/>
        </w:rPr>
        <w:t xml:space="preserve">a </w:t>
      </w:r>
      <w:proofErr w:type="spellStart"/>
      <w:r w:rsidR="00B843DF" w:rsidRPr="00652B9D">
        <w:rPr>
          <w:snapToGrid w:val="0"/>
          <w:sz w:val="22"/>
          <w:szCs w:val="22"/>
          <w:lang w:val="sk-SK"/>
        </w:rPr>
        <w:t>cy</w:t>
      </w:r>
      <w:r w:rsidRPr="00652B9D">
        <w:rPr>
          <w:snapToGrid w:val="0"/>
          <w:sz w:val="22"/>
          <w:szCs w:val="22"/>
          <w:lang w:val="sk-SK"/>
        </w:rPr>
        <w:t>k</w:t>
      </w:r>
      <w:r w:rsidR="00B843DF" w:rsidRPr="00652B9D">
        <w:rPr>
          <w:snapToGrid w:val="0"/>
          <w:sz w:val="22"/>
          <w:szCs w:val="22"/>
          <w:lang w:val="sk-SK"/>
        </w:rPr>
        <w:t>log</w:t>
      </w:r>
      <w:r w:rsidR="00D010FC">
        <w:rPr>
          <w:snapToGrid w:val="0"/>
          <w:sz w:val="22"/>
          <w:szCs w:val="22"/>
          <w:lang w:val="sk-SK"/>
        </w:rPr>
        <w:t>u</w:t>
      </w:r>
      <w:r w:rsidR="00B843DF" w:rsidRPr="00652B9D">
        <w:rPr>
          <w:snapToGrid w:val="0"/>
          <w:sz w:val="22"/>
          <w:szCs w:val="22"/>
          <w:lang w:val="sk-SK"/>
        </w:rPr>
        <w:t>anil</w:t>
      </w:r>
      <w:proofErr w:type="spellEnd"/>
      <w:r w:rsidR="00B843DF" w:rsidRPr="00652B9D">
        <w:rPr>
          <w:snapToGrid w:val="0"/>
          <w:sz w:val="22"/>
          <w:szCs w:val="22"/>
          <w:lang w:val="sk-SK"/>
        </w:rPr>
        <w:t xml:space="preserve"> </w:t>
      </w:r>
      <w:r w:rsidRPr="00652B9D">
        <w:rPr>
          <w:snapToGrid w:val="0"/>
          <w:sz w:val="22"/>
          <w:szCs w:val="22"/>
          <w:lang w:val="sk-SK"/>
        </w:rPr>
        <w:t>v rozsahu hodnôt pozorovaných u pacientov s</w:t>
      </w:r>
      <w:r w:rsidR="00F37A7A">
        <w:rPr>
          <w:snapToGrid w:val="0"/>
          <w:sz w:val="22"/>
          <w:szCs w:val="22"/>
          <w:lang w:val="sk-SK"/>
        </w:rPr>
        <w:t> </w:t>
      </w:r>
      <w:r w:rsidRPr="00652B9D">
        <w:rPr>
          <w:snapToGrid w:val="0"/>
          <w:sz w:val="22"/>
          <w:szCs w:val="22"/>
          <w:lang w:val="sk-SK"/>
        </w:rPr>
        <w:t>normálnou funkciou obličiek</w:t>
      </w:r>
      <w:r w:rsidR="00B843DF" w:rsidRPr="00652B9D">
        <w:rPr>
          <w:snapToGrid w:val="0"/>
          <w:sz w:val="22"/>
          <w:szCs w:val="22"/>
          <w:lang w:val="sk-SK"/>
        </w:rPr>
        <w:t>.</w:t>
      </w:r>
    </w:p>
    <w:p w14:paraId="522F5390" w14:textId="77777777" w:rsidR="00B843DF" w:rsidRPr="00652B9D" w:rsidRDefault="006548C5" w:rsidP="005F241E">
      <w:pPr>
        <w:rPr>
          <w:snapToGrid w:val="0"/>
          <w:sz w:val="22"/>
          <w:szCs w:val="22"/>
          <w:lang w:val="sk-SK"/>
        </w:rPr>
      </w:pPr>
      <w:r w:rsidRPr="00652B9D">
        <w:rPr>
          <w:snapToGrid w:val="0"/>
          <w:sz w:val="22"/>
          <w:szCs w:val="22"/>
          <w:lang w:val="sk-SK"/>
        </w:rPr>
        <w:t xml:space="preserve">U pacientov s ťažkou poruchou funkcie obličiek je </w:t>
      </w:r>
      <w:proofErr w:type="spellStart"/>
      <w:r w:rsidRPr="00652B9D">
        <w:rPr>
          <w:snapToGrid w:val="0"/>
          <w:sz w:val="22"/>
          <w:szCs w:val="22"/>
          <w:lang w:val="sk-SK"/>
        </w:rPr>
        <w:t>C</w:t>
      </w:r>
      <w:r w:rsidRPr="00652B9D">
        <w:rPr>
          <w:snapToGrid w:val="0"/>
          <w:sz w:val="22"/>
          <w:szCs w:val="22"/>
          <w:vertAlign w:val="subscript"/>
          <w:lang w:val="sk-SK"/>
        </w:rPr>
        <w:t>max</w:t>
      </w:r>
      <w:proofErr w:type="spellEnd"/>
      <w:r w:rsidRPr="00652B9D">
        <w:rPr>
          <w:snapToGrid w:val="0"/>
          <w:sz w:val="22"/>
          <w:szCs w:val="22"/>
          <w:lang w:val="sk-SK"/>
        </w:rPr>
        <w:t xml:space="preserve"> </w:t>
      </w:r>
      <w:proofErr w:type="spellStart"/>
      <w:r w:rsidR="00BF031F" w:rsidRPr="00652B9D">
        <w:rPr>
          <w:snapToGrid w:val="0"/>
          <w:sz w:val="22"/>
          <w:szCs w:val="22"/>
          <w:lang w:val="sk-SK"/>
        </w:rPr>
        <w:t>atova</w:t>
      </w:r>
      <w:r w:rsidR="00C34A4E">
        <w:rPr>
          <w:snapToGrid w:val="0"/>
          <w:sz w:val="22"/>
          <w:szCs w:val="22"/>
          <w:lang w:val="sk-SK"/>
        </w:rPr>
        <w:t>ch</w:t>
      </w:r>
      <w:r w:rsidR="00BF031F" w:rsidRPr="00652B9D">
        <w:rPr>
          <w:snapToGrid w:val="0"/>
          <w:sz w:val="22"/>
          <w:szCs w:val="22"/>
          <w:lang w:val="sk-SK"/>
        </w:rPr>
        <w:t>ónu</w:t>
      </w:r>
      <w:proofErr w:type="spellEnd"/>
      <w:r w:rsidR="00BF031F" w:rsidRPr="00652B9D">
        <w:rPr>
          <w:snapToGrid w:val="0"/>
          <w:sz w:val="22"/>
          <w:szCs w:val="22"/>
          <w:lang w:val="sk-SK"/>
        </w:rPr>
        <w:t xml:space="preserve"> </w:t>
      </w:r>
      <w:r w:rsidRPr="00652B9D">
        <w:rPr>
          <w:snapToGrid w:val="0"/>
          <w:sz w:val="22"/>
          <w:szCs w:val="22"/>
          <w:lang w:val="sk-SK"/>
        </w:rPr>
        <w:t>znížená o</w:t>
      </w:r>
      <w:r w:rsidR="00F37A7A">
        <w:rPr>
          <w:snapToGrid w:val="0"/>
          <w:sz w:val="22"/>
          <w:szCs w:val="22"/>
          <w:lang w:val="sk-SK"/>
        </w:rPr>
        <w:t> </w:t>
      </w:r>
      <w:r w:rsidRPr="00652B9D">
        <w:rPr>
          <w:snapToGrid w:val="0"/>
          <w:sz w:val="22"/>
          <w:szCs w:val="22"/>
          <w:lang w:val="sk-SK"/>
        </w:rPr>
        <w:t>64</w:t>
      </w:r>
      <w:r w:rsidR="00F37A7A">
        <w:rPr>
          <w:snapToGrid w:val="0"/>
          <w:sz w:val="22"/>
          <w:szCs w:val="22"/>
          <w:lang w:val="sk-SK"/>
        </w:rPr>
        <w:t> </w:t>
      </w:r>
      <w:r w:rsidRPr="00652B9D">
        <w:rPr>
          <w:snapToGrid w:val="0"/>
          <w:sz w:val="22"/>
          <w:szCs w:val="22"/>
          <w:lang w:val="sk-SK"/>
        </w:rPr>
        <w:t>% a AUC o</w:t>
      </w:r>
      <w:r w:rsidR="00F37A7A">
        <w:rPr>
          <w:snapToGrid w:val="0"/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>54</w:t>
      </w:r>
      <w:r w:rsidR="00F37A7A">
        <w:rPr>
          <w:snapToGrid w:val="0"/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>%.</w:t>
      </w:r>
    </w:p>
    <w:p w14:paraId="7CA5A81B" w14:textId="77777777" w:rsidR="00B843DF" w:rsidRPr="00652B9D" w:rsidRDefault="006548C5" w:rsidP="005F241E">
      <w:pPr>
        <w:rPr>
          <w:snapToGrid w:val="0"/>
          <w:sz w:val="22"/>
          <w:szCs w:val="22"/>
          <w:lang w:val="sk-SK"/>
        </w:rPr>
      </w:pPr>
      <w:r w:rsidRPr="00652B9D">
        <w:rPr>
          <w:snapToGrid w:val="0"/>
          <w:sz w:val="22"/>
          <w:szCs w:val="22"/>
          <w:lang w:val="sk-SK"/>
        </w:rPr>
        <w:t xml:space="preserve">U pacientov s ťažkou poruchou funkcie obličiek je eliminačný polčas </w:t>
      </w:r>
      <w:proofErr w:type="spellStart"/>
      <w:r w:rsidR="00B843DF" w:rsidRPr="00652B9D">
        <w:rPr>
          <w:snapToGrid w:val="0"/>
          <w:sz w:val="22"/>
          <w:szCs w:val="22"/>
          <w:lang w:val="sk-SK"/>
        </w:rPr>
        <w:t>prog</w:t>
      </w:r>
      <w:r w:rsidR="00D010FC">
        <w:rPr>
          <w:snapToGrid w:val="0"/>
          <w:sz w:val="22"/>
          <w:szCs w:val="22"/>
          <w:lang w:val="sk-SK"/>
        </w:rPr>
        <w:t>u</w:t>
      </w:r>
      <w:r w:rsidR="00B843DF" w:rsidRPr="00652B9D">
        <w:rPr>
          <w:snapToGrid w:val="0"/>
          <w:sz w:val="22"/>
          <w:szCs w:val="22"/>
          <w:lang w:val="sk-SK"/>
        </w:rPr>
        <w:t>anil</w:t>
      </w:r>
      <w:r w:rsidRPr="00652B9D">
        <w:rPr>
          <w:snapToGrid w:val="0"/>
          <w:sz w:val="22"/>
          <w:szCs w:val="22"/>
          <w:lang w:val="sk-SK"/>
        </w:rPr>
        <w:t>u</w:t>
      </w:r>
      <w:proofErr w:type="spellEnd"/>
      <w:r w:rsidR="00B843DF" w:rsidRPr="00652B9D">
        <w:rPr>
          <w:snapToGrid w:val="0"/>
          <w:sz w:val="22"/>
          <w:szCs w:val="22"/>
          <w:lang w:val="sk-SK"/>
        </w:rPr>
        <w:t xml:space="preserve"> </w:t>
      </w:r>
      <w:r w:rsidR="00B843DF" w:rsidRPr="00652B9D">
        <w:rPr>
          <w:snapToGrid w:val="0"/>
          <w:sz w:val="22"/>
          <w:szCs w:val="22"/>
          <w:u w:val="single"/>
          <w:lang w:val="sk-SK"/>
        </w:rPr>
        <w:t>(</w:t>
      </w:r>
      <w:r w:rsidR="00B843DF" w:rsidRPr="00652B9D">
        <w:rPr>
          <w:snapToGrid w:val="0"/>
          <w:sz w:val="22"/>
          <w:szCs w:val="22"/>
          <w:lang w:val="sk-SK"/>
        </w:rPr>
        <w:t>t</w:t>
      </w:r>
      <w:r w:rsidR="00B843DF" w:rsidRPr="00652B9D">
        <w:rPr>
          <w:snapToGrid w:val="0"/>
          <w:sz w:val="22"/>
          <w:szCs w:val="22"/>
          <w:vertAlign w:val="subscript"/>
          <w:lang w:val="sk-SK"/>
        </w:rPr>
        <w:t>½</w:t>
      </w:r>
      <w:r w:rsidR="00B843DF" w:rsidRPr="00652B9D">
        <w:rPr>
          <w:snapToGrid w:val="0"/>
          <w:sz w:val="22"/>
          <w:szCs w:val="22"/>
          <w:lang w:val="sk-SK"/>
        </w:rPr>
        <w:t xml:space="preserve"> 39</w:t>
      </w:r>
      <w:r w:rsidR="00F37A7A">
        <w:rPr>
          <w:snapToGrid w:val="0"/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>h</w:t>
      </w:r>
      <w:r w:rsidR="00896376" w:rsidRPr="00652B9D">
        <w:rPr>
          <w:snapToGrid w:val="0"/>
          <w:sz w:val="22"/>
          <w:szCs w:val="22"/>
          <w:lang w:val="sk-SK"/>
        </w:rPr>
        <w:t>odín</w:t>
      </w:r>
      <w:r w:rsidR="00B843DF" w:rsidRPr="00652B9D">
        <w:rPr>
          <w:snapToGrid w:val="0"/>
          <w:sz w:val="22"/>
          <w:szCs w:val="22"/>
          <w:lang w:val="sk-SK"/>
        </w:rPr>
        <w:t>) a</w:t>
      </w:r>
      <w:r w:rsidR="00F37A7A">
        <w:rPr>
          <w:snapToGrid w:val="0"/>
          <w:sz w:val="22"/>
          <w:szCs w:val="22"/>
          <w:lang w:val="sk-SK"/>
        </w:rPr>
        <w:t> </w:t>
      </w:r>
      <w:proofErr w:type="spellStart"/>
      <w:r w:rsidR="00B843DF" w:rsidRPr="00652B9D">
        <w:rPr>
          <w:snapToGrid w:val="0"/>
          <w:sz w:val="22"/>
          <w:szCs w:val="22"/>
          <w:lang w:val="sk-SK"/>
        </w:rPr>
        <w:t>cy</w:t>
      </w:r>
      <w:r w:rsidRPr="00652B9D">
        <w:rPr>
          <w:snapToGrid w:val="0"/>
          <w:sz w:val="22"/>
          <w:szCs w:val="22"/>
          <w:lang w:val="sk-SK"/>
        </w:rPr>
        <w:t>k</w:t>
      </w:r>
      <w:r w:rsidR="00B843DF" w:rsidRPr="00652B9D">
        <w:rPr>
          <w:snapToGrid w:val="0"/>
          <w:sz w:val="22"/>
          <w:szCs w:val="22"/>
          <w:lang w:val="sk-SK"/>
        </w:rPr>
        <w:t>log</w:t>
      </w:r>
      <w:r w:rsidR="00D010FC">
        <w:rPr>
          <w:snapToGrid w:val="0"/>
          <w:sz w:val="22"/>
          <w:szCs w:val="22"/>
          <w:lang w:val="sk-SK"/>
        </w:rPr>
        <w:t>u</w:t>
      </w:r>
      <w:r w:rsidR="00B843DF" w:rsidRPr="00652B9D">
        <w:rPr>
          <w:snapToGrid w:val="0"/>
          <w:sz w:val="22"/>
          <w:szCs w:val="22"/>
          <w:lang w:val="sk-SK"/>
        </w:rPr>
        <w:t>anil</w:t>
      </w:r>
      <w:r w:rsidRPr="00652B9D">
        <w:rPr>
          <w:snapToGrid w:val="0"/>
          <w:sz w:val="22"/>
          <w:szCs w:val="22"/>
          <w:lang w:val="sk-SK"/>
        </w:rPr>
        <w:t>u</w:t>
      </w:r>
      <w:proofErr w:type="spellEnd"/>
      <w:r w:rsidR="00B843DF" w:rsidRPr="00652B9D">
        <w:rPr>
          <w:snapToGrid w:val="0"/>
          <w:sz w:val="22"/>
          <w:szCs w:val="22"/>
          <w:lang w:val="sk-SK"/>
        </w:rPr>
        <w:t xml:space="preserve"> (t</w:t>
      </w:r>
      <w:r w:rsidR="00B843DF" w:rsidRPr="00652B9D">
        <w:rPr>
          <w:snapToGrid w:val="0"/>
          <w:sz w:val="22"/>
          <w:szCs w:val="22"/>
          <w:vertAlign w:val="subscript"/>
          <w:lang w:val="sk-SK"/>
        </w:rPr>
        <w:t>½</w:t>
      </w:r>
      <w:r w:rsidR="00B843DF" w:rsidRPr="00652B9D">
        <w:rPr>
          <w:snapToGrid w:val="0"/>
          <w:sz w:val="22"/>
          <w:szCs w:val="22"/>
          <w:lang w:val="sk-SK"/>
        </w:rPr>
        <w:t xml:space="preserve"> 37</w:t>
      </w:r>
      <w:r w:rsidR="00F37A7A">
        <w:rPr>
          <w:snapToGrid w:val="0"/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>h</w:t>
      </w:r>
      <w:r w:rsidR="00896376" w:rsidRPr="00652B9D">
        <w:rPr>
          <w:snapToGrid w:val="0"/>
          <w:sz w:val="22"/>
          <w:szCs w:val="22"/>
          <w:lang w:val="sk-SK"/>
        </w:rPr>
        <w:t>odín</w:t>
      </w:r>
      <w:r w:rsidR="00B843DF" w:rsidRPr="00652B9D">
        <w:rPr>
          <w:snapToGrid w:val="0"/>
          <w:sz w:val="22"/>
          <w:szCs w:val="22"/>
          <w:lang w:val="sk-SK"/>
        </w:rPr>
        <w:t xml:space="preserve">) </w:t>
      </w:r>
      <w:r w:rsidRPr="00652B9D">
        <w:rPr>
          <w:snapToGrid w:val="0"/>
          <w:sz w:val="22"/>
          <w:szCs w:val="22"/>
          <w:lang w:val="sk-SK"/>
        </w:rPr>
        <w:t xml:space="preserve">predĺžený, čo pri opakovaných dávkach vedie </w:t>
      </w:r>
      <w:r w:rsidR="008C12DC" w:rsidRPr="00652B9D">
        <w:rPr>
          <w:snapToGrid w:val="0"/>
          <w:sz w:val="22"/>
          <w:szCs w:val="22"/>
          <w:lang w:val="sk-SK"/>
        </w:rPr>
        <w:t xml:space="preserve">k možnej kumulácii </w:t>
      </w:r>
      <w:r w:rsidRPr="00652B9D">
        <w:rPr>
          <w:snapToGrid w:val="0"/>
          <w:sz w:val="22"/>
          <w:szCs w:val="22"/>
          <w:lang w:val="sk-SK"/>
        </w:rPr>
        <w:t xml:space="preserve">liečiva </w:t>
      </w:r>
      <w:r w:rsidR="00B843DF" w:rsidRPr="00652B9D">
        <w:rPr>
          <w:snapToGrid w:val="0"/>
          <w:sz w:val="22"/>
          <w:szCs w:val="22"/>
          <w:lang w:val="sk-SK"/>
        </w:rPr>
        <w:t>(</w:t>
      </w:r>
      <w:r w:rsidRPr="00652B9D">
        <w:rPr>
          <w:snapToGrid w:val="0"/>
          <w:sz w:val="22"/>
          <w:szCs w:val="22"/>
          <w:lang w:val="sk-SK"/>
        </w:rPr>
        <w:t>pozri čas</w:t>
      </w:r>
      <w:r w:rsidR="00896376" w:rsidRPr="00652B9D">
        <w:rPr>
          <w:snapToGrid w:val="0"/>
          <w:sz w:val="22"/>
          <w:szCs w:val="22"/>
          <w:lang w:val="sk-SK"/>
        </w:rPr>
        <w:t>ti</w:t>
      </w:r>
      <w:r w:rsidRPr="00652B9D">
        <w:rPr>
          <w:snapToGrid w:val="0"/>
          <w:sz w:val="22"/>
          <w:szCs w:val="22"/>
          <w:lang w:val="sk-SK"/>
        </w:rPr>
        <w:t xml:space="preserve"> </w:t>
      </w:r>
      <w:r w:rsidR="00B843DF" w:rsidRPr="00652B9D">
        <w:rPr>
          <w:snapToGrid w:val="0"/>
          <w:sz w:val="22"/>
          <w:szCs w:val="22"/>
          <w:lang w:val="sk-SK"/>
        </w:rPr>
        <w:t>4.2</w:t>
      </w:r>
      <w:r w:rsidR="00F37A7A">
        <w:rPr>
          <w:snapToGrid w:val="0"/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>a</w:t>
      </w:r>
      <w:r w:rsidR="00F37A7A">
        <w:rPr>
          <w:snapToGrid w:val="0"/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>4.4).</w:t>
      </w:r>
    </w:p>
    <w:p w14:paraId="7A2F0A1E" w14:textId="77777777" w:rsidR="00B843DF" w:rsidRPr="00652B9D" w:rsidRDefault="00B843DF" w:rsidP="005F241E">
      <w:pPr>
        <w:rPr>
          <w:snapToGrid w:val="0"/>
          <w:sz w:val="22"/>
          <w:szCs w:val="22"/>
          <w:lang w:val="sk-SK"/>
        </w:rPr>
      </w:pPr>
    </w:p>
    <w:p w14:paraId="79A419E8" w14:textId="77777777" w:rsidR="00B843DF" w:rsidRPr="00652B9D" w:rsidRDefault="006548C5" w:rsidP="005F241E">
      <w:pPr>
        <w:rPr>
          <w:bCs/>
          <w:snapToGrid w:val="0"/>
          <w:sz w:val="22"/>
          <w:szCs w:val="22"/>
          <w:lang w:val="sk-SK"/>
        </w:rPr>
      </w:pPr>
      <w:proofErr w:type="spellStart"/>
      <w:r w:rsidRPr="00652B9D">
        <w:rPr>
          <w:bCs/>
          <w:snapToGrid w:val="0"/>
          <w:sz w:val="22"/>
          <w:szCs w:val="22"/>
          <w:lang w:val="sk-SK"/>
        </w:rPr>
        <w:t>F</w:t>
      </w:r>
      <w:r w:rsidR="00B843DF" w:rsidRPr="00652B9D">
        <w:rPr>
          <w:bCs/>
          <w:snapToGrid w:val="0"/>
          <w:sz w:val="22"/>
          <w:szCs w:val="22"/>
          <w:lang w:val="sk-SK"/>
        </w:rPr>
        <w:t>arma</w:t>
      </w:r>
      <w:r w:rsidRPr="00652B9D">
        <w:rPr>
          <w:bCs/>
          <w:snapToGrid w:val="0"/>
          <w:sz w:val="22"/>
          <w:szCs w:val="22"/>
          <w:lang w:val="sk-SK"/>
        </w:rPr>
        <w:t>k</w:t>
      </w:r>
      <w:r w:rsidR="00B843DF" w:rsidRPr="00652B9D">
        <w:rPr>
          <w:bCs/>
          <w:snapToGrid w:val="0"/>
          <w:sz w:val="22"/>
          <w:szCs w:val="22"/>
          <w:lang w:val="sk-SK"/>
        </w:rPr>
        <w:t>okineti</w:t>
      </w:r>
      <w:r w:rsidRPr="00652B9D">
        <w:rPr>
          <w:bCs/>
          <w:snapToGrid w:val="0"/>
          <w:sz w:val="22"/>
          <w:szCs w:val="22"/>
          <w:lang w:val="sk-SK"/>
        </w:rPr>
        <w:t>ka</w:t>
      </w:r>
      <w:proofErr w:type="spellEnd"/>
      <w:r w:rsidRPr="00652B9D">
        <w:rPr>
          <w:bCs/>
          <w:snapToGrid w:val="0"/>
          <w:sz w:val="22"/>
          <w:szCs w:val="22"/>
          <w:lang w:val="sk-SK"/>
        </w:rPr>
        <w:t xml:space="preserve"> u pacientov s poruchou funkcie pečene</w:t>
      </w:r>
    </w:p>
    <w:p w14:paraId="2782C09C" w14:textId="77777777" w:rsidR="00A97DD5" w:rsidRPr="00652B9D" w:rsidRDefault="00A97DD5" w:rsidP="005F241E">
      <w:pPr>
        <w:rPr>
          <w:snapToGrid w:val="0"/>
          <w:sz w:val="22"/>
          <w:szCs w:val="22"/>
          <w:lang w:val="sk-SK"/>
        </w:rPr>
      </w:pPr>
    </w:p>
    <w:p w14:paraId="5E23E6BA" w14:textId="77777777" w:rsidR="00B843DF" w:rsidRPr="00652B9D" w:rsidRDefault="00CC77B1" w:rsidP="005F241E">
      <w:pPr>
        <w:rPr>
          <w:snapToGrid w:val="0"/>
          <w:sz w:val="22"/>
          <w:szCs w:val="22"/>
          <w:lang w:val="sk-SK"/>
        </w:rPr>
      </w:pPr>
      <w:r w:rsidRPr="00652B9D">
        <w:rPr>
          <w:snapToGrid w:val="0"/>
          <w:sz w:val="22"/>
          <w:szCs w:val="22"/>
          <w:lang w:val="sk-SK"/>
        </w:rPr>
        <w:t xml:space="preserve">U pacientov s miernou až stredne ťažkou poruchou funkcie pečene nie je žiadna klinicky významná zmena v expozícii </w:t>
      </w:r>
      <w:proofErr w:type="spellStart"/>
      <w:r w:rsidR="00BF031F" w:rsidRPr="00652B9D">
        <w:rPr>
          <w:snapToGrid w:val="0"/>
          <w:sz w:val="22"/>
          <w:szCs w:val="22"/>
          <w:lang w:val="sk-SK"/>
        </w:rPr>
        <w:t>atova</w:t>
      </w:r>
      <w:r w:rsidR="00C34A4E">
        <w:rPr>
          <w:snapToGrid w:val="0"/>
          <w:sz w:val="22"/>
          <w:szCs w:val="22"/>
          <w:lang w:val="sk-SK"/>
        </w:rPr>
        <w:t>ch</w:t>
      </w:r>
      <w:r w:rsidR="00BF031F" w:rsidRPr="00652B9D">
        <w:rPr>
          <w:snapToGrid w:val="0"/>
          <w:sz w:val="22"/>
          <w:szCs w:val="22"/>
          <w:lang w:val="sk-SK"/>
        </w:rPr>
        <w:t>ónu</w:t>
      </w:r>
      <w:proofErr w:type="spellEnd"/>
      <w:r w:rsidR="00BF031F" w:rsidRPr="00652B9D">
        <w:rPr>
          <w:snapToGrid w:val="0"/>
          <w:sz w:val="22"/>
          <w:szCs w:val="22"/>
          <w:lang w:val="sk-SK"/>
        </w:rPr>
        <w:t xml:space="preserve"> </w:t>
      </w:r>
      <w:r w:rsidRPr="00652B9D">
        <w:rPr>
          <w:snapToGrid w:val="0"/>
          <w:sz w:val="22"/>
          <w:szCs w:val="22"/>
          <w:lang w:val="sk-SK"/>
        </w:rPr>
        <w:t>v porovnaní so zdravými pacientmi</w:t>
      </w:r>
      <w:r w:rsidR="00B843DF" w:rsidRPr="00652B9D">
        <w:rPr>
          <w:snapToGrid w:val="0"/>
          <w:sz w:val="22"/>
          <w:szCs w:val="22"/>
          <w:lang w:val="sk-SK"/>
        </w:rPr>
        <w:t>.</w:t>
      </w:r>
    </w:p>
    <w:p w14:paraId="22576768" w14:textId="77777777" w:rsidR="00B843DF" w:rsidRPr="00652B9D" w:rsidRDefault="00CC77B1" w:rsidP="005F241E">
      <w:pPr>
        <w:rPr>
          <w:snapToGrid w:val="0"/>
          <w:sz w:val="22"/>
          <w:szCs w:val="22"/>
          <w:lang w:val="sk-SK"/>
        </w:rPr>
      </w:pPr>
      <w:r w:rsidRPr="00652B9D">
        <w:rPr>
          <w:snapToGrid w:val="0"/>
          <w:sz w:val="22"/>
          <w:szCs w:val="22"/>
          <w:lang w:val="sk-SK"/>
        </w:rPr>
        <w:t xml:space="preserve">U pacientov s miernou až stredne ťažkou poruchou funkcie pečene je </w:t>
      </w:r>
      <w:r w:rsidR="00B843DF" w:rsidRPr="00652B9D">
        <w:rPr>
          <w:snapToGrid w:val="0"/>
          <w:sz w:val="22"/>
          <w:szCs w:val="22"/>
          <w:lang w:val="sk-SK"/>
        </w:rPr>
        <w:t>85</w:t>
      </w:r>
      <w:r w:rsidR="00F37A7A">
        <w:rPr>
          <w:snapToGrid w:val="0"/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 xml:space="preserve">% </w:t>
      </w:r>
      <w:r w:rsidRPr="00652B9D">
        <w:rPr>
          <w:snapToGrid w:val="0"/>
          <w:sz w:val="22"/>
          <w:szCs w:val="22"/>
          <w:lang w:val="sk-SK"/>
        </w:rPr>
        <w:t xml:space="preserve">vzostup v AUC </w:t>
      </w:r>
      <w:proofErr w:type="spellStart"/>
      <w:r w:rsidRPr="00652B9D">
        <w:rPr>
          <w:snapToGrid w:val="0"/>
          <w:sz w:val="22"/>
          <w:szCs w:val="22"/>
          <w:lang w:val="sk-SK"/>
        </w:rPr>
        <w:t>prog</w:t>
      </w:r>
      <w:r w:rsidR="00D010FC">
        <w:rPr>
          <w:snapToGrid w:val="0"/>
          <w:sz w:val="22"/>
          <w:szCs w:val="22"/>
          <w:lang w:val="sk-SK"/>
        </w:rPr>
        <w:t>u</w:t>
      </w:r>
      <w:r w:rsidRPr="00652B9D">
        <w:rPr>
          <w:snapToGrid w:val="0"/>
          <w:sz w:val="22"/>
          <w:szCs w:val="22"/>
          <w:lang w:val="sk-SK"/>
        </w:rPr>
        <w:t>anilu</w:t>
      </w:r>
      <w:proofErr w:type="spellEnd"/>
      <w:r w:rsidRPr="00652B9D">
        <w:rPr>
          <w:snapToGrid w:val="0"/>
          <w:sz w:val="22"/>
          <w:szCs w:val="22"/>
          <w:lang w:val="sk-SK"/>
        </w:rPr>
        <w:t xml:space="preserve"> bez zmeny v eliminačnom polčase a dochádza k</w:t>
      </w:r>
      <w:r w:rsidR="00F37A7A">
        <w:rPr>
          <w:snapToGrid w:val="0"/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>65</w:t>
      </w:r>
      <w:r w:rsidR="00F37A7A">
        <w:rPr>
          <w:snapToGrid w:val="0"/>
          <w:sz w:val="22"/>
          <w:szCs w:val="22"/>
          <w:lang w:val="sk-SK"/>
        </w:rPr>
        <w:t> </w:t>
      </w:r>
      <w:r w:rsidR="00F37A7A">
        <w:rPr>
          <w:snapToGrid w:val="0"/>
          <w:sz w:val="22"/>
          <w:szCs w:val="22"/>
          <w:lang w:val="sk-SK"/>
        </w:rPr>
        <w:noBreakHyphen/>
        <w:t> </w:t>
      </w:r>
      <w:r w:rsidR="00B843DF" w:rsidRPr="00652B9D">
        <w:rPr>
          <w:snapToGrid w:val="0"/>
          <w:sz w:val="22"/>
          <w:szCs w:val="22"/>
          <w:lang w:val="sk-SK"/>
        </w:rPr>
        <w:t>68</w:t>
      </w:r>
      <w:r w:rsidR="00F37A7A">
        <w:rPr>
          <w:snapToGrid w:val="0"/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 xml:space="preserve">% </w:t>
      </w:r>
      <w:r w:rsidRPr="00652B9D">
        <w:rPr>
          <w:snapToGrid w:val="0"/>
          <w:sz w:val="22"/>
          <w:szCs w:val="22"/>
          <w:lang w:val="sk-SK"/>
        </w:rPr>
        <w:t>poklesu v</w:t>
      </w:r>
      <w:r w:rsidR="00B843DF" w:rsidRPr="00652B9D">
        <w:rPr>
          <w:snapToGrid w:val="0"/>
          <w:sz w:val="22"/>
          <w:szCs w:val="22"/>
          <w:lang w:val="sk-SK"/>
        </w:rPr>
        <w:t xml:space="preserve"> </w:t>
      </w:r>
      <w:proofErr w:type="spellStart"/>
      <w:r w:rsidR="00B843DF" w:rsidRPr="00652B9D">
        <w:rPr>
          <w:snapToGrid w:val="0"/>
          <w:sz w:val="22"/>
          <w:szCs w:val="22"/>
          <w:lang w:val="sk-SK"/>
        </w:rPr>
        <w:t>C</w:t>
      </w:r>
      <w:r w:rsidRPr="00652B9D">
        <w:rPr>
          <w:snapToGrid w:val="0"/>
          <w:sz w:val="22"/>
          <w:szCs w:val="22"/>
          <w:vertAlign w:val="subscript"/>
          <w:lang w:val="sk-SK"/>
        </w:rPr>
        <w:t>max</w:t>
      </w:r>
      <w:proofErr w:type="spellEnd"/>
      <w:r w:rsidRPr="00652B9D">
        <w:rPr>
          <w:snapToGrid w:val="0"/>
          <w:sz w:val="22"/>
          <w:szCs w:val="22"/>
          <w:lang w:val="sk-SK"/>
        </w:rPr>
        <w:t xml:space="preserve"> </w:t>
      </w:r>
      <w:r w:rsidR="00B843DF" w:rsidRPr="00652B9D">
        <w:rPr>
          <w:snapToGrid w:val="0"/>
          <w:sz w:val="22"/>
          <w:szCs w:val="22"/>
          <w:lang w:val="sk-SK"/>
        </w:rPr>
        <w:t xml:space="preserve">a AUC </w:t>
      </w:r>
      <w:proofErr w:type="spellStart"/>
      <w:r w:rsidR="00B843DF" w:rsidRPr="00652B9D">
        <w:rPr>
          <w:snapToGrid w:val="0"/>
          <w:sz w:val="22"/>
          <w:szCs w:val="22"/>
          <w:lang w:val="sk-SK"/>
        </w:rPr>
        <w:t>cy</w:t>
      </w:r>
      <w:r w:rsidRPr="00652B9D">
        <w:rPr>
          <w:snapToGrid w:val="0"/>
          <w:sz w:val="22"/>
          <w:szCs w:val="22"/>
          <w:lang w:val="sk-SK"/>
        </w:rPr>
        <w:t>k</w:t>
      </w:r>
      <w:r w:rsidR="00B843DF" w:rsidRPr="00652B9D">
        <w:rPr>
          <w:snapToGrid w:val="0"/>
          <w:sz w:val="22"/>
          <w:szCs w:val="22"/>
          <w:lang w:val="sk-SK"/>
        </w:rPr>
        <w:t>log</w:t>
      </w:r>
      <w:r w:rsidR="00D010FC">
        <w:rPr>
          <w:snapToGrid w:val="0"/>
          <w:sz w:val="22"/>
          <w:szCs w:val="22"/>
          <w:lang w:val="sk-SK"/>
        </w:rPr>
        <w:t>u</w:t>
      </w:r>
      <w:r w:rsidR="00B843DF" w:rsidRPr="00652B9D">
        <w:rPr>
          <w:snapToGrid w:val="0"/>
          <w:sz w:val="22"/>
          <w:szCs w:val="22"/>
          <w:lang w:val="sk-SK"/>
        </w:rPr>
        <w:t>anil</w:t>
      </w:r>
      <w:r w:rsidRPr="00652B9D">
        <w:rPr>
          <w:snapToGrid w:val="0"/>
          <w:sz w:val="22"/>
          <w:szCs w:val="22"/>
          <w:lang w:val="sk-SK"/>
        </w:rPr>
        <w:t>u</w:t>
      </w:r>
      <w:proofErr w:type="spellEnd"/>
      <w:r w:rsidR="00B843DF" w:rsidRPr="00652B9D">
        <w:rPr>
          <w:snapToGrid w:val="0"/>
          <w:sz w:val="22"/>
          <w:szCs w:val="22"/>
          <w:lang w:val="sk-SK"/>
        </w:rPr>
        <w:t>.</w:t>
      </w:r>
    </w:p>
    <w:p w14:paraId="0E26C199" w14:textId="77777777" w:rsidR="00B843DF" w:rsidRPr="00652B9D" w:rsidRDefault="00EA0E8A" w:rsidP="005F241E">
      <w:pPr>
        <w:rPr>
          <w:snapToGrid w:val="0"/>
          <w:sz w:val="22"/>
          <w:szCs w:val="22"/>
          <w:lang w:val="sk-SK"/>
        </w:rPr>
      </w:pPr>
      <w:r w:rsidRPr="00652B9D">
        <w:rPr>
          <w:snapToGrid w:val="0"/>
          <w:sz w:val="22"/>
          <w:szCs w:val="22"/>
          <w:lang w:val="sk-SK"/>
        </w:rPr>
        <w:t>U pacientov s ťažkou poruchou funkcie pečene nie sú dostupné žiadne údaje</w:t>
      </w:r>
      <w:r w:rsidR="00B843DF" w:rsidRPr="00652B9D">
        <w:rPr>
          <w:snapToGrid w:val="0"/>
          <w:sz w:val="22"/>
          <w:szCs w:val="22"/>
          <w:lang w:val="sk-SK"/>
        </w:rPr>
        <w:t xml:space="preserve"> (</w:t>
      </w:r>
      <w:r w:rsidRPr="00652B9D">
        <w:rPr>
          <w:snapToGrid w:val="0"/>
          <w:sz w:val="22"/>
          <w:szCs w:val="22"/>
          <w:lang w:val="sk-SK"/>
        </w:rPr>
        <w:t>pozri časť</w:t>
      </w:r>
      <w:r w:rsidR="00F37A7A">
        <w:rPr>
          <w:snapToGrid w:val="0"/>
          <w:sz w:val="22"/>
          <w:szCs w:val="22"/>
          <w:lang w:val="sk-SK"/>
        </w:rPr>
        <w:t> </w:t>
      </w:r>
      <w:r w:rsidR="00B843DF" w:rsidRPr="00652B9D">
        <w:rPr>
          <w:snapToGrid w:val="0"/>
          <w:sz w:val="22"/>
          <w:szCs w:val="22"/>
          <w:lang w:val="sk-SK"/>
        </w:rPr>
        <w:t>4.2).</w:t>
      </w:r>
    </w:p>
    <w:p w14:paraId="7FDDC2A0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79806F3B" w14:textId="77777777" w:rsidR="00B843DF" w:rsidRPr="00652B9D" w:rsidRDefault="008C12DC" w:rsidP="005F241E">
      <w:pPr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5.3</w:t>
      </w:r>
      <w:r w:rsidR="00481ED7">
        <w:rPr>
          <w:b/>
          <w:sz w:val="22"/>
          <w:szCs w:val="22"/>
          <w:lang w:val="sk-SK"/>
        </w:rPr>
        <w:tab/>
      </w:r>
      <w:r w:rsidR="00B843DF" w:rsidRPr="00652B9D">
        <w:rPr>
          <w:b/>
          <w:sz w:val="22"/>
          <w:szCs w:val="22"/>
          <w:lang w:val="sk-SK"/>
        </w:rPr>
        <w:t>Pre</w:t>
      </w:r>
      <w:r w:rsidR="00EA0E8A" w:rsidRPr="00652B9D">
        <w:rPr>
          <w:b/>
          <w:sz w:val="22"/>
          <w:szCs w:val="22"/>
          <w:lang w:val="sk-SK"/>
        </w:rPr>
        <w:t>dk</w:t>
      </w:r>
      <w:r w:rsidR="00B843DF" w:rsidRPr="00652B9D">
        <w:rPr>
          <w:b/>
          <w:sz w:val="22"/>
          <w:szCs w:val="22"/>
          <w:lang w:val="sk-SK"/>
        </w:rPr>
        <w:t>linic</w:t>
      </w:r>
      <w:r w:rsidR="00EA0E8A" w:rsidRPr="00652B9D">
        <w:rPr>
          <w:b/>
          <w:sz w:val="22"/>
          <w:szCs w:val="22"/>
          <w:lang w:val="sk-SK"/>
        </w:rPr>
        <w:t>ké údaje o bezpečnosti</w:t>
      </w:r>
    </w:p>
    <w:p w14:paraId="4F38150E" w14:textId="77777777" w:rsidR="00B843DF" w:rsidRPr="00F37A7A" w:rsidRDefault="00B843DF" w:rsidP="005F241E">
      <w:pPr>
        <w:rPr>
          <w:sz w:val="22"/>
          <w:szCs w:val="22"/>
          <w:lang w:val="sk-SK"/>
        </w:rPr>
      </w:pPr>
    </w:p>
    <w:p w14:paraId="358CA635" w14:textId="77777777" w:rsidR="00B843DF" w:rsidRPr="005E30CF" w:rsidRDefault="00EA0E8A" w:rsidP="005F241E">
      <w:pPr>
        <w:rPr>
          <w:bCs/>
          <w:sz w:val="22"/>
          <w:szCs w:val="22"/>
          <w:u w:val="single"/>
          <w:lang w:val="sk-SK"/>
        </w:rPr>
      </w:pPr>
      <w:r w:rsidRPr="005E30CF">
        <w:rPr>
          <w:bCs/>
          <w:sz w:val="22"/>
          <w:szCs w:val="22"/>
          <w:u w:val="single"/>
          <w:lang w:val="sk-SK"/>
        </w:rPr>
        <w:t>Toxicita</w:t>
      </w:r>
      <w:r w:rsidR="000F39CD" w:rsidRPr="005E30CF">
        <w:rPr>
          <w:bCs/>
          <w:sz w:val="22"/>
          <w:szCs w:val="22"/>
          <w:u w:val="single"/>
          <w:lang w:val="sk-SK"/>
        </w:rPr>
        <w:t xml:space="preserve"> po opa</w:t>
      </w:r>
      <w:r w:rsidRPr="005E30CF">
        <w:rPr>
          <w:bCs/>
          <w:sz w:val="22"/>
          <w:szCs w:val="22"/>
          <w:u w:val="single"/>
          <w:lang w:val="sk-SK"/>
        </w:rPr>
        <w:t>kovan</w:t>
      </w:r>
      <w:r w:rsidR="000F39CD" w:rsidRPr="005E30CF">
        <w:rPr>
          <w:bCs/>
          <w:sz w:val="22"/>
          <w:szCs w:val="22"/>
          <w:u w:val="single"/>
          <w:lang w:val="sk-SK"/>
        </w:rPr>
        <w:t>om podaní</w:t>
      </w:r>
      <w:r w:rsidR="00B843DF" w:rsidRPr="005E30CF">
        <w:rPr>
          <w:bCs/>
          <w:sz w:val="22"/>
          <w:szCs w:val="22"/>
          <w:u w:val="single"/>
          <w:lang w:val="sk-SK"/>
        </w:rPr>
        <w:t>:</w:t>
      </w:r>
    </w:p>
    <w:p w14:paraId="6FD11D36" w14:textId="77777777" w:rsidR="00A97DD5" w:rsidRPr="00652B9D" w:rsidRDefault="00A97DD5" w:rsidP="005F241E">
      <w:pPr>
        <w:rPr>
          <w:sz w:val="22"/>
          <w:szCs w:val="22"/>
          <w:lang w:val="sk-SK"/>
        </w:rPr>
      </w:pPr>
    </w:p>
    <w:p w14:paraId="445A9847" w14:textId="42AAC349" w:rsidR="00B843DF" w:rsidRPr="00652B9D" w:rsidRDefault="000F39CD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Zistenia štúdií toxicity po opakovanom podaní kombinácie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ónu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a</w:t>
      </w:r>
      <w:r w:rsidR="00374D6A">
        <w:rPr>
          <w:sz w:val="22"/>
          <w:szCs w:val="22"/>
          <w:lang w:val="sk-SK"/>
        </w:rPr>
        <w:t> </w:t>
      </w:r>
      <w:proofErr w:type="spellStart"/>
      <w:r w:rsidR="00B843DF" w:rsidRPr="00652B9D">
        <w:rPr>
          <w:sz w:val="22"/>
          <w:szCs w:val="22"/>
          <w:lang w:val="sk-SK"/>
        </w:rPr>
        <w:t>prog</w:t>
      </w:r>
      <w:r w:rsidR="00D010FC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</w:t>
      </w:r>
      <w:r w:rsidR="00374D6A">
        <w:rPr>
          <w:sz w:val="22"/>
          <w:szCs w:val="22"/>
          <w:lang w:val="sk-SK"/>
        </w:rPr>
        <w:t>í</w:t>
      </w:r>
      <w:r w:rsidR="00B843DF" w:rsidRPr="00652B9D">
        <w:rPr>
          <w:sz w:val="22"/>
          <w:szCs w:val="22"/>
          <w:lang w:val="sk-SK"/>
        </w:rPr>
        <w:t>l</w:t>
      </w:r>
      <w:r w:rsidRPr="00652B9D">
        <w:rPr>
          <w:sz w:val="22"/>
          <w:szCs w:val="22"/>
          <w:lang w:val="sk-SK"/>
        </w:rPr>
        <w:t>ium</w:t>
      </w:r>
      <w:proofErr w:type="spellEnd"/>
      <w:r w:rsidR="00374D6A">
        <w:rPr>
          <w:sz w:val="22"/>
          <w:szCs w:val="22"/>
          <w:lang w:val="sk-SK"/>
        </w:rPr>
        <w:t>-</w:t>
      </w:r>
      <w:r w:rsidRPr="00652B9D">
        <w:rPr>
          <w:sz w:val="22"/>
          <w:szCs w:val="22"/>
          <w:lang w:val="sk-SK"/>
        </w:rPr>
        <w:t>ch</w:t>
      </w:r>
      <w:r w:rsidR="00B843DF" w:rsidRPr="00652B9D">
        <w:rPr>
          <w:sz w:val="22"/>
          <w:szCs w:val="22"/>
          <w:lang w:val="sk-SK"/>
        </w:rPr>
        <w:t>lorid</w:t>
      </w:r>
      <w:r w:rsidRPr="00652B9D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sa týkali výhradne </w:t>
      </w:r>
      <w:proofErr w:type="spellStart"/>
      <w:r w:rsidR="00B843DF" w:rsidRPr="00652B9D">
        <w:rPr>
          <w:sz w:val="22"/>
          <w:szCs w:val="22"/>
          <w:lang w:val="sk-SK"/>
        </w:rPr>
        <w:t>prog</w:t>
      </w:r>
      <w:r w:rsidR="00D010FC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anil</w:t>
      </w:r>
      <w:r w:rsidRPr="00652B9D">
        <w:rPr>
          <w:sz w:val="22"/>
          <w:szCs w:val="22"/>
          <w:lang w:val="sk-SK"/>
        </w:rPr>
        <w:t>u</w:t>
      </w:r>
      <w:proofErr w:type="spellEnd"/>
      <w:r w:rsidRPr="00652B9D">
        <w:rPr>
          <w:sz w:val="22"/>
          <w:szCs w:val="22"/>
          <w:lang w:val="sk-SK"/>
        </w:rPr>
        <w:t xml:space="preserve"> a boli pozorované v dávkach, ktoré neposkytujú žiadn</w:t>
      </w:r>
      <w:r w:rsidR="00A9524C" w:rsidRPr="00652B9D">
        <w:rPr>
          <w:sz w:val="22"/>
          <w:szCs w:val="22"/>
          <w:lang w:val="sk-SK"/>
        </w:rPr>
        <w:t>e</w:t>
      </w:r>
      <w:r w:rsidRPr="00652B9D">
        <w:rPr>
          <w:sz w:val="22"/>
          <w:szCs w:val="22"/>
          <w:lang w:val="sk-SK"/>
        </w:rPr>
        <w:t xml:space="preserve"> významn</w:t>
      </w:r>
      <w:r w:rsidR="00A9524C" w:rsidRPr="00652B9D">
        <w:rPr>
          <w:sz w:val="22"/>
          <w:szCs w:val="22"/>
          <w:lang w:val="sk-SK"/>
        </w:rPr>
        <w:t>é rozmedzie</w:t>
      </w:r>
      <w:r w:rsidRPr="00652B9D">
        <w:rPr>
          <w:sz w:val="22"/>
          <w:szCs w:val="22"/>
          <w:lang w:val="sk-SK"/>
        </w:rPr>
        <w:t xml:space="preserve"> expozície v porovnaní s očakávanou klinickou expozíciou.</w:t>
      </w:r>
      <w:r w:rsidR="00B843D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Vzhľadom </w:t>
      </w:r>
      <w:r w:rsidR="00F37A7A">
        <w:rPr>
          <w:sz w:val="22"/>
          <w:szCs w:val="22"/>
          <w:lang w:val="sk-SK"/>
        </w:rPr>
        <w:t>na</w:t>
      </w:r>
      <w:r w:rsidRPr="00652B9D">
        <w:rPr>
          <w:sz w:val="22"/>
          <w:szCs w:val="22"/>
          <w:lang w:val="sk-SK"/>
        </w:rPr>
        <w:t xml:space="preserve"> to, že </w:t>
      </w:r>
      <w:proofErr w:type="spellStart"/>
      <w:r w:rsidR="00B843DF" w:rsidRPr="00652B9D">
        <w:rPr>
          <w:sz w:val="22"/>
          <w:szCs w:val="22"/>
          <w:lang w:val="sk-SK"/>
        </w:rPr>
        <w:t>prog</w:t>
      </w:r>
      <w:r w:rsidR="00D010FC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anil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sa používa v rozsiahlej miere a bezpečne v liečbe a profylaxii malárie v podobných dávkach ako sú dávky použité v kombinácii, relevancia týchto zistení pre klinickú situáciu sa pokladá za nízku.</w:t>
      </w:r>
    </w:p>
    <w:p w14:paraId="6290B8C7" w14:textId="77777777" w:rsidR="00B843DF" w:rsidRPr="002320E1" w:rsidRDefault="00B843DF" w:rsidP="005F241E">
      <w:pPr>
        <w:rPr>
          <w:sz w:val="22"/>
          <w:szCs w:val="22"/>
          <w:lang w:val="sk-SK"/>
        </w:rPr>
      </w:pPr>
    </w:p>
    <w:p w14:paraId="650D9417" w14:textId="77777777" w:rsidR="00B843DF" w:rsidRPr="005E30CF" w:rsidRDefault="000F39CD" w:rsidP="005F241E">
      <w:pPr>
        <w:rPr>
          <w:bCs/>
          <w:sz w:val="22"/>
          <w:szCs w:val="22"/>
          <w:u w:val="single"/>
          <w:lang w:val="sk-SK"/>
        </w:rPr>
      </w:pPr>
      <w:r w:rsidRPr="005E30CF">
        <w:rPr>
          <w:bCs/>
          <w:sz w:val="22"/>
          <w:szCs w:val="22"/>
          <w:u w:val="single"/>
          <w:lang w:val="sk-SK"/>
        </w:rPr>
        <w:t>Štúdie reprodukčnej toxicity</w:t>
      </w:r>
      <w:r w:rsidR="00B843DF" w:rsidRPr="005E30CF">
        <w:rPr>
          <w:bCs/>
          <w:sz w:val="22"/>
          <w:szCs w:val="22"/>
          <w:u w:val="single"/>
          <w:lang w:val="sk-SK"/>
        </w:rPr>
        <w:t>:</w:t>
      </w:r>
    </w:p>
    <w:p w14:paraId="54F7227A" w14:textId="77777777" w:rsidR="00A97DD5" w:rsidRPr="00652B9D" w:rsidRDefault="00A97DD5" w:rsidP="005F241E">
      <w:pPr>
        <w:rPr>
          <w:snapToGrid w:val="0"/>
          <w:sz w:val="22"/>
          <w:szCs w:val="22"/>
          <w:lang w:val="sk-SK"/>
        </w:rPr>
      </w:pPr>
    </w:p>
    <w:p w14:paraId="27F28048" w14:textId="77777777" w:rsidR="00B843DF" w:rsidRPr="00652B9D" w:rsidRDefault="00A9524C" w:rsidP="005F241E">
      <w:pPr>
        <w:rPr>
          <w:i/>
          <w:snapToGrid w:val="0"/>
          <w:sz w:val="22"/>
          <w:szCs w:val="22"/>
          <w:lang w:val="sk-SK"/>
        </w:rPr>
      </w:pPr>
      <w:r w:rsidRPr="00652B9D">
        <w:rPr>
          <w:snapToGrid w:val="0"/>
          <w:sz w:val="22"/>
          <w:szCs w:val="22"/>
          <w:lang w:val="sk-SK"/>
        </w:rPr>
        <w:t xml:space="preserve">U potkanov a králikov sa nezistili žiadne dôkazy o </w:t>
      </w:r>
      <w:proofErr w:type="spellStart"/>
      <w:r w:rsidRPr="00652B9D">
        <w:rPr>
          <w:snapToGrid w:val="0"/>
          <w:sz w:val="22"/>
          <w:szCs w:val="22"/>
          <w:lang w:val="sk-SK"/>
        </w:rPr>
        <w:t>teratogenite</w:t>
      </w:r>
      <w:proofErr w:type="spellEnd"/>
      <w:r w:rsidRPr="00652B9D">
        <w:rPr>
          <w:snapToGrid w:val="0"/>
          <w:sz w:val="22"/>
          <w:szCs w:val="22"/>
          <w:lang w:val="sk-SK"/>
        </w:rPr>
        <w:t xml:space="preserve"> kombinácie. Nie sú dostupné žiadne údaje týkajúce sa </w:t>
      </w:r>
      <w:r w:rsidR="00630559" w:rsidRPr="00652B9D">
        <w:rPr>
          <w:snapToGrid w:val="0"/>
          <w:sz w:val="22"/>
          <w:szCs w:val="22"/>
          <w:lang w:val="sk-SK"/>
        </w:rPr>
        <w:t xml:space="preserve">vplyvu </w:t>
      </w:r>
      <w:r w:rsidRPr="00652B9D">
        <w:rPr>
          <w:snapToGrid w:val="0"/>
          <w:sz w:val="22"/>
          <w:szCs w:val="22"/>
          <w:lang w:val="sk-SK"/>
        </w:rPr>
        <w:t xml:space="preserve">kombinácie na </w:t>
      </w:r>
      <w:proofErr w:type="spellStart"/>
      <w:r w:rsidRPr="00652B9D">
        <w:rPr>
          <w:snapToGrid w:val="0"/>
          <w:sz w:val="22"/>
          <w:szCs w:val="22"/>
          <w:lang w:val="sk-SK"/>
        </w:rPr>
        <w:t>fertilitu</w:t>
      </w:r>
      <w:proofErr w:type="spellEnd"/>
      <w:r w:rsidRPr="00652B9D">
        <w:rPr>
          <w:snapToGrid w:val="0"/>
          <w:sz w:val="22"/>
          <w:szCs w:val="22"/>
          <w:lang w:val="sk-SK"/>
        </w:rPr>
        <w:t xml:space="preserve"> alebo prenatálny a </w:t>
      </w:r>
      <w:proofErr w:type="spellStart"/>
      <w:r w:rsidRPr="00652B9D">
        <w:rPr>
          <w:snapToGrid w:val="0"/>
          <w:sz w:val="22"/>
          <w:szCs w:val="22"/>
          <w:lang w:val="sk-SK"/>
        </w:rPr>
        <w:t>postnatálny</w:t>
      </w:r>
      <w:proofErr w:type="spellEnd"/>
      <w:r w:rsidRPr="00652B9D">
        <w:rPr>
          <w:snapToGrid w:val="0"/>
          <w:sz w:val="22"/>
          <w:szCs w:val="22"/>
          <w:lang w:val="sk-SK"/>
        </w:rPr>
        <w:t xml:space="preserve"> vývoj</w:t>
      </w:r>
      <w:r w:rsidR="003E143F">
        <w:rPr>
          <w:snapToGrid w:val="0"/>
          <w:sz w:val="22"/>
          <w:szCs w:val="22"/>
          <w:lang w:val="sk-SK"/>
        </w:rPr>
        <w:t>,</w:t>
      </w:r>
      <w:r w:rsidRPr="00652B9D">
        <w:rPr>
          <w:snapToGrid w:val="0"/>
          <w:sz w:val="22"/>
          <w:szCs w:val="22"/>
          <w:lang w:val="sk-SK"/>
        </w:rPr>
        <w:t xml:space="preserve"> ale štúdie jednotlivých zložiek </w:t>
      </w:r>
      <w:proofErr w:type="spellStart"/>
      <w:r w:rsidR="00B843DF" w:rsidRPr="00652B9D">
        <w:rPr>
          <w:snapToGrid w:val="0"/>
          <w:sz w:val="22"/>
          <w:szCs w:val="22"/>
          <w:lang w:val="sk-SK"/>
        </w:rPr>
        <w:t>Malarone</w:t>
      </w:r>
      <w:proofErr w:type="spellEnd"/>
      <w:r w:rsidR="00B843DF" w:rsidRPr="00652B9D">
        <w:rPr>
          <w:snapToGrid w:val="0"/>
          <w:sz w:val="22"/>
          <w:szCs w:val="22"/>
          <w:lang w:val="sk-SK"/>
        </w:rPr>
        <w:t xml:space="preserve"> </w:t>
      </w:r>
      <w:r w:rsidRPr="00652B9D">
        <w:rPr>
          <w:snapToGrid w:val="0"/>
          <w:sz w:val="22"/>
          <w:szCs w:val="22"/>
          <w:lang w:val="sk-SK"/>
        </w:rPr>
        <w:t>nepreukázali žiadn</w:t>
      </w:r>
      <w:r w:rsidR="00630559" w:rsidRPr="00652B9D">
        <w:rPr>
          <w:snapToGrid w:val="0"/>
          <w:sz w:val="22"/>
          <w:szCs w:val="22"/>
          <w:lang w:val="sk-SK"/>
        </w:rPr>
        <w:t>y</w:t>
      </w:r>
      <w:r w:rsidRPr="00652B9D">
        <w:rPr>
          <w:snapToGrid w:val="0"/>
          <w:sz w:val="22"/>
          <w:szCs w:val="22"/>
          <w:lang w:val="sk-SK"/>
        </w:rPr>
        <w:t xml:space="preserve"> </w:t>
      </w:r>
      <w:r w:rsidR="00630559" w:rsidRPr="00652B9D">
        <w:rPr>
          <w:snapToGrid w:val="0"/>
          <w:sz w:val="22"/>
          <w:szCs w:val="22"/>
          <w:lang w:val="sk-SK"/>
        </w:rPr>
        <w:t>vplyv</w:t>
      </w:r>
      <w:r w:rsidRPr="00652B9D">
        <w:rPr>
          <w:snapToGrid w:val="0"/>
          <w:sz w:val="22"/>
          <w:szCs w:val="22"/>
          <w:lang w:val="sk-SK"/>
        </w:rPr>
        <w:t xml:space="preserve"> na tieto parametr</w:t>
      </w:r>
      <w:r w:rsidR="00630559" w:rsidRPr="00652B9D">
        <w:rPr>
          <w:snapToGrid w:val="0"/>
          <w:sz w:val="22"/>
          <w:szCs w:val="22"/>
          <w:lang w:val="sk-SK"/>
        </w:rPr>
        <w:t>e</w:t>
      </w:r>
      <w:r w:rsidRPr="00652B9D">
        <w:rPr>
          <w:snapToGrid w:val="0"/>
          <w:sz w:val="22"/>
          <w:szCs w:val="22"/>
          <w:lang w:val="sk-SK"/>
        </w:rPr>
        <w:t xml:space="preserve">. V štúdii </w:t>
      </w:r>
      <w:proofErr w:type="spellStart"/>
      <w:r w:rsidRPr="00652B9D">
        <w:rPr>
          <w:snapToGrid w:val="0"/>
          <w:sz w:val="22"/>
          <w:szCs w:val="22"/>
          <w:lang w:val="sk-SK"/>
        </w:rPr>
        <w:t>teratogenity</w:t>
      </w:r>
      <w:proofErr w:type="spellEnd"/>
      <w:r w:rsidRPr="00652B9D">
        <w:rPr>
          <w:snapToGrid w:val="0"/>
          <w:sz w:val="22"/>
          <w:szCs w:val="22"/>
          <w:lang w:val="sk-SK"/>
        </w:rPr>
        <w:t xml:space="preserve"> na</w:t>
      </w:r>
      <w:r w:rsidR="006F0C75">
        <w:rPr>
          <w:snapToGrid w:val="0"/>
          <w:sz w:val="22"/>
          <w:szCs w:val="22"/>
          <w:lang w:val="sk-SK"/>
        </w:rPr>
        <w:t> </w:t>
      </w:r>
      <w:r w:rsidRPr="00652B9D">
        <w:rPr>
          <w:snapToGrid w:val="0"/>
          <w:sz w:val="22"/>
          <w:szCs w:val="22"/>
          <w:lang w:val="sk-SK"/>
        </w:rPr>
        <w:t>králikoch s použitím kombinácie sa zistili nevysvetliteľné toxické prejavy u gravidných samíc pri</w:t>
      </w:r>
      <w:r w:rsidR="006F0C75">
        <w:rPr>
          <w:snapToGrid w:val="0"/>
          <w:sz w:val="22"/>
          <w:szCs w:val="22"/>
          <w:lang w:val="sk-SK"/>
        </w:rPr>
        <w:t> </w:t>
      </w:r>
      <w:r w:rsidRPr="00652B9D">
        <w:rPr>
          <w:snapToGrid w:val="0"/>
          <w:sz w:val="22"/>
          <w:szCs w:val="22"/>
          <w:lang w:val="sk-SK"/>
        </w:rPr>
        <w:t>systémovej expozícii podobnej expozícii pozorovanej u ľudí po klinickom použití.</w:t>
      </w:r>
    </w:p>
    <w:p w14:paraId="1D301B75" w14:textId="77777777" w:rsidR="00B843DF" w:rsidRPr="006F0C75" w:rsidRDefault="00B843DF" w:rsidP="005F241E">
      <w:pPr>
        <w:rPr>
          <w:sz w:val="22"/>
          <w:szCs w:val="22"/>
          <w:lang w:val="sk-SK"/>
        </w:rPr>
      </w:pPr>
    </w:p>
    <w:p w14:paraId="599A0E0D" w14:textId="77777777" w:rsidR="00B843DF" w:rsidRPr="005E30CF" w:rsidRDefault="00B843DF" w:rsidP="005F241E">
      <w:pPr>
        <w:rPr>
          <w:bCs/>
          <w:sz w:val="22"/>
          <w:szCs w:val="22"/>
          <w:u w:val="single"/>
          <w:lang w:val="sk-SK"/>
        </w:rPr>
      </w:pPr>
      <w:proofErr w:type="spellStart"/>
      <w:r w:rsidRPr="005E30CF">
        <w:rPr>
          <w:bCs/>
          <w:sz w:val="22"/>
          <w:szCs w:val="22"/>
          <w:u w:val="single"/>
          <w:lang w:val="sk-SK"/>
        </w:rPr>
        <w:t>Mutagenit</w:t>
      </w:r>
      <w:r w:rsidR="00A9524C" w:rsidRPr="005E30CF">
        <w:rPr>
          <w:bCs/>
          <w:sz w:val="22"/>
          <w:szCs w:val="22"/>
          <w:u w:val="single"/>
          <w:lang w:val="sk-SK"/>
        </w:rPr>
        <w:t>a</w:t>
      </w:r>
      <w:proofErr w:type="spellEnd"/>
      <w:r w:rsidRPr="005E30CF">
        <w:rPr>
          <w:bCs/>
          <w:sz w:val="22"/>
          <w:szCs w:val="22"/>
          <w:u w:val="single"/>
          <w:lang w:val="sk-SK"/>
        </w:rPr>
        <w:t>:</w:t>
      </w:r>
    </w:p>
    <w:p w14:paraId="0619EB8F" w14:textId="77777777" w:rsidR="00A97DD5" w:rsidRPr="00652B9D" w:rsidRDefault="00A97DD5" w:rsidP="005F241E">
      <w:pPr>
        <w:rPr>
          <w:sz w:val="22"/>
          <w:szCs w:val="22"/>
          <w:lang w:val="sk-SK"/>
        </w:rPr>
      </w:pPr>
    </w:p>
    <w:p w14:paraId="2B6E7078" w14:textId="77777777" w:rsidR="00B843DF" w:rsidRPr="00652B9D" w:rsidRDefault="00C067EE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Široká škála testov </w:t>
      </w:r>
      <w:proofErr w:type="spellStart"/>
      <w:r w:rsidRPr="00652B9D">
        <w:rPr>
          <w:sz w:val="22"/>
          <w:szCs w:val="22"/>
          <w:lang w:val="sk-SK"/>
        </w:rPr>
        <w:t>mutagenity</w:t>
      </w:r>
      <w:proofErr w:type="spellEnd"/>
      <w:r w:rsidRPr="00652B9D">
        <w:rPr>
          <w:sz w:val="22"/>
          <w:szCs w:val="22"/>
          <w:lang w:val="sk-SK"/>
        </w:rPr>
        <w:t xml:space="preserve"> nepriniesla žiadne dôkazy o tom, že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alebo </w:t>
      </w:r>
      <w:proofErr w:type="spellStart"/>
      <w:r w:rsidR="00B843DF" w:rsidRPr="00652B9D">
        <w:rPr>
          <w:sz w:val="22"/>
          <w:szCs w:val="22"/>
          <w:lang w:val="sk-SK"/>
        </w:rPr>
        <w:t>prog</w:t>
      </w:r>
      <w:r w:rsidR="00D010FC">
        <w:rPr>
          <w:sz w:val="22"/>
          <w:szCs w:val="22"/>
          <w:lang w:val="sk-SK"/>
        </w:rPr>
        <w:t>u</w:t>
      </w:r>
      <w:r w:rsidR="00B843DF" w:rsidRPr="00652B9D">
        <w:rPr>
          <w:sz w:val="22"/>
          <w:szCs w:val="22"/>
          <w:lang w:val="sk-SK"/>
        </w:rPr>
        <w:t>anil</w:t>
      </w:r>
      <w:proofErr w:type="spellEnd"/>
      <w:r w:rsidRPr="00652B9D">
        <w:rPr>
          <w:sz w:val="22"/>
          <w:szCs w:val="22"/>
          <w:lang w:val="sk-SK"/>
        </w:rPr>
        <w:t xml:space="preserve"> ako samostatné látky </w:t>
      </w:r>
      <w:r w:rsidR="00A05CB0" w:rsidRPr="00652B9D">
        <w:rPr>
          <w:sz w:val="22"/>
          <w:szCs w:val="22"/>
          <w:lang w:val="sk-SK"/>
        </w:rPr>
        <w:t xml:space="preserve">majú </w:t>
      </w:r>
      <w:r w:rsidRPr="00652B9D">
        <w:rPr>
          <w:sz w:val="22"/>
          <w:szCs w:val="22"/>
          <w:lang w:val="sk-SK"/>
        </w:rPr>
        <w:t>mutagénny účinok</w:t>
      </w:r>
      <w:r w:rsidR="00B843DF" w:rsidRPr="00652B9D">
        <w:rPr>
          <w:sz w:val="22"/>
          <w:szCs w:val="22"/>
          <w:lang w:val="sk-SK"/>
        </w:rPr>
        <w:t>.</w:t>
      </w:r>
    </w:p>
    <w:p w14:paraId="46DD62D1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3624C0BF" w14:textId="77777777" w:rsidR="00B843DF" w:rsidRPr="00652B9D" w:rsidRDefault="00C067EE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Štúdie </w:t>
      </w:r>
      <w:proofErr w:type="spellStart"/>
      <w:r w:rsidRPr="00652B9D">
        <w:rPr>
          <w:sz w:val="22"/>
          <w:szCs w:val="22"/>
          <w:lang w:val="sk-SK"/>
        </w:rPr>
        <w:t>m</w:t>
      </w:r>
      <w:r w:rsidR="00B843DF" w:rsidRPr="00652B9D">
        <w:rPr>
          <w:sz w:val="22"/>
          <w:szCs w:val="22"/>
          <w:lang w:val="sk-SK"/>
        </w:rPr>
        <w:t>utagenity</w:t>
      </w:r>
      <w:proofErr w:type="spellEnd"/>
      <w:r w:rsidR="00B843D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sa neuskutočnili s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ónom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v kombinácii s </w:t>
      </w:r>
      <w:proofErr w:type="spellStart"/>
      <w:r w:rsidRPr="00652B9D">
        <w:rPr>
          <w:sz w:val="22"/>
          <w:szCs w:val="22"/>
          <w:lang w:val="sk-SK"/>
        </w:rPr>
        <w:t>prog</w:t>
      </w:r>
      <w:r w:rsidR="00D010FC">
        <w:rPr>
          <w:sz w:val="22"/>
          <w:szCs w:val="22"/>
          <w:lang w:val="sk-SK"/>
        </w:rPr>
        <w:t>u</w:t>
      </w:r>
      <w:r w:rsidRPr="00652B9D">
        <w:rPr>
          <w:sz w:val="22"/>
          <w:szCs w:val="22"/>
          <w:lang w:val="sk-SK"/>
        </w:rPr>
        <w:t>anilom</w:t>
      </w:r>
      <w:proofErr w:type="spellEnd"/>
      <w:r w:rsidRPr="00652B9D">
        <w:rPr>
          <w:sz w:val="22"/>
          <w:szCs w:val="22"/>
          <w:lang w:val="sk-SK"/>
        </w:rPr>
        <w:t>.</w:t>
      </w:r>
    </w:p>
    <w:p w14:paraId="3B032A8A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0383D118" w14:textId="77777777" w:rsidR="00562724" w:rsidRPr="00652B9D" w:rsidRDefault="00562724" w:rsidP="005F241E">
      <w:pPr>
        <w:keepNext/>
        <w:keepLines/>
        <w:rPr>
          <w:sz w:val="22"/>
          <w:szCs w:val="22"/>
          <w:lang w:val="sk-SK"/>
        </w:rPr>
      </w:pPr>
      <w:proofErr w:type="spellStart"/>
      <w:r w:rsidRPr="00652B9D">
        <w:rPr>
          <w:sz w:val="22"/>
          <w:szCs w:val="22"/>
          <w:lang w:val="sk-SK"/>
        </w:rPr>
        <w:lastRenderedPageBreak/>
        <w:t>Cy</w:t>
      </w:r>
      <w:r w:rsidR="00C067EE" w:rsidRPr="00652B9D">
        <w:rPr>
          <w:sz w:val="22"/>
          <w:szCs w:val="22"/>
          <w:lang w:val="sk-SK"/>
        </w:rPr>
        <w:t>k</w:t>
      </w:r>
      <w:r w:rsidRPr="00652B9D">
        <w:rPr>
          <w:sz w:val="22"/>
          <w:szCs w:val="22"/>
          <w:lang w:val="sk-SK"/>
        </w:rPr>
        <w:t>log</w:t>
      </w:r>
      <w:r w:rsidR="00D010FC">
        <w:rPr>
          <w:sz w:val="22"/>
          <w:szCs w:val="22"/>
          <w:lang w:val="sk-SK"/>
        </w:rPr>
        <w:t>u</w:t>
      </w:r>
      <w:r w:rsidRPr="00652B9D">
        <w:rPr>
          <w:sz w:val="22"/>
          <w:szCs w:val="22"/>
          <w:lang w:val="sk-SK"/>
        </w:rPr>
        <w:t>anil</w:t>
      </w:r>
      <w:proofErr w:type="spellEnd"/>
      <w:r w:rsidRPr="00652B9D">
        <w:rPr>
          <w:sz w:val="22"/>
          <w:szCs w:val="22"/>
          <w:lang w:val="sk-SK"/>
        </w:rPr>
        <w:t xml:space="preserve">, </w:t>
      </w:r>
      <w:r w:rsidR="00C067EE" w:rsidRPr="00652B9D">
        <w:rPr>
          <w:sz w:val="22"/>
          <w:szCs w:val="22"/>
          <w:lang w:val="sk-SK"/>
        </w:rPr>
        <w:t xml:space="preserve">aktívny </w:t>
      </w:r>
      <w:proofErr w:type="spellStart"/>
      <w:r w:rsidR="00C067EE" w:rsidRPr="00652B9D">
        <w:rPr>
          <w:sz w:val="22"/>
          <w:szCs w:val="22"/>
          <w:lang w:val="sk-SK"/>
        </w:rPr>
        <w:t>metabolit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proofErr w:type="spellStart"/>
      <w:r w:rsidRPr="00652B9D">
        <w:rPr>
          <w:sz w:val="22"/>
          <w:szCs w:val="22"/>
          <w:lang w:val="sk-SK"/>
        </w:rPr>
        <w:t>prog</w:t>
      </w:r>
      <w:r w:rsidR="00D010FC">
        <w:rPr>
          <w:sz w:val="22"/>
          <w:szCs w:val="22"/>
          <w:lang w:val="sk-SK"/>
        </w:rPr>
        <w:t>u</w:t>
      </w:r>
      <w:r w:rsidRPr="00652B9D">
        <w:rPr>
          <w:sz w:val="22"/>
          <w:szCs w:val="22"/>
          <w:lang w:val="sk-SK"/>
        </w:rPr>
        <w:t>anil</w:t>
      </w:r>
      <w:r w:rsidR="00C067EE" w:rsidRPr="00652B9D">
        <w:rPr>
          <w:sz w:val="22"/>
          <w:szCs w:val="22"/>
          <w:lang w:val="sk-SK"/>
        </w:rPr>
        <w:t>u</w:t>
      </w:r>
      <w:proofErr w:type="spellEnd"/>
      <w:r w:rsidRPr="00652B9D">
        <w:rPr>
          <w:sz w:val="22"/>
          <w:szCs w:val="22"/>
          <w:lang w:val="sk-SK"/>
        </w:rPr>
        <w:t xml:space="preserve">, </w:t>
      </w:r>
      <w:r w:rsidR="00C067EE" w:rsidRPr="00652B9D">
        <w:rPr>
          <w:sz w:val="22"/>
          <w:szCs w:val="22"/>
          <w:lang w:val="sk-SK"/>
        </w:rPr>
        <w:t xml:space="preserve">bol negatívny </w:t>
      </w:r>
      <w:r w:rsidR="00A05CB0" w:rsidRPr="00652B9D">
        <w:rPr>
          <w:sz w:val="22"/>
          <w:szCs w:val="22"/>
          <w:lang w:val="sk-SK"/>
        </w:rPr>
        <w:t xml:space="preserve">aj </w:t>
      </w:r>
      <w:r w:rsidR="00C067EE" w:rsidRPr="00652B9D">
        <w:rPr>
          <w:sz w:val="22"/>
          <w:szCs w:val="22"/>
          <w:lang w:val="sk-SK"/>
        </w:rPr>
        <w:t xml:space="preserve">v </w:t>
      </w:r>
      <w:proofErr w:type="spellStart"/>
      <w:r w:rsidR="00805EC4" w:rsidRPr="00652B9D">
        <w:rPr>
          <w:sz w:val="22"/>
          <w:szCs w:val="22"/>
          <w:lang w:val="sk-SK"/>
        </w:rPr>
        <w:t>Amesovom</w:t>
      </w:r>
      <w:proofErr w:type="spellEnd"/>
      <w:r w:rsidR="00805EC4" w:rsidRPr="00652B9D">
        <w:rPr>
          <w:sz w:val="22"/>
          <w:szCs w:val="22"/>
          <w:lang w:val="sk-SK"/>
        </w:rPr>
        <w:t xml:space="preserve"> teste</w:t>
      </w:r>
      <w:r w:rsidR="003E143F">
        <w:rPr>
          <w:sz w:val="22"/>
          <w:szCs w:val="22"/>
          <w:lang w:val="sk-SK"/>
        </w:rPr>
        <w:t>,</w:t>
      </w:r>
      <w:r w:rsidRPr="00652B9D">
        <w:rPr>
          <w:sz w:val="22"/>
          <w:szCs w:val="22"/>
          <w:lang w:val="sk-SK"/>
        </w:rPr>
        <w:t xml:space="preserve"> </w:t>
      </w:r>
      <w:r w:rsidR="00C067EE" w:rsidRPr="00652B9D">
        <w:rPr>
          <w:sz w:val="22"/>
          <w:szCs w:val="22"/>
          <w:lang w:val="sk-SK"/>
        </w:rPr>
        <w:t>ale bol pozitívny v</w:t>
      </w:r>
      <w:r w:rsidR="006F0C75">
        <w:rPr>
          <w:sz w:val="22"/>
          <w:szCs w:val="22"/>
          <w:lang w:val="sk-SK"/>
        </w:rPr>
        <w:t> </w:t>
      </w:r>
      <w:r w:rsidR="00C067EE" w:rsidRPr="00652B9D">
        <w:rPr>
          <w:sz w:val="22"/>
          <w:szCs w:val="22"/>
          <w:lang w:val="sk-SK"/>
        </w:rPr>
        <w:t xml:space="preserve">teste </w:t>
      </w:r>
      <w:proofErr w:type="spellStart"/>
      <w:r w:rsidR="00C067EE" w:rsidRPr="00652B9D">
        <w:rPr>
          <w:sz w:val="22"/>
          <w:szCs w:val="22"/>
          <w:lang w:val="sk-SK"/>
        </w:rPr>
        <w:t>lymfómových</w:t>
      </w:r>
      <w:proofErr w:type="spellEnd"/>
      <w:r w:rsidR="00C067EE" w:rsidRPr="00652B9D">
        <w:rPr>
          <w:sz w:val="22"/>
          <w:szCs w:val="22"/>
          <w:lang w:val="sk-SK"/>
        </w:rPr>
        <w:t xml:space="preserve"> buniek myší a </w:t>
      </w:r>
      <w:proofErr w:type="spellStart"/>
      <w:r w:rsidR="00C067EE" w:rsidRPr="00652B9D">
        <w:rPr>
          <w:sz w:val="22"/>
          <w:szCs w:val="22"/>
          <w:lang w:val="sk-SK"/>
        </w:rPr>
        <w:t>mikronukle</w:t>
      </w:r>
      <w:r w:rsidR="00805EC4" w:rsidRPr="00652B9D">
        <w:rPr>
          <w:sz w:val="22"/>
          <w:szCs w:val="22"/>
          <w:lang w:val="sk-SK"/>
        </w:rPr>
        <w:t>árn</w:t>
      </w:r>
      <w:r w:rsidR="00C067EE" w:rsidRPr="00652B9D">
        <w:rPr>
          <w:sz w:val="22"/>
          <w:szCs w:val="22"/>
          <w:lang w:val="sk-SK"/>
        </w:rPr>
        <w:t>om</w:t>
      </w:r>
      <w:proofErr w:type="spellEnd"/>
      <w:r w:rsidR="00C067EE" w:rsidRPr="00652B9D">
        <w:rPr>
          <w:sz w:val="22"/>
          <w:szCs w:val="22"/>
          <w:lang w:val="sk-SK"/>
        </w:rPr>
        <w:t xml:space="preserve"> teste na myšiach. </w:t>
      </w:r>
      <w:r w:rsidR="00805EC4" w:rsidRPr="00652B9D">
        <w:rPr>
          <w:sz w:val="22"/>
          <w:szCs w:val="22"/>
          <w:lang w:val="sk-SK"/>
        </w:rPr>
        <w:t>Tieto pozitívne účinky u</w:t>
      </w:r>
      <w:r w:rsidR="006F0C75">
        <w:rPr>
          <w:sz w:val="22"/>
          <w:szCs w:val="22"/>
          <w:lang w:val="sk-SK"/>
        </w:rPr>
        <w:t> </w:t>
      </w:r>
      <w:proofErr w:type="spellStart"/>
      <w:r w:rsidR="00805EC4" w:rsidRPr="00652B9D">
        <w:rPr>
          <w:sz w:val="22"/>
          <w:szCs w:val="22"/>
          <w:lang w:val="sk-SK"/>
        </w:rPr>
        <w:t>cyklog</w:t>
      </w:r>
      <w:r w:rsidR="00D010FC">
        <w:rPr>
          <w:sz w:val="22"/>
          <w:szCs w:val="22"/>
          <w:lang w:val="sk-SK"/>
        </w:rPr>
        <w:t>u</w:t>
      </w:r>
      <w:r w:rsidR="00805EC4" w:rsidRPr="00652B9D">
        <w:rPr>
          <w:sz w:val="22"/>
          <w:szCs w:val="22"/>
          <w:lang w:val="sk-SK"/>
        </w:rPr>
        <w:t>anilu</w:t>
      </w:r>
      <w:proofErr w:type="spellEnd"/>
      <w:r w:rsidR="00805EC4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(</w:t>
      </w:r>
      <w:r w:rsidR="00805EC4" w:rsidRPr="00652B9D">
        <w:rPr>
          <w:sz w:val="22"/>
          <w:szCs w:val="22"/>
          <w:lang w:val="sk-SK"/>
        </w:rPr>
        <w:t>antagonistu</w:t>
      </w:r>
      <w:r w:rsidRPr="00652B9D">
        <w:rPr>
          <w:sz w:val="22"/>
          <w:szCs w:val="22"/>
          <w:lang w:val="sk-SK"/>
        </w:rPr>
        <w:t xml:space="preserve"> </w:t>
      </w:r>
      <w:proofErr w:type="spellStart"/>
      <w:r w:rsidRPr="00652B9D">
        <w:rPr>
          <w:sz w:val="22"/>
          <w:szCs w:val="22"/>
          <w:lang w:val="sk-SK"/>
        </w:rPr>
        <w:t>dihydrofol</w:t>
      </w:r>
      <w:r w:rsidR="00805EC4" w:rsidRPr="00652B9D">
        <w:rPr>
          <w:sz w:val="22"/>
          <w:szCs w:val="22"/>
          <w:lang w:val="sk-SK"/>
        </w:rPr>
        <w:t>á</w:t>
      </w:r>
      <w:r w:rsidRPr="00652B9D">
        <w:rPr>
          <w:sz w:val="22"/>
          <w:szCs w:val="22"/>
          <w:lang w:val="sk-SK"/>
        </w:rPr>
        <w:t>t</w:t>
      </w:r>
      <w:r w:rsidR="00805EC4" w:rsidRPr="00652B9D">
        <w:rPr>
          <w:sz w:val="22"/>
          <w:szCs w:val="22"/>
          <w:lang w:val="sk-SK"/>
        </w:rPr>
        <w:t>u</w:t>
      </w:r>
      <w:proofErr w:type="spellEnd"/>
      <w:r w:rsidRPr="00652B9D">
        <w:rPr>
          <w:sz w:val="22"/>
          <w:szCs w:val="22"/>
          <w:lang w:val="sk-SK"/>
        </w:rPr>
        <w:t xml:space="preserve">) </w:t>
      </w:r>
      <w:r w:rsidR="00805EC4" w:rsidRPr="00652B9D">
        <w:rPr>
          <w:sz w:val="22"/>
          <w:szCs w:val="22"/>
          <w:lang w:val="sk-SK"/>
        </w:rPr>
        <w:t xml:space="preserve">boli významne znížené alebo odstránené </w:t>
      </w:r>
      <w:proofErr w:type="spellStart"/>
      <w:r w:rsidR="00805EC4" w:rsidRPr="00652B9D">
        <w:rPr>
          <w:sz w:val="22"/>
          <w:szCs w:val="22"/>
          <w:lang w:val="sk-SK"/>
        </w:rPr>
        <w:t>suplementáciou</w:t>
      </w:r>
      <w:proofErr w:type="spellEnd"/>
      <w:r w:rsidR="00805EC4" w:rsidRPr="00652B9D">
        <w:rPr>
          <w:sz w:val="22"/>
          <w:szCs w:val="22"/>
          <w:lang w:val="sk-SK"/>
        </w:rPr>
        <w:t xml:space="preserve"> kyseliny listovej</w:t>
      </w:r>
      <w:r w:rsidRPr="00652B9D">
        <w:rPr>
          <w:sz w:val="22"/>
          <w:szCs w:val="22"/>
          <w:lang w:val="sk-SK"/>
        </w:rPr>
        <w:t>.</w:t>
      </w:r>
    </w:p>
    <w:p w14:paraId="72F93AD7" w14:textId="77777777" w:rsidR="00562724" w:rsidRPr="00652B9D" w:rsidRDefault="00562724" w:rsidP="005F241E">
      <w:pPr>
        <w:rPr>
          <w:sz w:val="22"/>
          <w:szCs w:val="22"/>
          <w:lang w:val="sk-SK"/>
        </w:rPr>
      </w:pPr>
    </w:p>
    <w:p w14:paraId="5E5341FD" w14:textId="77777777" w:rsidR="00B843DF" w:rsidRPr="005E30CF" w:rsidRDefault="00805EC4" w:rsidP="005F241E">
      <w:pPr>
        <w:rPr>
          <w:bCs/>
          <w:sz w:val="22"/>
          <w:szCs w:val="22"/>
          <w:u w:val="single"/>
          <w:lang w:val="sk-SK"/>
        </w:rPr>
      </w:pPr>
      <w:r w:rsidRPr="005E30CF">
        <w:rPr>
          <w:bCs/>
          <w:sz w:val="22"/>
          <w:szCs w:val="22"/>
          <w:u w:val="single"/>
          <w:lang w:val="sk-SK"/>
        </w:rPr>
        <w:t>K</w:t>
      </w:r>
      <w:r w:rsidR="00B843DF" w:rsidRPr="005E30CF">
        <w:rPr>
          <w:bCs/>
          <w:sz w:val="22"/>
          <w:szCs w:val="22"/>
          <w:u w:val="single"/>
          <w:lang w:val="sk-SK"/>
        </w:rPr>
        <w:t>arcinogenit</w:t>
      </w:r>
      <w:r w:rsidRPr="005E30CF">
        <w:rPr>
          <w:bCs/>
          <w:sz w:val="22"/>
          <w:szCs w:val="22"/>
          <w:u w:val="single"/>
          <w:lang w:val="sk-SK"/>
        </w:rPr>
        <w:t>a</w:t>
      </w:r>
      <w:r w:rsidR="00B843DF" w:rsidRPr="005E30CF">
        <w:rPr>
          <w:bCs/>
          <w:sz w:val="22"/>
          <w:szCs w:val="22"/>
          <w:u w:val="single"/>
          <w:lang w:val="sk-SK"/>
        </w:rPr>
        <w:t>:</w:t>
      </w:r>
    </w:p>
    <w:p w14:paraId="3B1778BA" w14:textId="77777777" w:rsidR="00A97DD5" w:rsidRPr="00652B9D" w:rsidRDefault="00A97DD5" w:rsidP="005F241E">
      <w:pPr>
        <w:rPr>
          <w:sz w:val="22"/>
          <w:szCs w:val="22"/>
          <w:lang w:val="sk-SK"/>
        </w:rPr>
      </w:pPr>
    </w:p>
    <w:p w14:paraId="0E7F4E0A" w14:textId="77777777" w:rsidR="00B843DF" w:rsidRPr="00652B9D" w:rsidRDefault="00805EC4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Štúdie </w:t>
      </w:r>
      <w:proofErr w:type="spellStart"/>
      <w:r w:rsidRPr="00652B9D">
        <w:rPr>
          <w:sz w:val="22"/>
          <w:szCs w:val="22"/>
          <w:lang w:val="sk-SK"/>
        </w:rPr>
        <w:t>onkogenity</w:t>
      </w:r>
      <w:proofErr w:type="spellEnd"/>
      <w:r w:rsidRPr="00652B9D">
        <w:rPr>
          <w:sz w:val="22"/>
          <w:szCs w:val="22"/>
          <w:lang w:val="sk-SK"/>
        </w:rPr>
        <w:t xml:space="preserve"> samo</w:t>
      </w:r>
      <w:r w:rsidR="00A05CB0" w:rsidRPr="00652B9D">
        <w:rPr>
          <w:sz w:val="22"/>
          <w:szCs w:val="22"/>
          <w:lang w:val="sk-SK"/>
        </w:rPr>
        <w:t>stat</w:t>
      </w:r>
      <w:r w:rsidRPr="00652B9D">
        <w:rPr>
          <w:sz w:val="22"/>
          <w:szCs w:val="22"/>
          <w:lang w:val="sk-SK"/>
        </w:rPr>
        <w:t xml:space="preserve">ného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ónu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 xml:space="preserve">u myší potvrdili </w:t>
      </w:r>
      <w:r w:rsidR="00422807">
        <w:rPr>
          <w:sz w:val="22"/>
          <w:szCs w:val="22"/>
          <w:lang w:val="sk-SK"/>
        </w:rPr>
        <w:t xml:space="preserve">zvýšený </w:t>
      </w:r>
      <w:r w:rsidRPr="00652B9D">
        <w:rPr>
          <w:sz w:val="22"/>
          <w:szCs w:val="22"/>
          <w:lang w:val="sk-SK"/>
        </w:rPr>
        <w:t xml:space="preserve">výskyt </w:t>
      </w:r>
      <w:proofErr w:type="spellStart"/>
      <w:r w:rsidRPr="00652B9D">
        <w:rPr>
          <w:sz w:val="22"/>
          <w:szCs w:val="22"/>
          <w:lang w:val="sk-SK"/>
        </w:rPr>
        <w:t>hepatocelulárnych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proofErr w:type="spellStart"/>
      <w:r w:rsidRPr="00652B9D">
        <w:rPr>
          <w:sz w:val="22"/>
          <w:szCs w:val="22"/>
          <w:lang w:val="sk-SK"/>
        </w:rPr>
        <w:t>adenómov</w:t>
      </w:r>
      <w:proofErr w:type="spellEnd"/>
      <w:r w:rsidRPr="00652B9D">
        <w:rPr>
          <w:sz w:val="22"/>
          <w:szCs w:val="22"/>
          <w:lang w:val="sk-SK"/>
        </w:rPr>
        <w:t xml:space="preserve"> a karcinómov. Žiadne takéto zistenia neboli pozorované u potkanov a testy </w:t>
      </w:r>
      <w:proofErr w:type="spellStart"/>
      <w:r w:rsidRPr="00652B9D">
        <w:rPr>
          <w:sz w:val="22"/>
          <w:szCs w:val="22"/>
          <w:lang w:val="sk-SK"/>
        </w:rPr>
        <w:t>mutagenity</w:t>
      </w:r>
      <w:proofErr w:type="spellEnd"/>
      <w:r w:rsidRPr="00652B9D">
        <w:rPr>
          <w:sz w:val="22"/>
          <w:szCs w:val="22"/>
          <w:lang w:val="sk-SK"/>
        </w:rPr>
        <w:t xml:space="preserve"> boli negatívne. Zdá sa, že tieto zistenia sú dôsledkom </w:t>
      </w:r>
      <w:r w:rsidR="004163BF" w:rsidRPr="00652B9D">
        <w:rPr>
          <w:sz w:val="22"/>
          <w:szCs w:val="22"/>
          <w:lang w:val="sk-SK"/>
        </w:rPr>
        <w:t xml:space="preserve">inherentnej citlivosti myší na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="00B843DF" w:rsidRPr="00652B9D">
        <w:rPr>
          <w:sz w:val="22"/>
          <w:szCs w:val="22"/>
          <w:lang w:val="sk-SK"/>
        </w:rPr>
        <w:t>a</w:t>
      </w:r>
      <w:r w:rsidR="004163BF" w:rsidRPr="00652B9D">
        <w:rPr>
          <w:sz w:val="22"/>
          <w:szCs w:val="22"/>
          <w:lang w:val="sk-SK"/>
        </w:rPr>
        <w:t xml:space="preserve"> nemajú žiadnu relevanciu v klinickej situácii</w:t>
      </w:r>
      <w:r w:rsidR="00B843DF" w:rsidRPr="00652B9D">
        <w:rPr>
          <w:sz w:val="22"/>
          <w:szCs w:val="22"/>
          <w:lang w:val="sk-SK"/>
        </w:rPr>
        <w:t>.</w:t>
      </w:r>
    </w:p>
    <w:p w14:paraId="44E1A0A3" w14:textId="77777777" w:rsidR="0077412D" w:rsidRPr="00652B9D" w:rsidRDefault="0077412D" w:rsidP="005F241E">
      <w:pPr>
        <w:rPr>
          <w:sz w:val="22"/>
          <w:szCs w:val="22"/>
          <w:lang w:val="sk-SK"/>
        </w:rPr>
      </w:pPr>
    </w:p>
    <w:p w14:paraId="1EDC603D" w14:textId="77777777" w:rsidR="00562724" w:rsidRPr="00652B9D" w:rsidRDefault="004163BF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Štúdie </w:t>
      </w:r>
      <w:proofErr w:type="spellStart"/>
      <w:r w:rsidRPr="00652B9D">
        <w:rPr>
          <w:sz w:val="22"/>
          <w:szCs w:val="22"/>
          <w:lang w:val="sk-SK"/>
        </w:rPr>
        <w:t>o</w:t>
      </w:r>
      <w:r w:rsidR="00562724" w:rsidRPr="00652B9D">
        <w:rPr>
          <w:sz w:val="22"/>
          <w:szCs w:val="22"/>
          <w:lang w:val="sk-SK"/>
        </w:rPr>
        <w:t>n</w:t>
      </w:r>
      <w:r w:rsidRPr="00652B9D">
        <w:rPr>
          <w:sz w:val="22"/>
          <w:szCs w:val="22"/>
          <w:lang w:val="sk-SK"/>
        </w:rPr>
        <w:t>k</w:t>
      </w:r>
      <w:r w:rsidR="00562724" w:rsidRPr="00652B9D">
        <w:rPr>
          <w:sz w:val="22"/>
          <w:szCs w:val="22"/>
          <w:lang w:val="sk-SK"/>
        </w:rPr>
        <w:t>ogenity</w:t>
      </w:r>
      <w:proofErr w:type="spellEnd"/>
      <w:r w:rsidR="00562724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samo</w:t>
      </w:r>
      <w:r w:rsidR="00A05CB0" w:rsidRPr="00652B9D">
        <w:rPr>
          <w:sz w:val="22"/>
          <w:szCs w:val="22"/>
          <w:lang w:val="sk-SK"/>
        </w:rPr>
        <w:t>s</w:t>
      </w:r>
      <w:r w:rsidRPr="00652B9D">
        <w:rPr>
          <w:sz w:val="22"/>
          <w:szCs w:val="22"/>
          <w:lang w:val="sk-SK"/>
        </w:rPr>
        <w:t>t</w:t>
      </w:r>
      <w:r w:rsidR="00A05CB0" w:rsidRPr="00652B9D">
        <w:rPr>
          <w:sz w:val="22"/>
          <w:szCs w:val="22"/>
          <w:lang w:val="sk-SK"/>
        </w:rPr>
        <w:t>at</w:t>
      </w:r>
      <w:r w:rsidRPr="00652B9D">
        <w:rPr>
          <w:sz w:val="22"/>
          <w:szCs w:val="22"/>
          <w:lang w:val="sk-SK"/>
        </w:rPr>
        <w:t xml:space="preserve">ného </w:t>
      </w:r>
      <w:proofErr w:type="spellStart"/>
      <w:r w:rsidR="00562724" w:rsidRPr="00652B9D">
        <w:rPr>
          <w:sz w:val="22"/>
          <w:szCs w:val="22"/>
          <w:lang w:val="sk-SK"/>
        </w:rPr>
        <w:t>prog</w:t>
      </w:r>
      <w:r w:rsidR="00D010FC">
        <w:rPr>
          <w:sz w:val="22"/>
          <w:szCs w:val="22"/>
          <w:lang w:val="sk-SK"/>
        </w:rPr>
        <w:t>u</w:t>
      </w:r>
      <w:r w:rsidR="00562724" w:rsidRPr="00652B9D">
        <w:rPr>
          <w:sz w:val="22"/>
          <w:szCs w:val="22"/>
          <w:lang w:val="sk-SK"/>
        </w:rPr>
        <w:t>anil</w:t>
      </w:r>
      <w:r w:rsidR="00A05CB0" w:rsidRPr="00652B9D">
        <w:rPr>
          <w:sz w:val="22"/>
          <w:szCs w:val="22"/>
          <w:lang w:val="sk-SK"/>
        </w:rPr>
        <w:t>u</w:t>
      </w:r>
      <w:proofErr w:type="spellEnd"/>
      <w:r w:rsidR="00562724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nepriniesli žiadne dôkazy o k</w:t>
      </w:r>
      <w:r w:rsidR="00562724" w:rsidRPr="00652B9D">
        <w:rPr>
          <w:sz w:val="22"/>
          <w:szCs w:val="22"/>
          <w:lang w:val="sk-SK"/>
        </w:rPr>
        <w:t>arcinogenit</w:t>
      </w:r>
      <w:r w:rsidRPr="00652B9D">
        <w:rPr>
          <w:sz w:val="22"/>
          <w:szCs w:val="22"/>
          <w:lang w:val="sk-SK"/>
        </w:rPr>
        <w:t>e</w:t>
      </w:r>
      <w:r w:rsidR="00562724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u potkanov a</w:t>
      </w:r>
      <w:r w:rsidR="006F0C75">
        <w:rPr>
          <w:sz w:val="22"/>
          <w:szCs w:val="22"/>
          <w:lang w:val="sk-SK"/>
        </w:rPr>
        <w:t> </w:t>
      </w:r>
      <w:r w:rsidRPr="00652B9D">
        <w:rPr>
          <w:sz w:val="22"/>
          <w:szCs w:val="22"/>
          <w:lang w:val="sk-SK"/>
        </w:rPr>
        <w:t>myší</w:t>
      </w:r>
      <w:r w:rsidR="00562724" w:rsidRPr="00652B9D">
        <w:rPr>
          <w:sz w:val="22"/>
          <w:szCs w:val="22"/>
          <w:lang w:val="sk-SK"/>
        </w:rPr>
        <w:t>.</w:t>
      </w:r>
    </w:p>
    <w:p w14:paraId="0764C188" w14:textId="77777777" w:rsidR="00562724" w:rsidRPr="00652B9D" w:rsidRDefault="00562724" w:rsidP="005F241E">
      <w:pPr>
        <w:rPr>
          <w:sz w:val="22"/>
          <w:szCs w:val="22"/>
          <w:lang w:val="sk-SK"/>
        </w:rPr>
      </w:pPr>
    </w:p>
    <w:p w14:paraId="3F6128D1" w14:textId="77777777" w:rsidR="00B843DF" w:rsidRPr="00652B9D" w:rsidRDefault="004163BF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Štúdie </w:t>
      </w:r>
      <w:proofErr w:type="spellStart"/>
      <w:r w:rsidRPr="00652B9D">
        <w:rPr>
          <w:sz w:val="22"/>
          <w:szCs w:val="22"/>
          <w:lang w:val="sk-SK"/>
        </w:rPr>
        <w:t>onkogenity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proofErr w:type="spellStart"/>
      <w:r w:rsidRPr="00652B9D">
        <w:rPr>
          <w:sz w:val="22"/>
          <w:szCs w:val="22"/>
          <w:lang w:val="sk-SK"/>
        </w:rPr>
        <w:t>prog</w:t>
      </w:r>
      <w:r w:rsidR="00D010FC">
        <w:rPr>
          <w:sz w:val="22"/>
          <w:szCs w:val="22"/>
          <w:lang w:val="sk-SK"/>
        </w:rPr>
        <w:t>u</w:t>
      </w:r>
      <w:r w:rsidRPr="00652B9D">
        <w:rPr>
          <w:sz w:val="22"/>
          <w:szCs w:val="22"/>
          <w:lang w:val="sk-SK"/>
        </w:rPr>
        <w:t>anilu</w:t>
      </w:r>
      <w:proofErr w:type="spellEnd"/>
      <w:r w:rsidRPr="00652B9D">
        <w:rPr>
          <w:sz w:val="22"/>
          <w:szCs w:val="22"/>
          <w:lang w:val="sk-SK"/>
        </w:rPr>
        <w:t xml:space="preserve"> v kombinácii s </w:t>
      </w:r>
      <w:proofErr w:type="spellStart"/>
      <w:r w:rsidR="00BF031F" w:rsidRPr="00652B9D">
        <w:rPr>
          <w:sz w:val="22"/>
          <w:szCs w:val="22"/>
          <w:lang w:val="sk-SK"/>
        </w:rPr>
        <w:t>atova</w:t>
      </w:r>
      <w:r w:rsidR="00C34A4E">
        <w:rPr>
          <w:sz w:val="22"/>
          <w:szCs w:val="22"/>
          <w:lang w:val="sk-SK"/>
        </w:rPr>
        <w:t>ch</w:t>
      </w:r>
      <w:r w:rsidR="00BF031F" w:rsidRPr="00652B9D">
        <w:rPr>
          <w:sz w:val="22"/>
          <w:szCs w:val="22"/>
          <w:lang w:val="sk-SK"/>
        </w:rPr>
        <w:t>ónom</w:t>
      </w:r>
      <w:proofErr w:type="spellEnd"/>
      <w:r w:rsidR="00BF031F" w:rsidRPr="00652B9D">
        <w:rPr>
          <w:sz w:val="22"/>
          <w:szCs w:val="22"/>
          <w:lang w:val="sk-SK"/>
        </w:rPr>
        <w:t xml:space="preserve"> </w:t>
      </w:r>
      <w:r w:rsidRPr="00652B9D">
        <w:rPr>
          <w:sz w:val="22"/>
          <w:szCs w:val="22"/>
          <w:lang w:val="sk-SK"/>
        </w:rPr>
        <w:t>sa neuskutočnili</w:t>
      </w:r>
      <w:r w:rsidR="00B843DF" w:rsidRPr="00652B9D">
        <w:rPr>
          <w:sz w:val="22"/>
          <w:szCs w:val="22"/>
          <w:lang w:val="sk-SK"/>
        </w:rPr>
        <w:t>.</w:t>
      </w:r>
    </w:p>
    <w:p w14:paraId="0D67AC6D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5D4E848C" w14:textId="77777777" w:rsidR="00D63E7A" w:rsidRPr="006F0C75" w:rsidRDefault="00D63E7A" w:rsidP="005F241E">
      <w:pPr>
        <w:rPr>
          <w:sz w:val="22"/>
          <w:szCs w:val="22"/>
          <w:lang w:val="sk-SK"/>
        </w:rPr>
      </w:pPr>
    </w:p>
    <w:p w14:paraId="283FDC7B" w14:textId="77777777" w:rsidR="00B843DF" w:rsidRPr="00652B9D" w:rsidRDefault="004163BF" w:rsidP="005F241E">
      <w:pPr>
        <w:keepNext/>
        <w:rPr>
          <w:b/>
          <w:caps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6.</w:t>
      </w:r>
      <w:r w:rsidR="00A97DD5" w:rsidRPr="00652B9D">
        <w:rPr>
          <w:b/>
          <w:sz w:val="22"/>
          <w:szCs w:val="22"/>
          <w:lang w:val="sk-SK"/>
        </w:rPr>
        <w:tab/>
      </w:r>
      <w:r w:rsidRPr="00652B9D">
        <w:rPr>
          <w:b/>
          <w:caps/>
          <w:sz w:val="22"/>
          <w:szCs w:val="22"/>
          <w:lang w:val="sk-SK"/>
        </w:rPr>
        <w:t>Fa</w:t>
      </w:r>
      <w:r w:rsidR="00B843DF" w:rsidRPr="00652B9D">
        <w:rPr>
          <w:b/>
          <w:caps/>
          <w:sz w:val="22"/>
          <w:szCs w:val="22"/>
          <w:lang w:val="sk-SK"/>
        </w:rPr>
        <w:t>rmaceutic</w:t>
      </w:r>
      <w:r w:rsidRPr="00652B9D">
        <w:rPr>
          <w:b/>
          <w:caps/>
          <w:sz w:val="22"/>
          <w:szCs w:val="22"/>
          <w:lang w:val="sk-SK"/>
        </w:rPr>
        <w:t>ké informácie</w:t>
      </w:r>
    </w:p>
    <w:p w14:paraId="34FA2A8F" w14:textId="77777777" w:rsidR="00B843DF" w:rsidRPr="00652B9D" w:rsidRDefault="00B843DF" w:rsidP="005F241E">
      <w:pPr>
        <w:keepNext/>
        <w:rPr>
          <w:sz w:val="22"/>
          <w:szCs w:val="22"/>
          <w:lang w:val="sk-SK"/>
        </w:rPr>
      </w:pPr>
    </w:p>
    <w:p w14:paraId="7C3F7B8C" w14:textId="77777777" w:rsidR="00B843DF" w:rsidRPr="00652B9D" w:rsidRDefault="00A05CB0" w:rsidP="005F241E">
      <w:pPr>
        <w:keepNext/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6.1</w:t>
      </w:r>
      <w:r w:rsidR="00A97DD5" w:rsidRPr="00652B9D">
        <w:rPr>
          <w:b/>
          <w:sz w:val="22"/>
          <w:szCs w:val="22"/>
          <w:lang w:val="sk-SK"/>
        </w:rPr>
        <w:tab/>
      </w:r>
      <w:r w:rsidR="004163BF" w:rsidRPr="00652B9D">
        <w:rPr>
          <w:b/>
          <w:sz w:val="22"/>
          <w:szCs w:val="22"/>
          <w:lang w:val="sk-SK"/>
        </w:rPr>
        <w:t>Zoznam pomocných látok</w:t>
      </w:r>
    </w:p>
    <w:p w14:paraId="2A73B4A1" w14:textId="77777777" w:rsidR="00B843DF" w:rsidRPr="002320E1" w:rsidRDefault="00B843DF" w:rsidP="005F241E">
      <w:pPr>
        <w:keepNext/>
        <w:rPr>
          <w:sz w:val="22"/>
          <w:szCs w:val="22"/>
          <w:lang w:val="sk-SK"/>
        </w:rPr>
      </w:pPr>
    </w:p>
    <w:p w14:paraId="33E54740" w14:textId="77777777" w:rsidR="00B65911" w:rsidRPr="005E30CF" w:rsidRDefault="004163BF" w:rsidP="005F241E">
      <w:pPr>
        <w:keepNext/>
        <w:rPr>
          <w:sz w:val="22"/>
          <w:szCs w:val="22"/>
          <w:u w:val="single"/>
          <w:lang w:val="sk-SK"/>
        </w:rPr>
      </w:pPr>
      <w:r w:rsidRPr="005E30CF">
        <w:rPr>
          <w:sz w:val="22"/>
          <w:szCs w:val="22"/>
          <w:u w:val="single"/>
          <w:lang w:val="sk-SK"/>
        </w:rPr>
        <w:t>Jadro</w:t>
      </w:r>
      <w:r w:rsidR="0070335A" w:rsidRPr="005E30CF">
        <w:rPr>
          <w:sz w:val="22"/>
          <w:szCs w:val="22"/>
          <w:u w:val="single"/>
          <w:lang w:val="sk-SK"/>
        </w:rPr>
        <w:t xml:space="preserve"> tablety</w:t>
      </w:r>
    </w:p>
    <w:p w14:paraId="7DEB3604" w14:textId="77777777" w:rsidR="00B843DF" w:rsidRPr="00652B9D" w:rsidRDefault="00B843DF" w:rsidP="005F241E">
      <w:pPr>
        <w:keepNext/>
        <w:rPr>
          <w:sz w:val="22"/>
          <w:szCs w:val="22"/>
          <w:lang w:val="sk-SK"/>
        </w:rPr>
      </w:pPr>
    </w:p>
    <w:p w14:paraId="43843A81" w14:textId="2C12A81B" w:rsidR="00203CBB" w:rsidRPr="00652B9D" w:rsidRDefault="002300C7" w:rsidP="005F241E">
      <w:pPr>
        <w:keepNext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p</w:t>
      </w:r>
      <w:r w:rsidR="00203CBB" w:rsidRPr="00652B9D">
        <w:rPr>
          <w:sz w:val="22"/>
          <w:szCs w:val="22"/>
          <w:lang w:val="sk-SK"/>
        </w:rPr>
        <w:t>oloxamér</w:t>
      </w:r>
      <w:proofErr w:type="spellEnd"/>
      <w:r w:rsidR="006F0C75">
        <w:rPr>
          <w:sz w:val="22"/>
          <w:szCs w:val="22"/>
          <w:lang w:val="sk-SK"/>
        </w:rPr>
        <w:t> </w:t>
      </w:r>
      <w:r w:rsidR="00D63E7A" w:rsidRPr="00652B9D">
        <w:rPr>
          <w:sz w:val="22"/>
          <w:szCs w:val="22"/>
          <w:lang w:val="sk-SK"/>
        </w:rPr>
        <w:t>188</w:t>
      </w:r>
    </w:p>
    <w:p w14:paraId="42C534DD" w14:textId="62C7CC74" w:rsidR="00203CBB" w:rsidRPr="00652B9D" w:rsidRDefault="002300C7" w:rsidP="005F241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</w:t>
      </w:r>
      <w:r w:rsidR="00203CBB" w:rsidRPr="00652B9D">
        <w:rPr>
          <w:sz w:val="22"/>
          <w:szCs w:val="22"/>
          <w:lang w:val="sk-SK"/>
        </w:rPr>
        <w:t>ikrokryštalická celulóza</w:t>
      </w:r>
    </w:p>
    <w:p w14:paraId="2289DF80" w14:textId="384274A6" w:rsidR="001438F0" w:rsidRPr="00652B9D" w:rsidRDefault="002300C7" w:rsidP="005F241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č</w:t>
      </w:r>
      <w:r w:rsidRPr="00652B9D">
        <w:rPr>
          <w:sz w:val="22"/>
          <w:szCs w:val="22"/>
          <w:lang w:val="sk-SK"/>
        </w:rPr>
        <w:t xml:space="preserve">iastočne </w:t>
      </w:r>
      <w:r w:rsidR="00C376C4" w:rsidRPr="00652B9D">
        <w:rPr>
          <w:sz w:val="22"/>
          <w:szCs w:val="22"/>
          <w:lang w:val="sk-SK"/>
        </w:rPr>
        <w:t xml:space="preserve">substituovaná </w:t>
      </w:r>
      <w:proofErr w:type="spellStart"/>
      <w:r w:rsidR="00B65911" w:rsidRPr="00652B9D">
        <w:rPr>
          <w:sz w:val="22"/>
          <w:szCs w:val="22"/>
          <w:lang w:val="sk-SK"/>
        </w:rPr>
        <w:t>hyprolóza</w:t>
      </w:r>
      <w:proofErr w:type="spellEnd"/>
    </w:p>
    <w:p w14:paraId="1E4FE37B" w14:textId="55966CC1" w:rsidR="00CF004D" w:rsidRPr="00652B9D" w:rsidRDefault="002300C7" w:rsidP="005F241E">
      <w:pPr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p</w:t>
      </w:r>
      <w:r w:rsidRPr="00652B9D">
        <w:rPr>
          <w:sz w:val="22"/>
          <w:szCs w:val="22"/>
          <w:lang w:val="sk-SK"/>
        </w:rPr>
        <w:t>ovidón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r w:rsidR="00203CBB" w:rsidRPr="00652B9D">
        <w:rPr>
          <w:sz w:val="22"/>
          <w:szCs w:val="22"/>
          <w:lang w:val="sk-SK"/>
        </w:rPr>
        <w:t>K30</w:t>
      </w:r>
    </w:p>
    <w:p w14:paraId="79D69F13" w14:textId="04C59909" w:rsidR="00CF004D" w:rsidRPr="00652B9D" w:rsidRDefault="002300C7" w:rsidP="005F241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s</w:t>
      </w:r>
      <w:r w:rsidRPr="00652B9D">
        <w:rPr>
          <w:sz w:val="22"/>
          <w:szCs w:val="22"/>
          <w:lang w:val="sk-SK"/>
        </w:rPr>
        <w:t xml:space="preserve">odná </w:t>
      </w:r>
      <w:r w:rsidR="00203CBB" w:rsidRPr="00652B9D">
        <w:rPr>
          <w:sz w:val="22"/>
          <w:szCs w:val="22"/>
          <w:lang w:val="sk-SK"/>
        </w:rPr>
        <w:t xml:space="preserve">soľ </w:t>
      </w:r>
      <w:proofErr w:type="spellStart"/>
      <w:r w:rsidR="00203CBB" w:rsidRPr="00652B9D">
        <w:rPr>
          <w:sz w:val="22"/>
          <w:szCs w:val="22"/>
          <w:lang w:val="sk-SK"/>
        </w:rPr>
        <w:t>karboxymetylškrobu</w:t>
      </w:r>
      <w:proofErr w:type="spellEnd"/>
      <w:r w:rsidR="00896376" w:rsidRPr="00652B9D">
        <w:rPr>
          <w:sz w:val="22"/>
          <w:szCs w:val="22"/>
          <w:lang w:val="sk-SK"/>
        </w:rPr>
        <w:t xml:space="preserve"> (Typ</w:t>
      </w:r>
      <w:r w:rsidR="006F0C75">
        <w:rPr>
          <w:sz w:val="22"/>
          <w:szCs w:val="22"/>
          <w:lang w:val="sk-SK"/>
        </w:rPr>
        <w:t> </w:t>
      </w:r>
      <w:r w:rsidR="00896376" w:rsidRPr="00652B9D">
        <w:rPr>
          <w:sz w:val="22"/>
          <w:szCs w:val="22"/>
          <w:lang w:val="sk-SK"/>
        </w:rPr>
        <w:t>A)</w:t>
      </w:r>
    </w:p>
    <w:p w14:paraId="09A3C12C" w14:textId="2B8CA917" w:rsidR="002300C7" w:rsidRDefault="002300C7" w:rsidP="005F241E">
      <w:pPr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s</w:t>
      </w:r>
      <w:r w:rsidR="007130C0" w:rsidRPr="007130C0">
        <w:rPr>
          <w:sz w:val="22"/>
          <w:szCs w:val="22"/>
          <w:lang w:val="sk-SK"/>
        </w:rPr>
        <w:t>tearát</w:t>
      </w:r>
      <w:proofErr w:type="spellEnd"/>
      <w:r w:rsidR="007130C0" w:rsidRPr="007130C0">
        <w:rPr>
          <w:sz w:val="22"/>
          <w:szCs w:val="22"/>
          <w:lang w:val="sk-SK"/>
        </w:rPr>
        <w:t xml:space="preserve"> </w:t>
      </w:r>
      <w:proofErr w:type="spellStart"/>
      <w:r w:rsidR="007130C0" w:rsidRPr="007130C0">
        <w:rPr>
          <w:sz w:val="22"/>
          <w:szCs w:val="22"/>
          <w:lang w:val="sk-SK"/>
        </w:rPr>
        <w:t>horečnatý</w:t>
      </w:r>
      <w:proofErr w:type="spellEnd"/>
    </w:p>
    <w:p w14:paraId="08B7C082" w14:textId="77777777" w:rsidR="00452348" w:rsidRPr="00652B9D" w:rsidRDefault="00452348" w:rsidP="005F241E">
      <w:pPr>
        <w:rPr>
          <w:sz w:val="22"/>
          <w:szCs w:val="22"/>
          <w:lang w:val="sk-SK"/>
        </w:rPr>
      </w:pPr>
    </w:p>
    <w:p w14:paraId="0C60E14B" w14:textId="77777777" w:rsidR="00B65911" w:rsidRPr="005E30CF" w:rsidRDefault="004163BF" w:rsidP="005F241E">
      <w:pPr>
        <w:keepNext/>
        <w:rPr>
          <w:sz w:val="22"/>
          <w:szCs w:val="22"/>
          <w:u w:val="single"/>
          <w:lang w:val="sk-SK"/>
        </w:rPr>
      </w:pPr>
      <w:r w:rsidRPr="005E30CF">
        <w:rPr>
          <w:sz w:val="22"/>
          <w:szCs w:val="22"/>
          <w:u w:val="single"/>
          <w:lang w:val="sk-SK"/>
        </w:rPr>
        <w:t>Filmov</w:t>
      </w:r>
      <w:r w:rsidR="00803B64" w:rsidRPr="005E30CF">
        <w:rPr>
          <w:sz w:val="22"/>
          <w:szCs w:val="22"/>
          <w:u w:val="single"/>
          <w:lang w:val="sk-SK"/>
        </w:rPr>
        <w:t>á vrstva</w:t>
      </w:r>
    </w:p>
    <w:p w14:paraId="7BAFB835" w14:textId="77777777" w:rsidR="00B843DF" w:rsidRPr="00652B9D" w:rsidRDefault="00B843DF" w:rsidP="005F241E">
      <w:pPr>
        <w:keepNext/>
        <w:rPr>
          <w:sz w:val="22"/>
          <w:szCs w:val="22"/>
          <w:lang w:val="sk-SK"/>
        </w:rPr>
      </w:pPr>
    </w:p>
    <w:p w14:paraId="1F3AD1C7" w14:textId="15ED5034" w:rsidR="001438F0" w:rsidRPr="00652B9D" w:rsidRDefault="002300C7" w:rsidP="005F241E">
      <w:pPr>
        <w:keepNext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h</w:t>
      </w:r>
      <w:r w:rsidR="003D3761">
        <w:rPr>
          <w:sz w:val="22"/>
          <w:szCs w:val="22"/>
          <w:lang w:val="sk-SK"/>
        </w:rPr>
        <w:t>ypromelóza</w:t>
      </w:r>
      <w:proofErr w:type="spellEnd"/>
    </w:p>
    <w:p w14:paraId="2E8E70F9" w14:textId="1B535367" w:rsidR="001438F0" w:rsidRPr="00652B9D" w:rsidRDefault="002300C7" w:rsidP="005F241E">
      <w:pPr>
        <w:keepNext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o</w:t>
      </w:r>
      <w:r w:rsidRPr="00652B9D">
        <w:rPr>
          <w:sz w:val="22"/>
          <w:szCs w:val="22"/>
          <w:lang w:val="sk-SK"/>
        </w:rPr>
        <w:t xml:space="preserve">xid </w:t>
      </w:r>
      <w:proofErr w:type="spellStart"/>
      <w:r w:rsidR="00CF004D" w:rsidRPr="00652B9D">
        <w:rPr>
          <w:sz w:val="22"/>
          <w:szCs w:val="22"/>
          <w:lang w:val="sk-SK"/>
        </w:rPr>
        <w:t>titaničitý</w:t>
      </w:r>
      <w:proofErr w:type="spellEnd"/>
      <w:r w:rsidR="00CF004D" w:rsidRPr="00652B9D">
        <w:rPr>
          <w:sz w:val="22"/>
          <w:szCs w:val="22"/>
          <w:lang w:val="sk-SK"/>
        </w:rPr>
        <w:t xml:space="preserve"> </w:t>
      </w:r>
      <w:r w:rsidR="00707C59" w:rsidRPr="00652B9D">
        <w:rPr>
          <w:sz w:val="22"/>
          <w:szCs w:val="22"/>
          <w:lang w:val="sk-SK"/>
        </w:rPr>
        <w:t>E</w:t>
      </w:r>
      <w:r w:rsidR="006F0C75">
        <w:rPr>
          <w:sz w:val="22"/>
          <w:szCs w:val="22"/>
          <w:lang w:val="sk-SK"/>
        </w:rPr>
        <w:t> </w:t>
      </w:r>
      <w:r w:rsidR="00707C59" w:rsidRPr="00652B9D">
        <w:rPr>
          <w:sz w:val="22"/>
          <w:szCs w:val="22"/>
          <w:lang w:val="sk-SK"/>
        </w:rPr>
        <w:t>171</w:t>
      </w:r>
    </w:p>
    <w:p w14:paraId="2990C458" w14:textId="0B7C35F2" w:rsidR="001438F0" w:rsidRPr="00652B9D" w:rsidRDefault="002300C7" w:rsidP="005F241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č</w:t>
      </w:r>
      <w:r w:rsidRPr="00652B9D">
        <w:rPr>
          <w:sz w:val="22"/>
          <w:szCs w:val="22"/>
          <w:lang w:val="sk-SK"/>
        </w:rPr>
        <w:t xml:space="preserve">ervený </w:t>
      </w:r>
      <w:r w:rsidR="00CF004D" w:rsidRPr="00652B9D">
        <w:rPr>
          <w:sz w:val="22"/>
          <w:szCs w:val="22"/>
          <w:lang w:val="sk-SK"/>
        </w:rPr>
        <w:t>oxid železitý E</w:t>
      </w:r>
      <w:r w:rsidR="006F0C75">
        <w:rPr>
          <w:sz w:val="22"/>
          <w:szCs w:val="22"/>
          <w:lang w:val="sk-SK"/>
        </w:rPr>
        <w:t> </w:t>
      </w:r>
      <w:r w:rsidR="00CF004D" w:rsidRPr="00652B9D">
        <w:rPr>
          <w:sz w:val="22"/>
          <w:szCs w:val="22"/>
          <w:lang w:val="sk-SK"/>
        </w:rPr>
        <w:t>172</w:t>
      </w:r>
    </w:p>
    <w:p w14:paraId="31C92D2D" w14:textId="06388358" w:rsidR="00707C59" w:rsidRPr="00652B9D" w:rsidRDefault="002300C7" w:rsidP="005F241E">
      <w:pPr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m</w:t>
      </w:r>
      <w:r w:rsidRPr="00652B9D">
        <w:rPr>
          <w:sz w:val="22"/>
          <w:szCs w:val="22"/>
          <w:lang w:val="sk-SK"/>
        </w:rPr>
        <w:t>akrogol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r w:rsidR="00CF004D" w:rsidRPr="00652B9D">
        <w:rPr>
          <w:sz w:val="22"/>
          <w:szCs w:val="22"/>
          <w:lang w:val="sk-SK"/>
        </w:rPr>
        <w:t>400</w:t>
      </w:r>
    </w:p>
    <w:p w14:paraId="0DD6DC96" w14:textId="24726BE6" w:rsidR="00B843DF" w:rsidRPr="00652B9D" w:rsidRDefault="002300C7" w:rsidP="005F241E">
      <w:pPr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p</w:t>
      </w:r>
      <w:r w:rsidRPr="00652B9D">
        <w:rPr>
          <w:sz w:val="22"/>
          <w:szCs w:val="22"/>
          <w:lang w:val="sk-SK"/>
        </w:rPr>
        <w:t>olyetylénglykol</w:t>
      </w:r>
      <w:proofErr w:type="spellEnd"/>
      <w:r w:rsidRPr="00652B9D">
        <w:rPr>
          <w:sz w:val="22"/>
          <w:szCs w:val="22"/>
          <w:lang w:val="sk-SK"/>
        </w:rPr>
        <w:t xml:space="preserve"> </w:t>
      </w:r>
      <w:r w:rsidR="00CF004D" w:rsidRPr="00652B9D">
        <w:rPr>
          <w:sz w:val="22"/>
          <w:szCs w:val="22"/>
          <w:lang w:val="sk-SK"/>
        </w:rPr>
        <w:t>8000</w:t>
      </w:r>
    </w:p>
    <w:p w14:paraId="06D913AE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50D49BA1" w14:textId="77777777" w:rsidR="00B843DF" w:rsidRPr="00652B9D" w:rsidRDefault="001438F0" w:rsidP="005F241E">
      <w:pPr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6.2</w:t>
      </w:r>
      <w:r w:rsidR="00A97DD5" w:rsidRPr="00652B9D">
        <w:rPr>
          <w:b/>
          <w:sz w:val="22"/>
          <w:szCs w:val="22"/>
          <w:lang w:val="sk-SK"/>
        </w:rPr>
        <w:tab/>
      </w:r>
      <w:r w:rsidR="00B843DF" w:rsidRPr="00652B9D">
        <w:rPr>
          <w:b/>
          <w:sz w:val="22"/>
          <w:szCs w:val="22"/>
          <w:lang w:val="sk-SK"/>
        </w:rPr>
        <w:t>In</w:t>
      </w:r>
      <w:r w:rsidR="00803B64" w:rsidRPr="00652B9D">
        <w:rPr>
          <w:b/>
          <w:sz w:val="22"/>
          <w:szCs w:val="22"/>
          <w:lang w:val="sk-SK"/>
        </w:rPr>
        <w:t>k</w:t>
      </w:r>
      <w:r w:rsidR="00B843DF" w:rsidRPr="00652B9D">
        <w:rPr>
          <w:b/>
          <w:sz w:val="22"/>
          <w:szCs w:val="22"/>
          <w:lang w:val="sk-SK"/>
        </w:rPr>
        <w:t>ompatibilit</w:t>
      </w:r>
      <w:r w:rsidR="00803B64" w:rsidRPr="00652B9D">
        <w:rPr>
          <w:b/>
          <w:sz w:val="22"/>
          <w:szCs w:val="22"/>
          <w:lang w:val="sk-SK"/>
        </w:rPr>
        <w:t>y</w:t>
      </w:r>
    </w:p>
    <w:p w14:paraId="076349C8" w14:textId="77777777" w:rsidR="00B843DF" w:rsidRPr="006F0C75" w:rsidRDefault="00B843DF" w:rsidP="005F241E">
      <w:pPr>
        <w:rPr>
          <w:sz w:val="22"/>
          <w:szCs w:val="22"/>
          <w:lang w:val="sk-SK"/>
        </w:rPr>
      </w:pPr>
    </w:p>
    <w:p w14:paraId="07122C6A" w14:textId="77777777" w:rsidR="00B843DF" w:rsidRPr="00652B9D" w:rsidRDefault="00B843DF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N</w:t>
      </w:r>
      <w:r w:rsidR="00803B64" w:rsidRPr="00652B9D">
        <w:rPr>
          <w:sz w:val="22"/>
          <w:szCs w:val="22"/>
          <w:lang w:val="sk-SK"/>
        </w:rPr>
        <w:t>e</w:t>
      </w:r>
      <w:r w:rsidRPr="00652B9D">
        <w:rPr>
          <w:sz w:val="22"/>
          <w:szCs w:val="22"/>
          <w:lang w:val="sk-SK"/>
        </w:rPr>
        <w:t>apli</w:t>
      </w:r>
      <w:r w:rsidR="00803B64" w:rsidRPr="00652B9D">
        <w:rPr>
          <w:sz w:val="22"/>
          <w:szCs w:val="22"/>
          <w:lang w:val="sk-SK"/>
        </w:rPr>
        <w:t>kovateľné</w:t>
      </w:r>
      <w:r w:rsidRPr="00652B9D">
        <w:rPr>
          <w:sz w:val="22"/>
          <w:szCs w:val="22"/>
          <w:lang w:val="sk-SK"/>
        </w:rPr>
        <w:t>.</w:t>
      </w:r>
    </w:p>
    <w:p w14:paraId="5F3E9F2B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006D2B76" w14:textId="77777777" w:rsidR="00B843DF" w:rsidRPr="00652B9D" w:rsidRDefault="00904668" w:rsidP="005F241E">
      <w:pPr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6.3</w:t>
      </w:r>
      <w:r w:rsidR="00A97DD5" w:rsidRPr="00652B9D">
        <w:rPr>
          <w:b/>
          <w:sz w:val="22"/>
          <w:szCs w:val="22"/>
          <w:lang w:val="sk-SK"/>
        </w:rPr>
        <w:tab/>
      </w:r>
      <w:r w:rsidR="00803B64" w:rsidRPr="00652B9D">
        <w:rPr>
          <w:b/>
          <w:sz w:val="22"/>
          <w:szCs w:val="22"/>
          <w:lang w:val="sk-SK"/>
        </w:rPr>
        <w:t>Čas použiteľnosti</w:t>
      </w:r>
    </w:p>
    <w:p w14:paraId="7729047D" w14:textId="77777777" w:rsidR="00B843DF" w:rsidRPr="006F0C75" w:rsidRDefault="00B843DF" w:rsidP="005F241E">
      <w:pPr>
        <w:rPr>
          <w:sz w:val="22"/>
          <w:szCs w:val="22"/>
          <w:lang w:val="sk-SK"/>
        </w:rPr>
      </w:pPr>
    </w:p>
    <w:p w14:paraId="7B9E1935" w14:textId="77777777" w:rsidR="00B843DF" w:rsidRPr="00652B9D" w:rsidRDefault="00B843DF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5</w:t>
      </w:r>
      <w:r w:rsidR="006F0C75">
        <w:rPr>
          <w:sz w:val="22"/>
          <w:szCs w:val="22"/>
          <w:lang w:val="sk-SK"/>
        </w:rPr>
        <w:t> </w:t>
      </w:r>
      <w:r w:rsidR="00803B64" w:rsidRPr="00652B9D">
        <w:rPr>
          <w:sz w:val="22"/>
          <w:szCs w:val="22"/>
          <w:lang w:val="sk-SK"/>
        </w:rPr>
        <w:t>rokov</w:t>
      </w:r>
      <w:r w:rsidRPr="00652B9D">
        <w:rPr>
          <w:sz w:val="22"/>
          <w:szCs w:val="22"/>
          <w:lang w:val="sk-SK"/>
        </w:rPr>
        <w:t>.</w:t>
      </w:r>
    </w:p>
    <w:p w14:paraId="7B39FDE9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7ACED6FE" w14:textId="77777777" w:rsidR="00B843DF" w:rsidRPr="00652B9D" w:rsidRDefault="00904668" w:rsidP="005F241E">
      <w:pPr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6.4</w:t>
      </w:r>
      <w:r w:rsidR="00A97DD5" w:rsidRPr="00652B9D">
        <w:rPr>
          <w:b/>
          <w:sz w:val="22"/>
          <w:szCs w:val="22"/>
          <w:lang w:val="sk-SK"/>
        </w:rPr>
        <w:tab/>
      </w:r>
      <w:r w:rsidR="00803B64" w:rsidRPr="00652B9D">
        <w:rPr>
          <w:b/>
          <w:sz w:val="22"/>
          <w:szCs w:val="22"/>
          <w:lang w:val="sk-SK"/>
        </w:rPr>
        <w:t>Špeciálne upozornenia na uchovávanie</w:t>
      </w:r>
    </w:p>
    <w:p w14:paraId="6C1AB825" w14:textId="77777777" w:rsidR="00B843DF" w:rsidRPr="002320E1" w:rsidRDefault="00B843DF" w:rsidP="005F241E">
      <w:pPr>
        <w:rPr>
          <w:sz w:val="22"/>
          <w:szCs w:val="22"/>
          <w:lang w:val="sk-SK"/>
        </w:rPr>
      </w:pPr>
    </w:p>
    <w:p w14:paraId="5817569B" w14:textId="77777777" w:rsidR="00B843DF" w:rsidRPr="00652B9D" w:rsidRDefault="00707C59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Tento liek nevyžaduje ž</w:t>
      </w:r>
      <w:r w:rsidR="00803B64" w:rsidRPr="00652B9D">
        <w:rPr>
          <w:sz w:val="22"/>
          <w:szCs w:val="22"/>
          <w:lang w:val="sk-SK"/>
        </w:rPr>
        <w:t>iadne zvláštne podmienky na uchovávanie</w:t>
      </w:r>
      <w:r w:rsidR="00B843DF" w:rsidRPr="00652B9D">
        <w:rPr>
          <w:sz w:val="22"/>
          <w:szCs w:val="22"/>
          <w:lang w:val="sk-SK"/>
        </w:rPr>
        <w:t>.</w:t>
      </w:r>
    </w:p>
    <w:p w14:paraId="12625932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62048151" w14:textId="77777777" w:rsidR="00B843DF" w:rsidRPr="00652B9D" w:rsidRDefault="00904668" w:rsidP="005F241E">
      <w:pPr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6.5</w:t>
      </w:r>
      <w:r w:rsidR="00A97DD5" w:rsidRPr="00652B9D">
        <w:rPr>
          <w:b/>
          <w:sz w:val="22"/>
          <w:szCs w:val="22"/>
          <w:lang w:val="sk-SK"/>
        </w:rPr>
        <w:tab/>
      </w:r>
      <w:r w:rsidR="00803B64" w:rsidRPr="00652B9D">
        <w:rPr>
          <w:b/>
          <w:sz w:val="22"/>
          <w:szCs w:val="22"/>
          <w:lang w:val="sk-SK"/>
        </w:rPr>
        <w:t>Druh obalu a obsah balenia</w:t>
      </w:r>
    </w:p>
    <w:p w14:paraId="61E1FC6E" w14:textId="77777777" w:rsidR="00B843DF" w:rsidRPr="006F0C75" w:rsidRDefault="00B843DF" w:rsidP="005F241E">
      <w:pPr>
        <w:rPr>
          <w:sz w:val="22"/>
          <w:szCs w:val="22"/>
          <w:lang w:val="sk-SK"/>
        </w:rPr>
      </w:pPr>
    </w:p>
    <w:p w14:paraId="359DF967" w14:textId="77777777" w:rsidR="00B843DF" w:rsidRPr="00652B9D" w:rsidRDefault="00FF0C85" w:rsidP="005F241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Detské bezpečnostné fóliové </w:t>
      </w:r>
      <w:proofErr w:type="spellStart"/>
      <w:r>
        <w:rPr>
          <w:sz w:val="22"/>
          <w:szCs w:val="22"/>
          <w:lang w:val="sk-SK"/>
        </w:rPr>
        <w:t>blistrové</w:t>
      </w:r>
      <w:proofErr w:type="spellEnd"/>
      <w:r>
        <w:rPr>
          <w:sz w:val="22"/>
          <w:szCs w:val="22"/>
          <w:lang w:val="sk-SK"/>
        </w:rPr>
        <w:t xml:space="preserve"> balenie/a z PVC-hliníka/papiera</w:t>
      </w:r>
      <w:r w:rsidR="00803B64" w:rsidRPr="00652B9D">
        <w:rPr>
          <w:sz w:val="22"/>
          <w:szCs w:val="22"/>
          <w:lang w:val="sk-SK"/>
        </w:rPr>
        <w:t xml:space="preserve"> obsahujúce </w:t>
      </w:r>
      <w:r w:rsidR="00B843DF" w:rsidRPr="00652B9D">
        <w:rPr>
          <w:sz w:val="22"/>
          <w:szCs w:val="22"/>
          <w:lang w:val="sk-SK"/>
        </w:rPr>
        <w:t>12</w:t>
      </w:r>
      <w:r w:rsidR="006F0C75">
        <w:rPr>
          <w:sz w:val="22"/>
          <w:szCs w:val="22"/>
          <w:lang w:val="sk-SK"/>
        </w:rPr>
        <w:t> </w:t>
      </w:r>
      <w:r w:rsidR="00B843DF" w:rsidRPr="00652B9D">
        <w:rPr>
          <w:sz w:val="22"/>
          <w:szCs w:val="22"/>
          <w:lang w:val="sk-SK"/>
        </w:rPr>
        <w:t>tabl</w:t>
      </w:r>
      <w:r w:rsidR="00803B64" w:rsidRPr="00652B9D">
        <w:rPr>
          <w:sz w:val="22"/>
          <w:szCs w:val="22"/>
          <w:lang w:val="sk-SK"/>
        </w:rPr>
        <w:t>i</w:t>
      </w:r>
      <w:r w:rsidR="00B843DF" w:rsidRPr="00652B9D">
        <w:rPr>
          <w:sz w:val="22"/>
          <w:szCs w:val="22"/>
          <w:lang w:val="sk-SK"/>
        </w:rPr>
        <w:t>et.</w:t>
      </w:r>
    </w:p>
    <w:p w14:paraId="0875BE69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28167B64" w14:textId="77777777" w:rsidR="00B843DF" w:rsidRPr="00652B9D" w:rsidRDefault="00904668" w:rsidP="005F241E">
      <w:pPr>
        <w:keepNext/>
        <w:keepLines/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lastRenderedPageBreak/>
        <w:t>6.6</w:t>
      </w:r>
      <w:r w:rsidR="00A97DD5" w:rsidRPr="00652B9D">
        <w:rPr>
          <w:b/>
          <w:sz w:val="22"/>
          <w:szCs w:val="22"/>
          <w:lang w:val="sk-SK"/>
        </w:rPr>
        <w:tab/>
      </w:r>
      <w:r w:rsidR="00B65911" w:rsidRPr="00652B9D">
        <w:rPr>
          <w:b/>
          <w:sz w:val="22"/>
          <w:szCs w:val="22"/>
          <w:lang w:val="sk-SK"/>
        </w:rPr>
        <w:t xml:space="preserve">Špeciálne opatrenia na </w:t>
      </w:r>
      <w:r w:rsidR="00803B64" w:rsidRPr="00652B9D">
        <w:rPr>
          <w:b/>
          <w:sz w:val="22"/>
          <w:szCs w:val="22"/>
          <w:lang w:val="sk-SK"/>
        </w:rPr>
        <w:t>likvidáciu</w:t>
      </w:r>
    </w:p>
    <w:p w14:paraId="01887C7B" w14:textId="77777777" w:rsidR="00B843DF" w:rsidRPr="002320E1" w:rsidRDefault="00B843DF" w:rsidP="005F241E">
      <w:pPr>
        <w:keepNext/>
        <w:keepLines/>
        <w:rPr>
          <w:sz w:val="22"/>
          <w:szCs w:val="22"/>
          <w:lang w:val="sk-SK"/>
        </w:rPr>
      </w:pPr>
    </w:p>
    <w:p w14:paraId="6C1C234B" w14:textId="77777777" w:rsidR="00B843DF" w:rsidRDefault="00803B64" w:rsidP="005F241E">
      <w:pPr>
        <w:keepNext/>
        <w:keepLines/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Žiadne zvláštne požiadavky</w:t>
      </w:r>
      <w:r w:rsidR="00B843DF" w:rsidRPr="00652B9D">
        <w:rPr>
          <w:sz w:val="22"/>
          <w:szCs w:val="22"/>
          <w:lang w:val="sk-SK"/>
        </w:rPr>
        <w:t>.</w:t>
      </w:r>
    </w:p>
    <w:p w14:paraId="0E82DF53" w14:textId="77777777" w:rsidR="001B1685" w:rsidRPr="00652B9D" w:rsidRDefault="001B1685" w:rsidP="005F241E">
      <w:pPr>
        <w:rPr>
          <w:sz w:val="22"/>
          <w:szCs w:val="22"/>
          <w:lang w:val="sk-SK"/>
        </w:rPr>
      </w:pPr>
      <w:r w:rsidRPr="001B1685">
        <w:rPr>
          <w:sz w:val="22"/>
          <w:szCs w:val="22"/>
          <w:lang w:val="sk-SK"/>
        </w:rPr>
        <w:t>Nepoužitý liek alebo odpad vzniknutý z lieku treba vrátiť do lekárne</w:t>
      </w:r>
      <w:r>
        <w:rPr>
          <w:sz w:val="22"/>
          <w:szCs w:val="22"/>
          <w:lang w:val="sk-SK"/>
        </w:rPr>
        <w:t>.</w:t>
      </w:r>
    </w:p>
    <w:p w14:paraId="4DBE2188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121948F5" w14:textId="77777777" w:rsidR="00A52875" w:rsidRPr="001B1685" w:rsidRDefault="00A52875" w:rsidP="005F241E">
      <w:pPr>
        <w:rPr>
          <w:sz w:val="22"/>
          <w:szCs w:val="22"/>
          <w:lang w:val="sk-SK"/>
        </w:rPr>
      </w:pPr>
    </w:p>
    <w:p w14:paraId="6F109DB7" w14:textId="77777777" w:rsidR="00B843DF" w:rsidRPr="00652B9D" w:rsidRDefault="00B843DF" w:rsidP="005F241E">
      <w:pPr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7.</w:t>
      </w:r>
      <w:r w:rsidR="00A97DD5" w:rsidRPr="00652B9D">
        <w:rPr>
          <w:b/>
          <w:sz w:val="22"/>
          <w:szCs w:val="22"/>
          <w:lang w:val="sk-SK"/>
        </w:rPr>
        <w:tab/>
      </w:r>
      <w:r w:rsidR="00803B64" w:rsidRPr="00652B9D">
        <w:rPr>
          <w:b/>
          <w:bCs/>
          <w:sz w:val="22"/>
          <w:szCs w:val="22"/>
          <w:lang w:val="sk-SK"/>
        </w:rPr>
        <w:t>DRŽITEĽ ROZHODNUTIA O REGISTRÁCII</w:t>
      </w:r>
    </w:p>
    <w:p w14:paraId="6B7F76F4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14036A0D" w14:textId="77777777" w:rsidR="00C42B2F" w:rsidRDefault="00C42B2F" w:rsidP="005F241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GlaxoSmithKline (</w:t>
      </w:r>
      <w:proofErr w:type="spellStart"/>
      <w:r>
        <w:rPr>
          <w:sz w:val="22"/>
          <w:szCs w:val="22"/>
          <w:lang w:val="sk-SK"/>
        </w:rPr>
        <w:t>Ireland</w:t>
      </w:r>
      <w:proofErr w:type="spellEnd"/>
      <w:r>
        <w:rPr>
          <w:sz w:val="22"/>
          <w:szCs w:val="22"/>
          <w:lang w:val="sk-SK"/>
        </w:rPr>
        <w:t xml:space="preserve">) </w:t>
      </w:r>
      <w:proofErr w:type="spellStart"/>
      <w:r>
        <w:rPr>
          <w:sz w:val="22"/>
          <w:szCs w:val="22"/>
          <w:lang w:val="sk-SK"/>
        </w:rPr>
        <w:t>Limited</w:t>
      </w:r>
      <w:proofErr w:type="spellEnd"/>
    </w:p>
    <w:p w14:paraId="62082E7E" w14:textId="77777777" w:rsidR="00C42B2F" w:rsidRDefault="001854F9" w:rsidP="005F241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12 </w:t>
      </w:r>
      <w:proofErr w:type="spellStart"/>
      <w:r>
        <w:rPr>
          <w:sz w:val="22"/>
          <w:szCs w:val="22"/>
          <w:lang w:val="sk-SK"/>
        </w:rPr>
        <w:t>Riv</w:t>
      </w:r>
      <w:r w:rsidR="00C42B2F">
        <w:rPr>
          <w:sz w:val="22"/>
          <w:szCs w:val="22"/>
          <w:lang w:val="sk-SK"/>
        </w:rPr>
        <w:t>erwalk</w:t>
      </w:r>
      <w:proofErr w:type="spellEnd"/>
    </w:p>
    <w:p w14:paraId="6EEC7355" w14:textId="77777777" w:rsidR="00C42B2F" w:rsidRDefault="00C42B2F" w:rsidP="005F241E">
      <w:pPr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Citywest</w:t>
      </w:r>
      <w:proofErr w:type="spellEnd"/>
      <w:r>
        <w:rPr>
          <w:sz w:val="22"/>
          <w:szCs w:val="22"/>
          <w:lang w:val="sk-SK"/>
        </w:rPr>
        <w:t xml:space="preserve"> Business </w:t>
      </w:r>
      <w:proofErr w:type="spellStart"/>
      <w:r>
        <w:rPr>
          <w:sz w:val="22"/>
          <w:szCs w:val="22"/>
          <w:lang w:val="sk-SK"/>
        </w:rPr>
        <w:t>Campus</w:t>
      </w:r>
      <w:proofErr w:type="spellEnd"/>
    </w:p>
    <w:p w14:paraId="001182BD" w14:textId="77777777" w:rsidR="00C42B2F" w:rsidRDefault="00C42B2F" w:rsidP="005F241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Dublin 24</w:t>
      </w:r>
    </w:p>
    <w:p w14:paraId="3AD12DB4" w14:textId="77777777" w:rsidR="00B6559C" w:rsidRDefault="00C42B2F" w:rsidP="005F241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Írsko</w:t>
      </w:r>
    </w:p>
    <w:p w14:paraId="05D33035" w14:textId="77777777" w:rsidR="001B1685" w:rsidRDefault="001B1685" w:rsidP="005F241E">
      <w:pPr>
        <w:rPr>
          <w:sz w:val="22"/>
          <w:szCs w:val="22"/>
          <w:lang w:val="sk-SK"/>
        </w:rPr>
      </w:pPr>
    </w:p>
    <w:p w14:paraId="11ED0BE4" w14:textId="77777777" w:rsidR="001B1685" w:rsidRPr="00652B9D" w:rsidRDefault="001B1685" w:rsidP="005F241E">
      <w:pPr>
        <w:rPr>
          <w:sz w:val="22"/>
          <w:szCs w:val="22"/>
          <w:lang w:val="sk-SK"/>
        </w:rPr>
      </w:pPr>
    </w:p>
    <w:p w14:paraId="4DEDEADE" w14:textId="77777777" w:rsidR="00B843DF" w:rsidRPr="00652B9D" w:rsidRDefault="00904668" w:rsidP="005F241E">
      <w:pPr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8.</w:t>
      </w:r>
      <w:r w:rsidR="00A97DD5" w:rsidRPr="00652B9D">
        <w:rPr>
          <w:b/>
          <w:sz w:val="22"/>
          <w:szCs w:val="22"/>
          <w:lang w:val="sk-SK"/>
        </w:rPr>
        <w:tab/>
      </w:r>
      <w:r w:rsidR="00803B64" w:rsidRPr="00652B9D">
        <w:rPr>
          <w:b/>
          <w:sz w:val="22"/>
          <w:szCs w:val="22"/>
          <w:lang w:val="sk-SK"/>
        </w:rPr>
        <w:t>REGISTRAČNÉ ČÍSLO</w:t>
      </w:r>
    </w:p>
    <w:p w14:paraId="3B58139A" w14:textId="77777777" w:rsidR="00C42B2F" w:rsidRPr="00652B9D" w:rsidRDefault="00C42B2F" w:rsidP="005F241E">
      <w:pPr>
        <w:rPr>
          <w:sz w:val="22"/>
          <w:szCs w:val="22"/>
          <w:lang w:val="sk-SK"/>
        </w:rPr>
      </w:pPr>
    </w:p>
    <w:p w14:paraId="3CF4C354" w14:textId="77777777" w:rsidR="00B843DF" w:rsidRPr="00652B9D" w:rsidRDefault="00B843DF" w:rsidP="005F241E">
      <w:pPr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>2</w:t>
      </w:r>
      <w:r w:rsidR="00673880" w:rsidRPr="00652B9D">
        <w:rPr>
          <w:sz w:val="22"/>
          <w:szCs w:val="22"/>
          <w:lang w:val="sk-SK"/>
        </w:rPr>
        <w:t>5/0127/06-S</w:t>
      </w:r>
    </w:p>
    <w:p w14:paraId="14F632D4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4408A32A" w14:textId="77777777" w:rsidR="0082375C" w:rsidRPr="00652B9D" w:rsidRDefault="0082375C" w:rsidP="005F241E">
      <w:pPr>
        <w:rPr>
          <w:sz w:val="22"/>
          <w:szCs w:val="22"/>
          <w:lang w:val="sk-SK"/>
        </w:rPr>
      </w:pPr>
    </w:p>
    <w:p w14:paraId="1A686C49" w14:textId="77777777" w:rsidR="00B843DF" w:rsidRPr="00652B9D" w:rsidRDefault="00904668" w:rsidP="005F241E">
      <w:pPr>
        <w:keepNext/>
        <w:rPr>
          <w:b/>
          <w:caps/>
          <w:sz w:val="22"/>
          <w:szCs w:val="22"/>
          <w:lang w:val="sk-SK"/>
        </w:rPr>
      </w:pPr>
      <w:r w:rsidRPr="00652B9D">
        <w:rPr>
          <w:b/>
          <w:bCs/>
          <w:sz w:val="22"/>
          <w:szCs w:val="22"/>
          <w:lang w:val="sk-SK"/>
        </w:rPr>
        <w:t>9</w:t>
      </w:r>
      <w:r w:rsidR="004D25D4">
        <w:rPr>
          <w:b/>
          <w:bCs/>
          <w:sz w:val="22"/>
          <w:szCs w:val="22"/>
          <w:lang w:val="sk-SK"/>
        </w:rPr>
        <w:t>.</w:t>
      </w:r>
      <w:r w:rsidRPr="00652B9D">
        <w:rPr>
          <w:b/>
          <w:bCs/>
          <w:sz w:val="22"/>
          <w:szCs w:val="22"/>
          <w:lang w:val="sk-SK"/>
        </w:rPr>
        <w:tab/>
      </w:r>
      <w:r w:rsidR="00803B64" w:rsidRPr="00652B9D">
        <w:rPr>
          <w:b/>
          <w:bCs/>
          <w:sz w:val="22"/>
          <w:szCs w:val="22"/>
          <w:lang w:val="sk-SK"/>
        </w:rPr>
        <w:t>DÁ</w:t>
      </w:r>
      <w:r w:rsidR="00C42B2F">
        <w:rPr>
          <w:b/>
          <w:bCs/>
          <w:sz w:val="22"/>
          <w:szCs w:val="22"/>
          <w:lang w:val="sk-SK"/>
        </w:rPr>
        <w:t>T</w:t>
      </w:r>
      <w:r w:rsidR="00803B64" w:rsidRPr="00652B9D">
        <w:rPr>
          <w:b/>
          <w:bCs/>
          <w:sz w:val="22"/>
          <w:szCs w:val="22"/>
          <w:lang w:val="sk-SK"/>
        </w:rPr>
        <w:t>UM</w:t>
      </w:r>
      <w:r w:rsidR="00C42B2F">
        <w:rPr>
          <w:b/>
          <w:bCs/>
          <w:sz w:val="22"/>
          <w:szCs w:val="22"/>
          <w:lang w:val="sk-SK"/>
        </w:rPr>
        <w:t xml:space="preserve"> </w:t>
      </w:r>
      <w:r w:rsidR="00803B64" w:rsidRPr="00652B9D">
        <w:rPr>
          <w:b/>
          <w:bCs/>
          <w:sz w:val="22"/>
          <w:szCs w:val="22"/>
          <w:lang w:val="sk-SK"/>
        </w:rPr>
        <w:t>PRVEJ REGISTRÁCIE</w:t>
      </w:r>
      <w:r w:rsidR="00B65911" w:rsidRPr="00652B9D">
        <w:rPr>
          <w:b/>
          <w:bCs/>
          <w:sz w:val="22"/>
          <w:szCs w:val="22"/>
          <w:lang w:val="sk-SK"/>
        </w:rPr>
        <w:t>/</w:t>
      </w:r>
      <w:r w:rsidR="00B65911" w:rsidRPr="00652B9D">
        <w:rPr>
          <w:b/>
          <w:bCs/>
          <w:caps/>
          <w:sz w:val="22"/>
          <w:szCs w:val="22"/>
          <w:lang w:val="sk-SK"/>
        </w:rPr>
        <w:t>predĺženia registrácie</w:t>
      </w:r>
    </w:p>
    <w:p w14:paraId="330EE0D2" w14:textId="77777777" w:rsidR="00673880" w:rsidRPr="00652B9D" w:rsidRDefault="00673880" w:rsidP="005F241E">
      <w:pPr>
        <w:keepNext/>
        <w:rPr>
          <w:sz w:val="22"/>
          <w:szCs w:val="22"/>
          <w:lang w:val="sk-SK"/>
        </w:rPr>
      </w:pPr>
    </w:p>
    <w:p w14:paraId="5CD3A9E2" w14:textId="77777777" w:rsidR="00B843DF" w:rsidRPr="00652B9D" w:rsidRDefault="00B65911" w:rsidP="005F241E">
      <w:pPr>
        <w:keepNext/>
        <w:rPr>
          <w:sz w:val="22"/>
          <w:szCs w:val="22"/>
          <w:lang w:val="sk-SK"/>
        </w:rPr>
      </w:pPr>
      <w:r w:rsidRPr="00652B9D">
        <w:rPr>
          <w:sz w:val="22"/>
          <w:szCs w:val="22"/>
          <w:lang w:val="sk-SK"/>
        </w:rPr>
        <w:t xml:space="preserve">Dátum prvej registrácie: </w:t>
      </w:r>
      <w:r w:rsidR="00673880" w:rsidRPr="00652B9D">
        <w:rPr>
          <w:sz w:val="22"/>
          <w:szCs w:val="22"/>
          <w:lang w:val="sk-SK"/>
        </w:rPr>
        <w:t>10.</w:t>
      </w:r>
      <w:r w:rsidR="005543A0">
        <w:rPr>
          <w:sz w:val="22"/>
          <w:szCs w:val="22"/>
          <w:lang w:val="sk-SK"/>
        </w:rPr>
        <w:t>0</w:t>
      </w:r>
      <w:r w:rsidR="00673880" w:rsidRPr="00652B9D">
        <w:rPr>
          <w:sz w:val="22"/>
          <w:szCs w:val="22"/>
          <w:lang w:val="sk-SK"/>
        </w:rPr>
        <w:t>3.2006</w:t>
      </w:r>
      <w:r w:rsidRPr="00652B9D">
        <w:rPr>
          <w:sz w:val="22"/>
          <w:szCs w:val="22"/>
          <w:lang w:val="sk-SK"/>
        </w:rPr>
        <w:t>.</w:t>
      </w:r>
    </w:p>
    <w:p w14:paraId="3F293BE3" w14:textId="77777777" w:rsidR="00B65911" w:rsidRPr="00652B9D" w:rsidRDefault="00B65911" w:rsidP="005F241E">
      <w:pPr>
        <w:keepNext/>
        <w:rPr>
          <w:sz w:val="22"/>
          <w:szCs w:val="22"/>
          <w:lang w:val="sk-SK"/>
        </w:rPr>
      </w:pPr>
      <w:r w:rsidRPr="004E0741">
        <w:rPr>
          <w:sz w:val="22"/>
          <w:szCs w:val="22"/>
          <w:lang w:val="sk-SK"/>
        </w:rPr>
        <w:t xml:space="preserve">Dátum </w:t>
      </w:r>
      <w:r w:rsidR="00CA089C">
        <w:rPr>
          <w:sz w:val="22"/>
          <w:szCs w:val="22"/>
          <w:lang w:val="sk-SK"/>
        </w:rPr>
        <w:t>posledného</w:t>
      </w:r>
      <w:r w:rsidR="00CA089C" w:rsidRPr="004E0741">
        <w:rPr>
          <w:sz w:val="22"/>
          <w:szCs w:val="22"/>
          <w:lang w:val="sk-SK"/>
        </w:rPr>
        <w:t xml:space="preserve"> </w:t>
      </w:r>
      <w:r w:rsidRPr="004E0741">
        <w:rPr>
          <w:sz w:val="22"/>
          <w:szCs w:val="22"/>
          <w:lang w:val="sk-SK"/>
        </w:rPr>
        <w:t>predĺženia registrácie:</w:t>
      </w:r>
      <w:r w:rsidR="00617CCE">
        <w:rPr>
          <w:sz w:val="22"/>
          <w:szCs w:val="22"/>
          <w:lang w:val="sk-SK"/>
        </w:rPr>
        <w:t xml:space="preserve"> </w:t>
      </w:r>
      <w:r w:rsidR="005543A0">
        <w:rPr>
          <w:sz w:val="22"/>
          <w:szCs w:val="22"/>
          <w:lang w:val="sk-SK"/>
        </w:rPr>
        <w:t>20.06.2012</w:t>
      </w:r>
    </w:p>
    <w:p w14:paraId="2BEB45D0" w14:textId="77777777" w:rsidR="00B843DF" w:rsidRPr="00652B9D" w:rsidRDefault="00B843DF" w:rsidP="005F241E">
      <w:pPr>
        <w:rPr>
          <w:sz w:val="22"/>
          <w:szCs w:val="22"/>
          <w:lang w:val="sk-SK"/>
        </w:rPr>
      </w:pPr>
    </w:p>
    <w:p w14:paraId="7BE207F0" w14:textId="77777777" w:rsidR="0082375C" w:rsidRPr="00652B9D" w:rsidRDefault="0082375C" w:rsidP="005F241E">
      <w:pPr>
        <w:rPr>
          <w:sz w:val="22"/>
          <w:szCs w:val="22"/>
          <w:lang w:val="sk-SK"/>
        </w:rPr>
      </w:pPr>
    </w:p>
    <w:p w14:paraId="2957780D" w14:textId="77777777" w:rsidR="008231B9" w:rsidRPr="00652B9D" w:rsidRDefault="00904668" w:rsidP="005F241E">
      <w:pPr>
        <w:rPr>
          <w:b/>
          <w:sz w:val="22"/>
          <w:szCs w:val="22"/>
          <w:lang w:val="sk-SK"/>
        </w:rPr>
      </w:pPr>
      <w:r w:rsidRPr="00652B9D">
        <w:rPr>
          <w:b/>
          <w:sz w:val="22"/>
          <w:szCs w:val="22"/>
          <w:lang w:val="sk-SK"/>
        </w:rPr>
        <w:t>10.</w:t>
      </w:r>
      <w:r w:rsidR="00A97DD5" w:rsidRPr="00652B9D">
        <w:rPr>
          <w:b/>
          <w:sz w:val="22"/>
          <w:szCs w:val="22"/>
          <w:lang w:val="sk-SK"/>
        </w:rPr>
        <w:tab/>
      </w:r>
      <w:r w:rsidR="00B843DF" w:rsidRPr="00652B9D">
        <w:rPr>
          <w:b/>
          <w:sz w:val="22"/>
          <w:szCs w:val="22"/>
          <w:lang w:val="sk-SK"/>
        </w:rPr>
        <w:t>D</w:t>
      </w:r>
      <w:r w:rsidR="00803B64" w:rsidRPr="00652B9D">
        <w:rPr>
          <w:b/>
          <w:sz w:val="22"/>
          <w:szCs w:val="22"/>
          <w:lang w:val="sk-SK"/>
        </w:rPr>
        <w:t>ÁTUM REVÍZIE TEXTU</w:t>
      </w:r>
    </w:p>
    <w:p w14:paraId="1BA559ED" w14:textId="77777777" w:rsidR="0082375C" w:rsidRPr="00BA70ED" w:rsidRDefault="0082375C" w:rsidP="005F241E">
      <w:pPr>
        <w:rPr>
          <w:sz w:val="22"/>
          <w:szCs w:val="22"/>
          <w:lang w:val="sk-SK"/>
        </w:rPr>
      </w:pPr>
    </w:p>
    <w:p w14:paraId="31778C5A" w14:textId="6795A482" w:rsidR="0070505B" w:rsidRPr="00604E27" w:rsidRDefault="00E77AAC" w:rsidP="005F241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01/2021</w:t>
      </w:r>
    </w:p>
    <w:sectPr w:rsidR="0070505B" w:rsidRPr="00604E27" w:rsidSect="002320E1">
      <w:headerReference w:type="default" r:id="rId9"/>
      <w:footerReference w:type="even" r:id="rId10"/>
      <w:footerReference w:type="default" r:id="rId11"/>
      <w:pgSz w:w="11909" w:h="16834" w:code="9"/>
      <w:pgMar w:top="1387" w:right="1418" w:bottom="1134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227C9" w14:textId="77777777" w:rsidR="002A6182" w:rsidRDefault="002A6182">
      <w:r>
        <w:separator/>
      </w:r>
    </w:p>
  </w:endnote>
  <w:endnote w:type="continuationSeparator" w:id="0">
    <w:p w14:paraId="3DF6CA39" w14:textId="77777777" w:rsidR="002A6182" w:rsidRDefault="002A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91EA8" w14:textId="00366585" w:rsidR="00A3524F" w:rsidRDefault="00D6004B" w:rsidP="0000407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A3524F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77AAC">
      <w:rPr>
        <w:rStyle w:val="slostrany"/>
        <w:noProof/>
      </w:rPr>
      <w:t>1</w:t>
    </w:r>
    <w:r>
      <w:rPr>
        <w:rStyle w:val="slostrany"/>
      </w:rPr>
      <w:fldChar w:fldCharType="end"/>
    </w:r>
  </w:p>
  <w:p w14:paraId="5289FC14" w14:textId="77777777" w:rsidR="00A3524F" w:rsidRDefault="00A3524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1843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F3722C4" w14:textId="77777777" w:rsidR="00A3524F" w:rsidRPr="002320E1" w:rsidRDefault="00693DC1" w:rsidP="002320E1">
        <w:pPr>
          <w:pStyle w:val="Pta"/>
          <w:jc w:val="center"/>
          <w:rPr>
            <w:sz w:val="18"/>
            <w:szCs w:val="18"/>
          </w:rPr>
        </w:pPr>
        <w:r w:rsidRPr="002320E1">
          <w:rPr>
            <w:sz w:val="18"/>
            <w:szCs w:val="18"/>
          </w:rPr>
          <w:fldChar w:fldCharType="begin"/>
        </w:r>
        <w:r w:rsidRPr="002320E1">
          <w:rPr>
            <w:sz w:val="18"/>
            <w:szCs w:val="18"/>
          </w:rPr>
          <w:instrText>PAGE   \* MERGEFORMAT</w:instrText>
        </w:r>
        <w:r w:rsidRPr="002320E1">
          <w:rPr>
            <w:sz w:val="18"/>
            <w:szCs w:val="18"/>
          </w:rPr>
          <w:fldChar w:fldCharType="separate"/>
        </w:r>
        <w:r w:rsidR="00D61EE2" w:rsidRPr="00D61EE2">
          <w:rPr>
            <w:noProof/>
            <w:sz w:val="18"/>
            <w:szCs w:val="18"/>
            <w:lang w:val="sk-SK"/>
          </w:rPr>
          <w:t>11</w:t>
        </w:r>
        <w:r w:rsidRPr="002320E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3E40B" w14:textId="77777777" w:rsidR="002A6182" w:rsidRDefault="002A6182">
      <w:r>
        <w:separator/>
      </w:r>
    </w:p>
  </w:footnote>
  <w:footnote w:type="continuationSeparator" w:id="0">
    <w:p w14:paraId="3184439F" w14:textId="77777777" w:rsidR="002A6182" w:rsidRDefault="002A6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B29F1" w14:textId="7ED899D1" w:rsidR="00374D6A" w:rsidRPr="002320E1" w:rsidRDefault="00374D6A" w:rsidP="00374D6A">
    <w:pPr>
      <w:pStyle w:val="Hlavika"/>
      <w:rPr>
        <w:sz w:val="18"/>
        <w:szCs w:val="18"/>
        <w:lang w:val="sk-SK"/>
      </w:rPr>
    </w:pPr>
    <w:proofErr w:type="spellStart"/>
    <w:r>
      <w:rPr>
        <w:sz w:val="18"/>
        <w:szCs w:val="18"/>
        <w:lang w:val="cs-CZ"/>
      </w:rPr>
      <w:t>Príloha</w:t>
    </w:r>
    <w:proofErr w:type="spellEnd"/>
    <w:r>
      <w:rPr>
        <w:sz w:val="18"/>
        <w:szCs w:val="18"/>
        <w:lang w:val="cs-CZ"/>
      </w:rPr>
      <w:t xml:space="preserve"> č. 1 k </w:t>
    </w:r>
    <w:proofErr w:type="spellStart"/>
    <w:r>
      <w:rPr>
        <w:sz w:val="18"/>
        <w:szCs w:val="18"/>
        <w:lang w:val="cs-CZ"/>
      </w:rPr>
      <w:t>notifikácii</w:t>
    </w:r>
    <w:proofErr w:type="spellEnd"/>
    <w:r>
      <w:rPr>
        <w:sz w:val="18"/>
        <w:szCs w:val="18"/>
        <w:lang w:val="cs-CZ"/>
      </w:rPr>
      <w:t xml:space="preserve"> o </w:t>
    </w:r>
    <w:proofErr w:type="spellStart"/>
    <w:r>
      <w:rPr>
        <w:sz w:val="18"/>
        <w:szCs w:val="18"/>
        <w:lang w:val="cs-CZ"/>
      </w:rPr>
      <w:t>zmene</w:t>
    </w:r>
    <w:proofErr w:type="spellEnd"/>
    <w:r>
      <w:rPr>
        <w:sz w:val="18"/>
        <w:szCs w:val="18"/>
        <w:lang w:val="cs-CZ"/>
      </w:rPr>
      <w:t xml:space="preserve">, </w:t>
    </w:r>
    <w:proofErr w:type="spellStart"/>
    <w:r>
      <w:rPr>
        <w:sz w:val="18"/>
        <w:szCs w:val="18"/>
        <w:lang w:val="cs-CZ"/>
      </w:rPr>
      <w:t>ev.č</w:t>
    </w:r>
    <w:proofErr w:type="spellEnd"/>
    <w:r>
      <w:rPr>
        <w:sz w:val="18"/>
        <w:szCs w:val="18"/>
        <w:lang w:val="cs-CZ"/>
      </w:rPr>
      <w:t>.</w:t>
    </w:r>
    <w:r w:rsidR="00E77AAC">
      <w:rPr>
        <w:sz w:val="18"/>
        <w:szCs w:val="18"/>
        <w:lang w:val="cs-CZ"/>
      </w:rPr>
      <w:t xml:space="preserve">: </w:t>
    </w:r>
    <w:r w:rsidR="00E77AAC" w:rsidRPr="00E77AAC">
      <w:rPr>
        <w:sz w:val="18"/>
        <w:szCs w:val="18"/>
        <w:lang w:val="cs-CZ"/>
      </w:rPr>
      <w:t>2020/05512-Z1B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C74"/>
    <w:multiLevelType w:val="hybridMultilevel"/>
    <w:tmpl w:val="905247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478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AE7A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EF3F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D34FBE"/>
    <w:multiLevelType w:val="multilevel"/>
    <w:tmpl w:val="C29C7A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6A43695"/>
    <w:multiLevelType w:val="multilevel"/>
    <w:tmpl w:val="81A28FE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5166AC"/>
    <w:multiLevelType w:val="singleLevel"/>
    <w:tmpl w:val="A3A44514"/>
    <w:lvl w:ilvl="0">
      <w:start w:val="1"/>
      <w:numFmt w:val="lowerLetter"/>
      <w:pStyle w:val="tableref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1914D2"/>
    <w:multiLevelType w:val="hybridMultilevel"/>
    <w:tmpl w:val="F516F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14715E"/>
    <w:multiLevelType w:val="multilevel"/>
    <w:tmpl w:val="C510897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0CB5C5F"/>
    <w:multiLevelType w:val="multilevel"/>
    <w:tmpl w:val="11FC2D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>
    <w:nsid w:val="43FB2444"/>
    <w:multiLevelType w:val="singleLevel"/>
    <w:tmpl w:val="4D701A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50A226BE"/>
    <w:multiLevelType w:val="multilevel"/>
    <w:tmpl w:val="11FC2D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49D446A"/>
    <w:multiLevelType w:val="singleLevel"/>
    <w:tmpl w:val="E898C3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580D42FC"/>
    <w:multiLevelType w:val="multilevel"/>
    <w:tmpl w:val="11FC2D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A98398A"/>
    <w:multiLevelType w:val="singleLevel"/>
    <w:tmpl w:val="4D70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5AE7096F"/>
    <w:multiLevelType w:val="hybridMultilevel"/>
    <w:tmpl w:val="4B348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9103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3D75694"/>
    <w:multiLevelType w:val="singleLevel"/>
    <w:tmpl w:val="8692F0F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8">
    <w:nsid w:val="76E15BD2"/>
    <w:multiLevelType w:val="multilevel"/>
    <w:tmpl w:val="946C766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D3F4084"/>
    <w:multiLevelType w:val="multilevel"/>
    <w:tmpl w:val="11FC2D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6"/>
  </w:num>
  <w:num w:numId="5">
    <w:abstractNumId w:val="1"/>
  </w:num>
  <w:num w:numId="6">
    <w:abstractNumId w:val="14"/>
  </w:num>
  <w:num w:numId="7">
    <w:abstractNumId w:val="8"/>
  </w:num>
  <w:num w:numId="8">
    <w:abstractNumId w:val="5"/>
  </w:num>
  <w:num w:numId="9">
    <w:abstractNumId w:val="18"/>
  </w:num>
  <w:num w:numId="10">
    <w:abstractNumId w:val="10"/>
  </w:num>
  <w:num w:numId="11">
    <w:abstractNumId w:val="17"/>
  </w:num>
  <w:num w:numId="12">
    <w:abstractNumId w:val="13"/>
  </w:num>
  <w:num w:numId="13">
    <w:abstractNumId w:val="9"/>
  </w:num>
  <w:num w:numId="14">
    <w:abstractNumId w:val="19"/>
  </w:num>
  <w:num w:numId="15">
    <w:abstractNumId w:val="11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ed" w:val="-1"/>
  </w:docVars>
  <w:rsids>
    <w:rsidRoot w:val="00B843DF"/>
    <w:rsid w:val="000031ED"/>
    <w:rsid w:val="00004070"/>
    <w:rsid w:val="000053CF"/>
    <w:rsid w:val="0000788C"/>
    <w:rsid w:val="00023EF2"/>
    <w:rsid w:val="00033895"/>
    <w:rsid w:val="00033F26"/>
    <w:rsid w:val="00050405"/>
    <w:rsid w:val="0006396F"/>
    <w:rsid w:val="00064448"/>
    <w:rsid w:val="000746D8"/>
    <w:rsid w:val="00076B24"/>
    <w:rsid w:val="000931D3"/>
    <w:rsid w:val="000944B0"/>
    <w:rsid w:val="00095F5E"/>
    <w:rsid w:val="00097039"/>
    <w:rsid w:val="000A39E2"/>
    <w:rsid w:val="000A6FD7"/>
    <w:rsid w:val="000A7D97"/>
    <w:rsid w:val="000B6792"/>
    <w:rsid w:val="000C3B4B"/>
    <w:rsid w:val="000C3D0D"/>
    <w:rsid w:val="000C5304"/>
    <w:rsid w:val="000D53AD"/>
    <w:rsid w:val="000E166A"/>
    <w:rsid w:val="000F3651"/>
    <w:rsid w:val="000F39CD"/>
    <w:rsid w:val="000F3A93"/>
    <w:rsid w:val="000F5B03"/>
    <w:rsid w:val="00102560"/>
    <w:rsid w:val="00114C18"/>
    <w:rsid w:val="00123B69"/>
    <w:rsid w:val="00137551"/>
    <w:rsid w:val="00141766"/>
    <w:rsid w:val="001438F0"/>
    <w:rsid w:val="00144089"/>
    <w:rsid w:val="00146498"/>
    <w:rsid w:val="00157022"/>
    <w:rsid w:val="00162585"/>
    <w:rsid w:val="00164630"/>
    <w:rsid w:val="00171C75"/>
    <w:rsid w:val="001753A7"/>
    <w:rsid w:val="00176444"/>
    <w:rsid w:val="0018062D"/>
    <w:rsid w:val="001837CD"/>
    <w:rsid w:val="001854F9"/>
    <w:rsid w:val="001959C0"/>
    <w:rsid w:val="00196EC3"/>
    <w:rsid w:val="00197D01"/>
    <w:rsid w:val="001B1685"/>
    <w:rsid w:val="001B29DF"/>
    <w:rsid w:val="001B2A34"/>
    <w:rsid w:val="001B4034"/>
    <w:rsid w:val="001D1557"/>
    <w:rsid w:val="001D5477"/>
    <w:rsid w:val="001D5F0B"/>
    <w:rsid w:val="001E25FF"/>
    <w:rsid w:val="001E50CA"/>
    <w:rsid w:val="001F42F8"/>
    <w:rsid w:val="00203CBB"/>
    <w:rsid w:val="00206CA2"/>
    <w:rsid w:val="002073AE"/>
    <w:rsid w:val="0021074C"/>
    <w:rsid w:val="002108F4"/>
    <w:rsid w:val="0021387A"/>
    <w:rsid w:val="002158BD"/>
    <w:rsid w:val="00220B5E"/>
    <w:rsid w:val="00221C63"/>
    <w:rsid w:val="00225BBF"/>
    <w:rsid w:val="00226C75"/>
    <w:rsid w:val="002300C7"/>
    <w:rsid w:val="002320E1"/>
    <w:rsid w:val="00237736"/>
    <w:rsid w:val="0025034A"/>
    <w:rsid w:val="002526BC"/>
    <w:rsid w:val="0026068B"/>
    <w:rsid w:val="00276380"/>
    <w:rsid w:val="002813DA"/>
    <w:rsid w:val="002821F7"/>
    <w:rsid w:val="00283AF2"/>
    <w:rsid w:val="00284035"/>
    <w:rsid w:val="00291666"/>
    <w:rsid w:val="002A6182"/>
    <w:rsid w:val="002C36BB"/>
    <w:rsid w:val="002C572F"/>
    <w:rsid w:val="002E0E6E"/>
    <w:rsid w:val="002E6782"/>
    <w:rsid w:val="002F7907"/>
    <w:rsid w:val="00300B5F"/>
    <w:rsid w:val="003109DE"/>
    <w:rsid w:val="00312D1E"/>
    <w:rsid w:val="00313572"/>
    <w:rsid w:val="00315EFF"/>
    <w:rsid w:val="003235D0"/>
    <w:rsid w:val="00336820"/>
    <w:rsid w:val="00343CA3"/>
    <w:rsid w:val="00350364"/>
    <w:rsid w:val="00354226"/>
    <w:rsid w:val="0037343E"/>
    <w:rsid w:val="00373DB0"/>
    <w:rsid w:val="00374B9E"/>
    <w:rsid w:val="00374D6A"/>
    <w:rsid w:val="0038541C"/>
    <w:rsid w:val="00394255"/>
    <w:rsid w:val="00394E15"/>
    <w:rsid w:val="003A5B52"/>
    <w:rsid w:val="003A67B8"/>
    <w:rsid w:val="003A6A9B"/>
    <w:rsid w:val="003A6C8C"/>
    <w:rsid w:val="003A7AAC"/>
    <w:rsid w:val="003B220F"/>
    <w:rsid w:val="003B3B83"/>
    <w:rsid w:val="003B76C1"/>
    <w:rsid w:val="003C7516"/>
    <w:rsid w:val="003D05BE"/>
    <w:rsid w:val="003D3761"/>
    <w:rsid w:val="003E143F"/>
    <w:rsid w:val="003E6052"/>
    <w:rsid w:val="003E657C"/>
    <w:rsid w:val="003F518B"/>
    <w:rsid w:val="003F7D89"/>
    <w:rsid w:val="00400A65"/>
    <w:rsid w:val="004012DA"/>
    <w:rsid w:val="00411079"/>
    <w:rsid w:val="004127B2"/>
    <w:rsid w:val="00412B95"/>
    <w:rsid w:val="00413CEF"/>
    <w:rsid w:val="004163BF"/>
    <w:rsid w:val="00416CC8"/>
    <w:rsid w:val="00420282"/>
    <w:rsid w:val="00422807"/>
    <w:rsid w:val="004276FD"/>
    <w:rsid w:val="00430BC2"/>
    <w:rsid w:val="00431839"/>
    <w:rsid w:val="00435026"/>
    <w:rsid w:val="004372E3"/>
    <w:rsid w:val="00452348"/>
    <w:rsid w:val="00452CAC"/>
    <w:rsid w:val="00453210"/>
    <w:rsid w:val="00453972"/>
    <w:rsid w:val="004566BD"/>
    <w:rsid w:val="00461ACD"/>
    <w:rsid w:val="004655CC"/>
    <w:rsid w:val="00470945"/>
    <w:rsid w:val="004711E2"/>
    <w:rsid w:val="00472CFF"/>
    <w:rsid w:val="00474E4A"/>
    <w:rsid w:val="00481ED7"/>
    <w:rsid w:val="00487874"/>
    <w:rsid w:val="00490F54"/>
    <w:rsid w:val="004A1D6A"/>
    <w:rsid w:val="004B3ABE"/>
    <w:rsid w:val="004B4CA3"/>
    <w:rsid w:val="004C3912"/>
    <w:rsid w:val="004C798C"/>
    <w:rsid w:val="004D25D4"/>
    <w:rsid w:val="004D5034"/>
    <w:rsid w:val="004E0741"/>
    <w:rsid w:val="004E41BB"/>
    <w:rsid w:val="004F1C45"/>
    <w:rsid w:val="005026E3"/>
    <w:rsid w:val="00502D0D"/>
    <w:rsid w:val="00506E5A"/>
    <w:rsid w:val="00512B43"/>
    <w:rsid w:val="00514887"/>
    <w:rsid w:val="00516FE2"/>
    <w:rsid w:val="00523280"/>
    <w:rsid w:val="00527238"/>
    <w:rsid w:val="005437F0"/>
    <w:rsid w:val="00543860"/>
    <w:rsid w:val="0054451D"/>
    <w:rsid w:val="005474F3"/>
    <w:rsid w:val="005543A0"/>
    <w:rsid w:val="00555E00"/>
    <w:rsid w:val="00562724"/>
    <w:rsid w:val="00565182"/>
    <w:rsid w:val="00574542"/>
    <w:rsid w:val="00580B34"/>
    <w:rsid w:val="00586ACA"/>
    <w:rsid w:val="00591085"/>
    <w:rsid w:val="005A10C1"/>
    <w:rsid w:val="005A123D"/>
    <w:rsid w:val="005A4E78"/>
    <w:rsid w:val="005A781D"/>
    <w:rsid w:val="005B0BBD"/>
    <w:rsid w:val="005B1EF2"/>
    <w:rsid w:val="005D4114"/>
    <w:rsid w:val="005D67F3"/>
    <w:rsid w:val="005E30CF"/>
    <w:rsid w:val="005E3701"/>
    <w:rsid w:val="005F23A7"/>
    <w:rsid w:val="005F241E"/>
    <w:rsid w:val="00604E27"/>
    <w:rsid w:val="00606501"/>
    <w:rsid w:val="00610BCF"/>
    <w:rsid w:val="00617CCE"/>
    <w:rsid w:val="00623858"/>
    <w:rsid w:val="006246EE"/>
    <w:rsid w:val="006261E8"/>
    <w:rsid w:val="00630559"/>
    <w:rsid w:val="006312EE"/>
    <w:rsid w:val="00632632"/>
    <w:rsid w:val="00634D3B"/>
    <w:rsid w:val="00643F5C"/>
    <w:rsid w:val="00651D71"/>
    <w:rsid w:val="00652B9D"/>
    <w:rsid w:val="006548C5"/>
    <w:rsid w:val="00663CF0"/>
    <w:rsid w:val="006653FC"/>
    <w:rsid w:val="00667D4A"/>
    <w:rsid w:val="00671772"/>
    <w:rsid w:val="00673880"/>
    <w:rsid w:val="0067424F"/>
    <w:rsid w:val="00674352"/>
    <w:rsid w:val="00674412"/>
    <w:rsid w:val="00681D57"/>
    <w:rsid w:val="006821D5"/>
    <w:rsid w:val="006863CB"/>
    <w:rsid w:val="00686EED"/>
    <w:rsid w:val="00690343"/>
    <w:rsid w:val="00693744"/>
    <w:rsid w:val="00693DC1"/>
    <w:rsid w:val="006941EC"/>
    <w:rsid w:val="00697B1E"/>
    <w:rsid w:val="006A4397"/>
    <w:rsid w:val="006A6A92"/>
    <w:rsid w:val="006A6B93"/>
    <w:rsid w:val="006B2E99"/>
    <w:rsid w:val="006B3ADB"/>
    <w:rsid w:val="006B69FE"/>
    <w:rsid w:val="006C67A2"/>
    <w:rsid w:val="006D2273"/>
    <w:rsid w:val="006E5277"/>
    <w:rsid w:val="006E6A14"/>
    <w:rsid w:val="006F0C75"/>
    <w:rsid w:val="0070335A"/>
    <w:rsid w:val="00704AF4"/>
    <w:rsid w:val="0070505B"/>
    <w:rsid w:val="00707C59"/>
    <w:rsid w:val="007130C0"/>
    <w:rsid w:val="00720724"/>
    <w:rsid w:val="007216DA"/>
    <w:rsid w:val="00722A75"/>
    <w:rsid w:val="00722BB2"/>
    <w:rsid w:val="0072578B"/>
    <w:rsid w:val="007317D8"/>
    <w:rsid w:val="00745276"/>
    <w:rsid w:val="007511BB"/>
    <w:rsid w:val="00772004"/>
    <w:rsid w:val="00772DDC"/>
    <w:rsid w:val="0077412D"/>
    <w:rsid w:val="007936E5"/>
    <w:rsid w:val="007A7288"/>
    <w:rsid w:val="007B25B7"/>
    <w:rsid w:val="007B2672"/>
    <w:rsid w:val="007C36A7"/>
    <w:rsid w:val="007D6F1D"/>
    <w:rsid w:val="007E49E4"/>
    <w:rsid w:val="007E5774"/>
    <w:rsid w:val="007F1C0B"/>
    <w:rsid w:val="007F7151"/>
    <w:rsid w:val="00803B64"/>
    <w:rsid w:val="00804CFD"/>
    <w:rsid w:val="008050EA"/>
    <w:rsid w:val="00805EC4"/>
    <w:rsid w:val="00811FCF"/>
    <w:rsid w:val="00812397"/>
    <w:rsid w:val="00813AED"/>
    <w:rsid w:val="0081799C"/>
    <w:rsid w:val="0082093B"/>
    <w:rsid w:val="00821A90"/>
    <w:rsid w:val="00822D57"/>
    <w:rsid w:val="008231B9"/>
    <w:rsid w:val="0082375C"/>
    <w:rsid w:val="0082793A"/>
    <w:rsid w:val="008332EA"/>
    <w:rsid w:val="00834C95"/>
    <w:rsid w:val="0083744B"/>
    <w:rsid w:val="00837454"/>
    <w:rsid w:val="00843B66"/>
    <w:rsid w:val="00845F81"/>
    <w:rsid w:val="00855F9D"/>
    <w:rsid w:val="008606B6"/>
    <w:rsid w:val="00860BA0"/>
    <w:rsid w:val="008669C3"/>
    <w:rsid w:val="0087048B"/>
    <w:rsid w:val="008778E7"/>
    <w:rsid w:val="00877D97"/>
    <w:rsid w:val="00880DF3"/>
    <w:rsid w:val="0088122D"/>
    <w:rsid w:val="008823C8"/>
    <w:rsid w:val="00883102"/>
    <w:rsid w:val="00885DE8"/>
    <w:rsid w:val="008876EC"/>
    <w:rsid w:val="00890411"/>
    <w:rsid w:val="00896376"/>
    <w:rsid w:val="008963E8"/>
    <w:rsid w:val="008A4D52"/>
    <w:rsid w:val="008A6667"/>
    <w:rsid w:val="008B7DB3"/>
    <w:rsid w:val="008C12DC"/>
    <w:rsid w:val="008D37B8"/>
    <w:rsid w:val="008E6764"/>
    <w:rsid w:val="008E7289"/>
    <w:rsid w:val="008E7FB4"/>
    <w:rsid w:val="008F0353"/>
    <w:rsid w:val="008F04CF"/>
    <w:rsid w:val="008F6573"/>
    <w:rsid w:val="00901BD0"/>
    <w:rsid w:val="0090384B"/>
    <w:rsid w:val="00904668"/>
    <w:rsid w:val="009047E8"/>
    <w:rsid w:val="00907347"/>
    <w:rsid w:val="00907392"/>
    <w:rsid w:val="009110D1"/>
    <w:rsid w:val="00924410"/>
    <w:rsid w:val="009247DC"/>
    <w:rsid w:val="00926CB7"/>
    <w:rsid w:val="009321C1"/>
    <w:rsid w:val="00932C7F"/>
    <w:rsid w:val="00952B02"/>
    <w:rsid w:val="00952C4D"/>
    <w:rsid w:val="009532D0"/>
    <w:rsid w:val="009553F9"/>
    <w:rsid w:val="00966D19"/>
    <w:rsid w:val="00966F36"/>
    <w:rsid w:val="00975557"/>
    <w:rsid w:val="00975E0F"/>
    <w:rsid w:val="00984E61"/>
    <w:rsid w:val="00985254"/>
    <w:rsid w:val="009858E3"/>
    <w:rsid w:val="009926DF"/>
    <w:rsid w:val="009A4C29"/>
    <w:rsid w:val="009A52B2"/>
    <w:rsid w:val="009A7AE0"/>
    <w:rsid w:val="009B054A"/>
    <w:rsid w:val="009C0B11"/>
    <w:rsid w:val="009C3FE4"/>
    <w:rsid w:val="009C4474"/>
    <w:rsid w:val="009D1734"/>
    <w:rsid w:val="009D35DE"/>
    <w:rsid w:val="009D37A8"/>
    <w:rsid w:val="009D5A6F"/>
    <w:rsid w:val="009E3496"/>
    <w:rsid w:val="009E771A"/>
    <w:rsid w:val="009F2B64"/>
    <w:rsid w:val="009F51CF"/>
    <w:rsid w:val="00A018B2"/>
    <w:rsid w:val="00A0407D"/>
    <w:rsid w:val="00A05CB0"/>
    <w:rsid w:val="00A12476"/>
    <w:rsid w:val="00A3524F"/>
    <w:rsid w:val="00A440CE"/>
    <w:rsid w:val="00A456CB"/>
    <w:rsid w:val="00A52875"/>
    <w:rsid w:val="00A54184"/>
    <w:rsid w:val="00A615D5"/>
    <w:rsid w:val="00A623CA"/>
    <w:rsid w:val="00A66F02"/>
    <w:rsid w:val="00A726BE"/>
    <w:rsid w:val="00A76C16"/>
    <w:rsid w:val="00A778A6"/>
    <w:rsid w:val="00A77BC1"/>
    <w:rsid w:val="00A8302B"/>
    <w:rsid w:val="00A868D4"/>
    <w:rsid w:val="00A9488E"/>
    <w:rsid w:val="00A94F9B"/>
    <w:rsid w:val="00A951A0"/>
    <w:rsid w:val="00A9524C"/>
    <w:rsid w:val="00A95805"/>
    <w:rsid w:val="00A97DD5"/>
    <w:rsid w:val="00AA4779"/>
    <w:rsid w:val="00AA532E"/>
    <w:rsid w:val="00AB3C03"/>
    <w:rsid w:val="00AC1247"/>
    <w:rsid w:val="00AD3531"/>
    <w:rsid w:val="00AD74AC"/>
    <w:rsid w:val="00AD761F"/>
    <w:rsid w:val="00AE0AF5"/>
    <w:rsid w:val="00AE1E91"/>
    <w:rsid w:val="00AE22B9"/>
    <w:rsid w:val="00AF506B"/>
    <w:rsid w:val="00AF5669"/>
    <w:rsid w:val="00AF770C"/>
    <w:rsid w:val="00B01C1C"/>
    <w:rsid w:val="00B11EA4"/>
    <w:rsid w:val="00B12C3A"/>
    <w:rsid w:val="00B2198F"/>
    <w:rsid w:val="00B2789D"/>
    <w:rsid w:val="00B2798D"/>
    <w:rsid w:val="00B27E9A"/>
    <w:rsid w:val="00B30414"/>
    <w:rsid w:val="00B323C1"/>
    <w:rsid w:val="00B456D9"/>
    <w:rsid w:val="00B55079"/>
    <w:rsid w:val="00B5749E"/>
    <w:rsid w:val="00B61156"/>
    <w:rsid w:val="00B6559C"/>
    <w:rsid w:val="00B65911"/>
    <w:rsid w:val="00B6732B"/>
    <w:rsid w:val="00B700E8"/>
    <w:rsid w:val="00B7369D"/>
    <w:rsid w:val="00B73AB6"/>
    <w:rsid w:val="00B7592B"/>
    <w:rsid w:val="00B76469"/>
    <w:rsid w:val="00B843DF"/>
    <w:rsid w:val="00B8582F"/>
    <w:rsid w:val="00B97091"/>
    <w:rsid w:val="00BA0E06"/>
    <w:rsid w:val="00BA46E5"/>
    <w:rsid w:val="00BA70ED"/>
    <w:rsid w:val="00BB47D7"/>
    <w:rsid w:val="00BC18FF"/>
    <w:rsid w:val="00BC24B2"/>
    <w:rsid w:val="00BD09CA"/>
    <w:rsid w:val="00BD770C"/>
    <w:rsid w:val="00BE1083"/>
    <w:rsid w:val="00BF031F"/>
    <w:rsid w:val="00BF6483"/>
    <w:rsid w:val="00BF7387"/>
    <w:rsid w:val="00BF7E6A"/>
    <w:rsid w:val="00C00563"/>
    <w:rsid w:val="00C02A42"/>
    <w:rsid w:val="00C0319B"/>
    <w:rsid w:val="00C0441A"/>
    <w:rsid w:val="00C067EE"/>
    <w:rsid w:val="00C0763D"/>
    <w:rsid w:val="00C126C3"/>
    <w:rsid w:val="00C14BF7"/>
    <w:rsid w:val="00C20F6D"/>
    <w:rsid w:val="00C34A4E"/>
    <w:rsid w:val="00C376C4"/>
    <w:rsid w:val="00C42B2F"/>
    <w:rsid w:val="00C4785F"/>
    <w:rsid w:val="00C535C3"/>
    <w:rsid w:val="00C55837"/>
    <w:rsid w:val="00C670AA"/>
    <w:rsid w:val="00C70033"/>
    <w:rsid w:val="00C71A8F"/>
    <w:rsid w:val="00C75B26"/>
    <w:rsid w:val="00C8283E"/>
    <w:rsid w:val="00C8341C"/>
    <w:rsid w:val="00C90054"/>
    <w:rsid w:val="00C9419F"/>
    <w:rsid w:val="00C94685"/>
    <w:rsid w:val="00CA089C"/>
    <w:rsid w:val="00CA355D"/>
    <w:rsid w:val="00CB46F7"/>
    <w:rsid w:val="00CC5D4A"/>
    <w:rsid w:val="00CC64D0"/>
    <w:rsid w:val="00CC77B1"/>
    <w:rsid w:val="00CD36B0"/>
    <w:rsid w:val="00CD6947"/>
    <w:rsid w:val="00CE5085"/>
    <w:rsid w:val="00CE56AE"/>
    <w:rsid w:val="00CE7A22"/>
    <w:rsid w:val="00CF004D"/>
    <w:rsid w:val="00CF0123"/>
    <w:rsid w:val="00CF147B"/>
    <w:rsid w:val="00CF2E4C"/>
    <w:rsid w:val="00D010FC"/>
    <w:rsid w:val="00D04BF3"/>
    <w:rsid w:val="00D06139"/>
    <w:rsid w:val="00D0686C"/>
    <w:rsid w:val="00D12526"/>
    <w:rsid w:val="00D158B2"/>
    <w:rsid w:val="00D2644B"/>
    <w:rsid w:val="00D26870"/>
    <w:rsid w:val="00D35FCF"/>
    <w:rsid w:val="00D44C1F"/>
    <w:rsid w:val="00D47A97"/>
    <w:rsid w:val="00D50E20"/>
    <w:rsid w:val="00D541D9"/>
    <w:rsid w:val="00D5659C"/>
    <w:rsid w:val="00D6004B"/>
    <w:rsid w:val="00D61EE2"/>
    <w:rsid w:val="00D63E7A"/>
    <w:rsid w:val="00D64A84"/>
    <w:rsid w:val="00D74D86"/>
    <w:rsid w:val="00D75DEE"/>
    <w:rsid w:val="00D77112"/>
    <w:rsid w:val="00D8204A"/>
    <w:rsid w:val="00D84018"/>
    <w:rsid w:val="00D91FCB"/>
    <w:rsid w:val="00D94AA5"/>
    <w:rsid w:val="00DB371F"/>
    <w:rsid w:val="00DB5E87"/>
    <w:rsid w:val="00DC1B57"/>
    <w:rsid w:val="00DC42E7"/>
    <w:rsid w:val="00DD161A"/>
    <w:rsid w:val="00DD6364"/>
    <w:rsid w:val="00DD6AD6"/>
    <w:rsid w:val="00DE1135"/>
    <w:rsid w:val="00DE23DD"/>
    <w:rsid w:val="00DF67EC"/>
    <w:rsid w:val="00E022C5"/>
    <w:rsid w:val="00E0623C"/>
    <w:rsid w:val="00E065AC"/>
    <w:rsid w:val="00E10675"/>
    <w:rsid w:val="00E25D74"/>
    <w:rsid w:val="00E279C3"/>
    <w:rsid w:val="00E33381"/>
    <w:rsid w:val="00E37999"/>
    <w:rsid w:val="00E431DB"/>
    <w:rsid w:val="00E57144"/>
    <w:rsid w:val="00E64FF7"/>
    <w:rsid w:val="00E667F2"/>
    <w:rsid w:val="00E67FF7"/>
    <w:rsid w:val="00E72EA0"/>
    <w:rsid w:val="00E749B0"/>
    <w:rsid w:val="00E77AAC"/>
    <w:rsid w:val="00E81B55"/>
    <w:rsid w:val="00E85CD9"/>
    <w:rsid w:val="00E87990"/>
    <w:rsid w:val="00EA038E"/>
    <w:rsid w:val="00EA0E8A"/>
    <w:rsid w:val="00EA1512"/>
    <w:rsid w:val="00EA37DC"/>
    <w:rsid w:val="00EB254E"/>
    <w:rsid w:val="00EB4BE3"/>
    <w:rsid w:val="00EC35E0"/>
    <w:rsid w:val="00EC4E91"/>
    <w:rsid w:val="00EC65E9"/>
    <w:rsid w:val="00EC71D3"/>
    <w:rsid w:val="00ED7B84"/>
    <w:rsid w:val="00EE0052"/>
    <w:rsid w:val="00EE673D"/>
    <w:rsid w:val="00EF3755"/>
    <w:rsid w:val="00EF71FD"/>
    <w:rsid w:val="00F056AF"/>
    <w:rsid w:val="00F109CB"/>
    <w:rsid w:val="00F11017"/>
    <w:rsid w:val="00F13880"/>
    <w:rsid w:val="00F33B21"/>
    <w:rsid w:val="00F37A7A"/>
    <w:rsid w:val="00F41EFD"/>
    <w:rsid w:val="00F45DAD"/>
    <w:rsid w:val="00F52A23"/>
    <w:rsid w:val="00F7481F"/>
    <w:rsid w:val="00F84F8E"/>
    <w:rsid w:val="00F925E8"/>
    <w:rsid w:val="00F95203"/>
    <w:rsid w:val="00FA2DCC"/>
    <w:rsid w:val="00FA36B5"/>
    <w:rsid w:val="00FA7D67"/>
    <w:rsid w:val="00FB18B7"/>
    <w:rsid w:val="00FC398D"/>
    <w:rsid w:val="00FD0711"/>
    <w:rsid w:val="00FE0B65"/>
    <w:rsid w:val="00FE3E0F"/>
    <w:rsid w:val="00FE6517"/>
    <w:rsid w:val="00FE6E67"/>
    <w:rsid w:val="00FF0C85"/>
    <w:rsid w:val="00FF3FC8"/>
    <w:rsid w:val="00FF4AC7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7562EBC"/>
  <w15:docId w15:val="{111F7527-E44F-43D7-8399-1680CEB0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5805"/>
    <w:rPr>
      <w:lang w:val="en-US" w:eastAsia="en-US"/>
    </w:rPr>
  </w:style>
  <w:style w:type="paragraph" w:styleId="Nadpis1">
    <w:name w:val="heading 1"/>
    <w:basedOn w:val="Normlny"/>
    <w:next w:val="Normlny"/>
    <w:qFormat/>
    <w:rsid w:val="00A95805"/>
    <w:pPr>
      <w:keepNext/>
      <w:spacing w:after="240"/>
      <w:jc w:val="both"/>
      <w:outlineLvl w:val="0"/>
    </w:pPr>
    <w:rPr>
      <w:rFonts w:ascii="Arial" w:hAnsi="Arial"/>
      <w:b/>
      <w:caps/>
      <w:sz w:val="24"/>
      <w:lang w:val="en-GB"/>
    </w:rPr>
  </w:style>
  <w:style w:type="paragraph" w:styleId="Nadpis2">
    <w:name w:val="heading 2"/>
    <w:basedOn w:val="Nadpis1"/>
    <w:next w:val="Normlny"/>
    <w:qFormat/>
    <w:rsid w:val="00A95805"/>
    <w:pPr>
      <w:outlineLvl w:val="1"/>
    </w:pPr>
    <w:rPr>
      <w:caps w:val="0"/>
    </w:rPr>
  </w:style>
  <w:style w:type="paragraph" w:styleId="Nadpis3">
    <w:name w:val="heading 3"/>
    <w:basedOn w:val="Normlny"/>
    <w:next w:val="Normlny"/>
    <w:qFormat/>
    <w:rsid w:val="00A95805"/>
    <w:pPr>
      <w:keepNext/>
      <w:ind w:right="1513"/>
      <w:outlineLvl w:val="2"/>
    </w:pPr>
    <w:rPr>
      <w:rFonts w:ascii="Arial" w:hAnsi="Arial"/>
      <w:b/>
      <w:color w:val="0000FF"/>
      <w:u w:val="single"/>
    </w:rPr>
  </w:style>
  <w:style w:type="paragraph" w:styleId="Nadpis4">
    <w:name w:val="heading 4"/>
    <w:basedOn w:val="Normlny"/>
    <w:next w:val="Normlny"/>
    <w:qFormat/>
    <w:rsid w:val="00A95805"/>
    <w:pPr>
      <w:keepNext/>
      <w:ind w:left="720"/>
      <w:outlineLvl w:val="3"/>
    </w:pPr>
    <w:rPr>
      <w:b/>
      <w:i/>
      <w:snapToGrid w:val="0"/>
    </w:rPr>
  </w:style>
  <w:style w:type="paragraph" w:styleId="Nadpis5">
    <w:name w:val="heading 5"/>
    <w:basedOn w:val="Normlny"/>
    <w:next w:val="Normlny"/>
    <w:qFormat/>
    <w:rsid w:val="00A95805"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A95805"/>
    <w:pPr>
      <w:keepNext/>
      <w:ind w:right="1513"/>
      <w:outlineLvl w:val="5"/>
    </w:pPr>
    <w:rPr>
      <w:rFonts w:ascii="Arial" w:hAnsi="Arial"/>
    </w:rPr>
  </w:style>
  <w:style w:type="paragraph" w:styleId="Nadpis7">
    <w:name w:val="heading 7"/>
    <w:basedOn w:val="Normlny"/>
    <w:next w:val="Normlny"/>
    <w:qFormat/>
    <w:rsid w:val="00A95805"/>
    <w:pPr>
      <w:keepNext/>
      <w:ind w:firstLine="720"/>
      <w:outlineLvl w:val="6"/>
    </w:pPr>
    <w:rPr>
      <w:sz w:val="24"/>
    </w:rPr>
  </w:style>
  <w:style w:type="paragraph" w:styleId="Nadpis8">
    <w:name w:val="heading 8"/>
    <w:basedOn w:val="Normlny"/>
    <w:next w:val="Normlny"/>
    <w:qFormat/>
    <w:rsid w:val="00A95805"/>
    <w:pPr>
      <w:keepNext/>
      <w:ind w:right="1513"/>
      <w:outlineLvl w:val="7"/>
    </w:pPr>
    <w:rPr>
      <w:rFonts w:ascii="Arial" w:hAnsi="Arial"/>
      <w:sz w:val="28"/>
    </w:rPr>
  </w:style>
  <w:style w:type="paragraph" w:styleId="Nadpis9">
    <w:name w:val="heading 9"/>
    <w:basedOn w:val="Normlny"/>
    <w:next w:val="Normlny"/>
    <w:qFormat/>
    <w:rsid w:val="00A95805"/>
    <w:pPr>
      <w:keepNext/>
      <w:ind w:left="720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rsid w:val="00A95805"/>
    <w:pPr>
      <w:ind w:left="720"/>
    </w:pPr>
  </w:style>
  <w:style w:type="paragraph" w:styleId="Zarkazkladnhotextu2">
    <w:name w:val="Body Text Indent 2"/>
    <w:basedOn w:val="Normlny"/>
    <w:rsid w:val="00A95805"/>
    <w:pPr>
      <w:ind w:left="720" w:hanging="720"/>
    </w:pPr>
  </w:style>
  <w:style w:type="paragraph" w:styleId="Zarkazkladnhotextu">
    <w:name w:val="Body Text Indent"/>
    <w:basedOn w:val="Normlny"/>
    <w:rsid w:val="00A95805"/>
    <w:pPr>
      <w:jc w:val="both"/>
    </w:pPr>
    <w:rPr>
      <w:sz w:val="24"/>
    </w:rPr>
  </w:style>
  <w:style w:type="paragraph" w:styleId="Pta">
    <w:name w:val="footer"/>
    <w:basedOn w:val="Normlny"/>
    <w:link w:val="PtaChar"/>
    <w:uiPriority w:val="99"/>
    <w:rsid w:val="00A95805"/>
    <w:pPr>
      <w:tabs>
        <w:tab w:val="center" w:pos="4153"/>
        <w:tab w:val="right" w:pos="8306"/>
      </w:tabs>
    </w:pPr>
    <w:rPr>
      <w:lang w:val="en-GB"/>
    </w:rPr>
  </w:style>
  <w:style w:type="character" w:styleId="Odkaznakomentr">
    <w:name w:val="annotation reference"/>
    <w:basedOn w:val="Predvolenpsmoodseku"/>
    <w:semiHidden/>
    <w:rsid w:val="00A95805"/>
    <w:rPr>
      <w:sz w:val="16"/>
    </w:rPr>
  </w:style>
  <w:style w:type="paragraph" w:styleId="Textkomentra">
    <w:name w:val="annotation text"/>
    <w:basedOn w:val="Normlny"/>
    <w:semiHidden/>
    <w:rsid w:val="00A95805"/>
  </w:style>
  <w:style w:type="paragraph" w:styleId="Zkladntext">
    <w:name w:val="Body Text"/>
    <w:basedOn w:val="Normlny"/>
    <w:rsid w:val="00A95805"/>
    <w:pPr>
      <w:jc w:val="center"/>
    </w:pPr>
    <w:rPr>
      <w:b/>
      <w:sz w:val="32"/>
    </w:rPr>
  </w:style>
  <w:style w:type="paragraph" w:styleId="Hlavika">
    <w:name w:val="header"/>
    <w:basedOn w:val="Normlny"/>
    <w:rsid w:val="00A95805"/>
    <w:pPr>
      <w:tabs>
        <w:tab w:val="center" w:pos="4320"/>
        <w:tab w:val="right" w:pos="8640"/>
      </w:tabs>
    </w:pPr>
  </w:style>
  <w:style w:type="paragraph" w:styleId="truktradokumentu">
    <w:name w:val="Document Map"/>
    <w:basedOn w:val="Normlny"/>
    <w:semiHidden/>
    <w:rsid w:val="00A9580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y"/>
    <w:semiHidden/>
    <w:rsid w:val="00CE7A22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rsid w:val="00004070"/>
  </w:style>
  <w:style w:type="paragraph" w:styleId="Predmetkomentra">
    <w:name w:val="annotation subject"/>
    <w:basedOn w:val="Textkomentra"/>
    <w:next w:val="Textkomentra"/>
    <w:semiHidden/>
    <w:rsid w:val="00F056AF"/>
    <w:rPr>
      <w:b/>
      <w:bCs/>
    </w:rPr>
  </w:style>
  <w:style w:type="paragraph" w:customStyle="1" w:styleId="tableref">
    <w:name w:val="table:ref"/>
    <w:basedOn w:val="Normlny"/>
    <w:rsid w:val="00D94AA5"/>
    <w:pPr>
      <w:tabs>
        <w:tab w:val="left" w:pos="360"/>
      </w:tabs>
      <w:ind w:left="360" w:hanging="360"/>
    </w:pPr>
    <w:rPr>
      <w:rFonts w:ascii="Arial Narrow" w:hAnsi="Arial Narrow" w:cs="Arial Narrow"/>
      <w:lang w:val="en-GB"/>
    </w:rPr>
  </w:style>
  <w:style w:type="paragraph" w:customStyle="1" w:styleId="tabletextNS">
    <w:name w:val="table:textNS"/>
    <w:basedOn w:val="Normlny"/>
    <w:rsid w:val="00D94AA5"/>
    <w:rPr>
      <w:rFonts w:ascii="Arial Narrow" w:hAnsi="Arial Narrow" w:cs="Arial Narrow"/>
      <w:sz w:val="24"/>
      <w:szCs w:val="24"/>
      <w:lang w:val="en-GB"/>
    </w:rPr>
  </w:style>
  <w:style w:type="paragraph" w:customStyle="1" w:styleId="tablerefalpha">
    <w:name w:val="table:ref (alpha)"/>
    <w:basedOn w:val="tableref"/>
    <w:rsid w:val="00D94AA5"/>
    <w:pPr>
      <w:numPr>
        <w:numId w:val="16"/>
      </w:numPr>
    </w:pPr>
  </w:style>
  <w:style w:type="table" w:styleId="Mriekatabuky">
    <w:name w:val="Table Grid"/>
    <w:basedOn w:val="Normlnatabuka"/>
    <w:rsid w:val="00D94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lny"/>
    <w:rsid w:val="004711E2"/>
    <w:pPr>
      <w:widowControl w:val="0"/>
      <w:adjustRightInd w:val="0"/>
      <w:spacing w:after="160" w:line="240" w:lineRule="exact"/>
      <w:textAlignment w:val="baseline"/>
    </w:pPr>
    <w:rPr>
      <w:rFonts w:ascii="Verdana" w:hAnsi="Verdana"/>
    </w:rPr>
  </w:style>
  <w:style w:type="paragraph" w:customStyle="1" w:styleId="Revzia1">
    <w:name w:val="Revízia1"/>
    <w:hidden/>
    <w:uiPriority w:val="99"/>
    <w:semiHidden/>
    <w:rsid w:val="00FE0B65"/>
    <w:rPr>
      <w:lang w:val="en-US" w:eastAsia="en-US"/>
    </w:rPr>
  </w:style>
  <w:style w:type="paragraph" w:styleId="Revzia">
    <w:name w:val="Revision"/>
    <w:hidden/>
    <w:uiPriority w:val="99"/>
    <w:semiHidden/>
    <w:rsid w:val="00197D01"/>
    <w:rPr>
      <w:lang w:val="en-US" w:eastAsia="en-US"/>
    </w:rPr>
  </w:style>
  <w:style w:type="character" w:styleId="Hypertextovprepojenie">
    <w:name w:val="Hyperlink"/>
    <w:rsid w:val="00B7592B"/>
    <w:rPr>
      <w:color w:val="0000FF"/>
      <w:u w:val="single"/>
    </w:rPr>
  </w:style>
  <w:style w:type="character" w:styleId="PouitHypertextovPrepojenie">
    <w:name w:val="FollowedHyperlink"/>
    <w:basedOn w:val="Predvolenpsmoodseku"/>
    <w:rsid w:val="00A868D4"/>
    <w:rPr>
      <w:color w:val="800080"/>
      <w:u w:val="single"/>
    </w:rPr>
  </w:style>
  <w:style w:type="character" w:customStyle="1" w:styleId="PtaChar">
    <w:name w:val="Päta Char"/>
    <w:basedOn w:val="Predvolenpsmoodseku"/>
    <w:link w:val="Pta"/>
    <w:uiPriority w:val="99"/>
    <w:rsid w:val="00693DC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D4227-63D4-45AE-8D0E-374414F6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3564</Words>
  <Characters>20320</Characters>
  <Application>Microsoft Office Word</Application>
  <DocSecurity>0</DocSecurity>
  <Lines>169</Lines>
  <Paragraphs>47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Proposed Summary of Product Characteristics</vt:lpstr>
      <vt:lpstr>Proposed Summary of Product Characteristics</vt:lpstr>
    </vt:vector>
  </TitlesOfParts>
  <Company>GlaxoSmithKline</Company>
  <LinksUpToDate>false</LinksUpToDate>
  <CharactersWithSpaces>23837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Summary of Product Characteristics</dc:title>
  <dc:subject>Malarone adult</dc:subject>
  <dc:creator>Liz Gifford</dc:creator>
  <dc:description>SmPC revisions - showing carc/mutagenicity new wording</dc:description>
  <cp:lastModifiedBy>Malychová, Daniela</cp:lastModifiedBy>
  <cp:revision>3</cp:revision>
  <cp:lastPrinted>2018-12-13T13:23:00Z</cp:lastPrinted>
  <dcterms:created xsi:type="dcterms:W3CDTF">2021-01-20T15:01:00Z</dcterms:created>
  <dcterms:modified xsi:type="dcterms:W3CDTF">2021-01-25T09:55:00Z</dcterms:modified>
</cp:coreProperties>
</file>