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22A79" w14:textId="77777777" w:rsidR="0017393C" w:rsidRDefault="0017393C" w:rsidP="009202DD">
      <w:pPr>
        <w:pStyle w:val="SPCaPILhlavika"/>
        <w:spacing w:before="0" w:after="0"/>
      </w:pPr>
      <w:bookmarkStart w:id="0" w:name="_GoBack"/>
      <w:bookmarkEnd w:id="0"/>
      <w:r w:rsidRPr="00E0209A">
        <w:t>SÚHRN CHARAKTERISTICKÝCH VLASTNOSTÍ LIEKU</w:t>
      </w:r>
    </w:p>
    <w:p w14:paraId="31542BF7" w14:textId="77777777" w:rsidR="00A77916" w:rsidRDefault="00A77916" w:rsidP="00B7552D">
      <w:pPr>
        <w:pStyle w:val="SPCaPILhlavika"/>
        <w:spacing w:before="0" w:after="0"/>
        <w:jc w:val="left"/>
      </w:pPr>
    </w:p>
    <w:p w14:paraId="05276B91" w14:textId="77777777" w:rsidR="00A77916" w:rsidRPr="00E0209A" w:rsidRDefault="00A77916" w:rsidP="00B7552D">
      <w:pPr>
        <w:pStyle w:val="SPCaPILhlavika"/>
        <w:spacing w:before="0" w:after="0"/>
        <w:jc w:val="left"/>
      </w:pPr>
    </w:p>
    <w:p w14:paraId="54563C11" w14:textId="77777777" w:rsidR="0017393C" w:rsidRPr="00E0209A" w:rsidRDefault="0017393C" w:rsidP="00B7552D">
      <w:pPr>
        <w:pStyle w:val="Styl1"/>
        <w:spacing w:before="0" w:after="0"/>
      </w:pPr>
      <w:r w:rsidRPr="00E0209A">
        <w:t>Názov lieku</w:t>
      </w:r>
    </w:p>
    <w:p w14:paraId="0B4B4054" w14:textId="77777777" w:rsidR="00D6224B" w:rsidRDefault="00D6224B" w:rsidP="00A77916">
      <w:pPr>
        <w:pStyle w:val="Normlndobloku"/>
      </w:pPr>
    </w:p>
    <w:p w14:paraId="60EF9C6C" w14:textId="77777777" w:rsidR="0017393C" w:rsidRDefault="0017393C" w:rsidP="00A77916">
      <w:pPr>
        <w:pStyle w:val="Normlndobloku"/>
      </w:pPr>
      <w:r w:rsidRPr="00E0209A">
        <w:t>ZEPILEN 1 g</w:t>
      </w:r>
    </w:p>
    <w:p w14:paraId="6350C721" w14:textId="77777777" w:rsidR="00B7552D" w:rsidRPr="00E0209A" w:rsidRDefault="00B7552D" w:rsidP="00A77916">
      <w:pPr>
        <w:pStyle w:val="Normlndobloku"/>
      </w:pPr>
    </w:p>
    <w:p w14:paraId="2CF42C68" w14:textId="77777777" w:rsidR="0017393C" w:rsidRDefault="008E4693" w:rsidP="00D42F90">
      <w:pPr>
        <w:pStyle w:val="Normlndobloku"/>
      </w:pPr>
      <w:r>
        <w:t>p</w:t>
      </w:r>
      <w:r w:rsidR="0017393C" w:rsidRPr="00E0209A">
        <w:t>rášok na injekčný/infúzny roztok</w:t>
      </w:r>
    </w:p>
    <w:p w14:paraId="2E586F71" w14:textId="77777777" w:rsidR="00441F1F" w:rsidRDefault="00441F1F" w:rsidP="00B7552D">
      <w:pPr>
        <w:pStyle w:val="Normlndobloku"/>
      </w:pPr>
    </w:p>
    <w:p w14:paraId="11B81DD7" w14:textId="77777777" w:rsidR="00A77916" w:rsidRPr="00E0209A" w:rsidRDefault="00A77916" w:rsidP="00B7552D">
      <w:pPr>
        <w:pStyle w:val="Normlndobloku"/>
      </w:pPr>
    </w:p>
    <w:p w14:paraId="5F5D8823" w14:textId="77777777" w:rsidR="0017393C" w:rsidRPr="00E0209A" w:rsidRDefault="0017393C" w:rsidP="00B7552D">
      <w:pPr>
        <w:pStyle w:val="Styl1"/>
        <w:spacing w:before="0" w:after="0"/>
      </w:pPr>
      <w:r w:rsidRPr="00E0209A">
        <w:t>kvalitatívne a kvantitatívne zloženie</w:t>
      </w:r>
    </w:p>
    <w:p w14:paraId="223C880D" w14:textId="77777777" w:rsidR="00D6224B" w:rsidRDefault="00D6224B" w:rsidP="00A77916">
      <w:pPr>
        <w:pStyle w:val="Normlndobloku"/>
      </w:pPr>
    </w:p>
    <w:p w14:paraId="073C0C54" w14:textId="77777777" w:rsidR="0017393C" w:rsidRPr="00E0209A" w:rsidRDefault="00E0209A" w:rsidP="00A77916">
      <w:pPr>
        <w:pStyle w:val="Normlndobloku"/>
      </w:pPr>
      <w:r w:rsidRPr="00E0209A">
        <w:t>Jedna</w:t>
      </w:r>
      <w:r w:rsidR="0017393C" w:rsidRPr="00E0209A">
        <w:t xml:space="preserve"> injekčná liekovka obsahuje </w:t>
      </w:r>
      <w:r w:rsidR="00682299">
        <w:t xml:space="preserve">1 g </w:t>
      </w:r>
      <w:proofErr w:type="spellStart"/>
      <w:r w:rsidR="0017393C" w:rsidRPr="00E0209A">
        <w:t>cefazol</w:t>
      </w:r>
      <w:r w:rsidR="00682299">
        <w:t>ínu</w:t>
      </w:r>
      <w:proofErr w:type="spellEnd"/>
      <w:r w:rsidR="00682299">
        <w:t xml:space="preserve"> </w:t>
      </w:r>
      <w:r w:rsidR="0017393C" w:rsidRPr="00E0209A">
        <w:t xml:space="preserve">(ako </w:t>
      </w:r>
      <w:r w:rsidR="00682299">
        <w:t xml:space="preserve">sodnú soľ </w:t>
      </w:r>
      <w:proofErr w:type="spellStart"/>
      <w:r w:rsidR="00682299">
        <w:t>cefazolínu</w:t>
      </w:r>
      <w:proofErr w:type="spellEnd"/>
      <w:r w:rsidR="00682299">
        <w:t>).</w:t>
      </w:r>
    </w:p>
    <w:p w14:paraId="25B1AF6F" w14:textId="77777777" w:rsidR="0017393C" w:rsidRDefault="00E0209A" w:rsidP="00D42F90">
      <w:pPr>
        <w:pStyle w:val="Normlndobloku"/>
      </w:pPr>
      <w:r w:rsidRPr="00E0209A">
        <w:t xml:space="preserve">Jedna </w:t>
      </w:r>
      <w:r w:rsidR="0017393C" w:rsidRPr="00E0209A">
        <w:t>injekčná liekovka obsahuje 2,1 mmol (48,3 mg) sodíka.</w:t>
      </w:r>
    </w:p>
    <w:p w14:paraId="2CA402A7" w14:textId="77777777" w:rsidR="00441F1F" w:rsidRDefault="00441F1F" w:rsidP="00B7552D">
      <w:pPr>
        <w:pStyle w:val="Normlndobloku"/>
      </w:pPr>
    </w:p>
    <w:p w14:paraId="2B068587" w14:textId="77777777" w:rsidR="00A77916" w:rsidRPr="00E0209A" w:rsidRDefault="00A77916" w:rsidP="00B7552D">
      <w:pPr>
        <w:pStyle w:val="Normlndobloku"/>
      </w:pPr>
    </w:p>
    <w:p w14:paraId="343D631C" w14:textId="77777777" w:rsidR="0017393C" w:rsidRPr="00E0209A" w:rsidRDefault="0017393C" w:rsidP="00B7552D">
      <w:pPr>
        <w:pStyle w:val="Styl1"/>
        <w:spacing w:before="0" w:after="0"/>
      </w:pPr>
      <w:r w:rsidRPr="00E0209A">
        <w:t>Lieková forma</w:t>
      </w:r>
    </w:p>
    <w:p w14:paraId="3210058F" w14:textId="77777777" w:rsidR="00D6224B" w:rsidRDefault="00D6224B" w:rsidP="00A77916">
      <w:pPr>
        <w:pStyle w:val="Normlndobloku"/>
      </w:pPr>
    </w:p>
    <w:p w14:paraId="2BB2175E" w14:textId="77777777" w:rsidR="0017393C" w:rsidRPr="00E0209A" w:rsidRDefault="008E4693" w:rsidP="00A77916">
      <w:pPr>
        <w:pStyle w:val="Normlndobloku"/>
      </w:pPr>
      <w:r>
        <w:t>p</w:t>
      </w:r>
      <w:r w:rsidR="0017393C" w:rsidRPr="00E0209A">
        <w:t>rášok na injekčný/infúzny roztok</w:t>
      </w:r>
    </w:p>
    <w:p w14:paraId="6A373182" w14:textId="77777777" w:rsidR="0017393C" w:rsidRDefault="0017393C" w:rsidP="00D42F90">
      <w:pPr>
        <w:pStyle w:val="Normlndobloku"/>
      </w:pPr>
      <w:r w:rsidRPr="00E0209A">
        <w:t>Injekčné liekovky obsahujú biely až takmer biely sterilný prášok.</w:t>
      </w:r>
    </w:p>
    <w:p w14:paraId="6273498D" w14:textId="77777777" w:rsidR="00441F1F" w:rsidRDefault="00441F1F" w:rsidP="00B7552D">
      <w:pPr>
        <w:pStyle w:val="Normlndobloku"/>
      </w:pPr>
    </w:p>
    <w:p w14:paraId="7BD993B1" w14:textId="77777777" w:rsidR="00A77916" w:rsidRPr="00E0209A" w:rsidRDefault="00A77916" w:rsidP="00B7552D">
      <w:pPr>
        <w:pStyle w:val="Normlndobloku"/>
      </w:pPr>
    </w:p>
    <w:p w14:paraId="6503D599" w14:textId="77777777" w:rsidR="0017393C" w:rsidRDefault="0017393C" w:rsidP="00B7552D">
      <w:pPr>
        <w:pStyle w:val="Styl1"/>
        <w:spacing w:before="0" w:after="0"/>
      </w:pPr>
      <w:r w:rsidRPr="00E0209A">
        <w:t>Klinické údaje</w:t>
      </w:r>
    </w:p>
    <w:p w14:paraId="5F2648CA" w14:textId="77777777" w:rsidR="00D6224B" w:rsidRPr="00D6224B" w:rsidRDefault="00D6224B" w:rsidP="00A77916">
      <w:pPr>
        <w:pStyle w:val="Styl1"/>
        <w:numPr>
          <w:ilvl w:val="0"/>
          <w:numId w:val="0"/>
        </w:numPr>
        <w:spacing w:before="0" w:after="0"/>
        <w:rPr>
          <w:szCs w:val="22"/>
        </w:rPr>
      </w:pPr>
    </w:p>
    <w:p w14:paraId="5AC35109" w14:textId="77777777" w:rsidR="0017393C" w:rsidRDefault="0017393C" w:rsidP="00B7552D">
      <w:pPr>
        <w:pStyle w:val="Styl2"/>
        <w:spacing w:before="0" w:after="0"/>
      </w:pPr>
      <w:r w:rsidRPr="00E0209A">
        <w:t>Terapeutické indikácie</w:t>
      </w:r>
    </w:p>
    <w:p w14:paraId="1208B671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734BBD4D" w14:textId="45FDFAFE" w:rsidR="0017393C" w:rsidRPr="00E0209A" w:rsidRDefault="0017393C" w:rsidP="00A77916">
      <w:pPr>
        <w:pStyle w:val="Normlndobloku"/>
      </w:pPr>
      <w:r w:rsidRPr="00E0209A">
        <w:t xml:space="preserve">ZEPILEN je indikovaný </w:t>
      </w:r>
      <w:r w:rsidR="007F0216">
        <w:t xml:space="preserve">dospelým  a deťom vo veku jeden mesiac a starším </w:t>
      </w:r>
      <w:r w:rsidRPr="00E0209A">
        <w:t xml:space="preserve">na liečbu infekcií spôsobených mikroorganizmami citlivými na </w:t>
      </w:r>
      <w:proofErr w:type="spellStart"/>
      <w:r w:rsidRPr="00E0209A">
        <w:t>cefazolín</w:t>
      </w:r>
      <w:proofErr w:type="spellEnd"/>
      <w:r w:rsidRPr="00E0209A">
        <w:t>:</w:t>
      </w:r>
    </w:p>
    <w:p w14:paraId="3BAA3247" w14:textId="77777777" w:rsidR="0017393C" w:rsidRPr="00E0209A" w:rsidRDefault="0017393C" w:rsidP="00A77916">
      <w:pPr>
        <w:pStyle w:val="Normlndoblokusodrkami"/>
        <w:numPr>
          <w:ilvl w:val="0"/>
          <w:numId w:val="5"/>
        </w:numPr>
      </w:pPr>
      <w:r w:rsidRPr="00E0209A">
        <w:t>infekcie kože a mäkkých tkanív</w:t>
      </w:r>
    </w:p>
    <w:p w14:paraId="0B5798A6" w14:textId="77777777" w:rsidR="0017393C" w:rsidRPr="00E0209A" w:rsidRDefault="0017393C" w:rsidP="00D42F90">
      <w:pPr>
        <w:pStyle w:val="Normlndoblokusodrkami"/>
        <w:numPr>
          <w:ilvl w:val="0"/>
          <w:numId w:val="5"/>
        </w:numPr>
      </w:pPr>
      <w:r w:rsidRPr="00E0209A">
        <w:t>infekcie kostí a kĺbov</w:t>
      </w:r>
    </w:p>
    <w:p w14:paraId="3A87DD64" w14:textId="77777777" w:rsidR="0017393C" w:rsidRPr="00E0209A" w:rsidRDefault="0017393C" w:rsidP="00B7552D">
      <w:pPr>
        <w:pStyle w:val="Normlndoblokusodrkami"/>
        <w:numPr>
          <w:ilvl w:val="0"/>
          <w:numId w:val="5"/>
        </w:numPr>
      </w:pPr>
      <w:r w:rsidRPr="00E0209A">
        <w:t>perioperačná profylaxia: pred operáciou, počas operácie a po operácii na zníženie výskytu určitých pooperačných infekcií u pacientov podstupujúcich chirurgické výkony tam, kde je riziko infekcie alebo potenciálne riziko infekcie.</w:t>
      </w:r>
    </w:p>
    <w:p w14:paraId="09450AF1" w14:textId="77777777" w:rsidR="0017393C" w:rsidRPr="00E0209A" w:rsidRDefault="0017393C" w:rsidP="00A77916">
      <w:pPr>
        <w:pStyle w:val="Normlndobloku"/>
      </w:pPr>
      <w:r w:rsidRPr="00E0209A">
        <w:t xml:space="preserve">Citlivosť kauzálnych mikroorganizmov na </w:t>
      </w:r>
      <w:proofErr w:type="spellStart"/>
      <w:r w:rsidRPr="00E0209A">
        <w:t>cefalosporíny</w:t>
      </w:r>
      <w:proofErr w:type="spellEnd"/>
      <w:r w:rsidRPr="00E0209A">
        <w:t xml:space="preserve"> musí byť stanovená pomocou vhodných kultúr na testovanie citlivosti.</w:t>
      </w:r>
    </w:p>
    <w:p w14:paraId="38C16936" w14:textId="77777777" w:rsidR="0017393C" w:rsidRDefault="0017393C" w:rsidP="00A77916">
      <w:pPr>
        <w:pStyle w:val="Normlndobloku"/>
      </w:pPr>
      <w:r w:rsidRPr="00E0209A">
        <w:t>Do úvahy sa musia vziať oficiálne odporúčania o použití antibakteriálnych látok.</w:t>
      </w:r>
    </w:p>
    <w:p w14:paraId="6EEE1627" w14:textId="77777777" w:rsidR="00D6224B" w:rsidRPr="00E0209A" w:rsidRDefault="00D6224B" w:rsidP="00D42F90">
      <w:pPr>
        <w:pStyle w:val="Normlndobloku"/>
      </w:pPr>
    </w:p>
    <w:p w14:paraId="3ED4D8B2" w14:textId="77777777" w:rsidR="0017393C" w:rsidRDefault="0017393C" w:rsidP="00B7552D">
      <w:pPr>
        <w:pStyle w:val="Styl2"/>
        <w:spacing w:before="0" w:after="0"/>
      </w:pPr>
      <w:r w:rsidRPr="00E0209A">
        <w:t>Dávkovanie a spôsob podávania</w:t>
      </w:r>
    </w:p>
    <w:p w14:paraId="0689E854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73A292D0" w14:textId="77777777" w:rsidR="0017393C" w:rsidRPr="00B7552D" w:rsidRDefault="0017393C" w:rsidP="00B7552D">
      <w:pPr>
        <w:pStyle w:val="Styl2-2"/>
      </w:pPr>
      <w:r w:rsidRPr="00B7552D">
        <w:t>Dávkovanie</w:t>
      </w:r>
    </w:p>
    <w:p w14:paraId="3EE72D86" w14:textId="77777777" w:rsidR="0017393C" w:rsidRDefault="0017393C" w:rsidP="00A77916">
      <w:pPr>
        <w:pStyle w:val="Normlndobloku"/>
      </w:pPr>
      <w:r w:rsidRPr="00E0209A">
        <w:t>Dávkovanie závisí od citlivosti mikroorganizmov a závažnosti ochorenia.</w:t>
      </w:r>
    </w:p>
    <w:p w14:paraId="45CA402D" w14:textId="77777777" w:rsidR="007340E8" w:rsidRPr="00E0209A" w:rsidRDefault="007340E8" w:rsidP="00A77916">
      <w:pPr>
        <w:pStyle w:val="Normlndobloku"/>
      </w:pPr>
    </w:p>
    <w:p w14:paraId="7B0CD7A9" w14:textId="77777777" w:rsidR="0017393C" w:rsidRPr="00B7552D" w:rsidRDefault="0017393C" w:rsidP="00B7552D">
      <w:pPr>
        <w:pStyle w:val="Styl3"/>
        <w:spacing w:after="0"/>
        <w:jc w:val="left"/>
        <w:rPr>
          <w:i/>
          <w:u w:val="none"/>
        </w:rPr>
      </w:pPr>
      <w:r w:rsidRPr="00B7552D">
        <w:rPr>
          <w:i/>
          <w:u w:val="none"/>
        </w:rPr>
        <w:t>Dospelí</w:t>
      </w:r>
    </w:p>
    <w:p w14:paraId="36BA5C04" w14:textId="77777777" w:rsidR="0017393C" w:rsidRPr="00E0209A" w:rsidRDefault="0017393C" w:rsidP="00A77916">
      <w:pPr>
        <w:pStyle w:val="Normlndoblokusodrkami"/>
      </w:pPr>
      <w:r w:rsidRPr="00E0209A">
        <w:t xml:space="preserve">Pri infekciách spôsobených vysoko citlivými grampozitívnymi mikroorganizmami je zvyčajná dávka pre dospelých 1 – 2 g/deň </w:t>
      </w:r>
      <w:r w:rsidR="00A806E2">
        <w:t>rozdelená do</w:t>
      </w:r>
      <w:r w:rsidRPr="00E0209A">
        <w:t> dvoch alebo troch rovnakých dáv</w:t>
      </w:r>
      <w:r w:rsidR="00A806E2">
        <w:t>o</w:t>
      </w:r>
      <w:r w:rsidRPr="00E0209A">
        <w:t>k.</w:t>
      </w:r>
    </w:p>
    <w:p w14:paraId="2668D567" w14:textId="5F2BBC1D" w:rsidR="0017393C" w:rsidRPr="00E0209A" w:rsidRDefault="0017393C" w:rsidP="00D42F90">
      <w:pPr>
        <w:pStyle w:val="Normlndoblokusodrkami"/>
      </w:pPr>
      <w:r w:rsidRPr="00E0209A">
        <w:t xml:space="preserve">Pri infekciách spôsobených menej citlivými grampozitívnymi a gramnegatívnymi patogénmi je zvyčajná dávka 3 – 4 g/deň </w:t>
      </w:r>
      <w:r w:rsidR="00A806E2">
        <w:t xml:space="preserve">rozdelená do </w:t>
      </w:r>
      <w:r w:rsidRPr="00E0209A">
        <w:t>troch alebo štyroch rovnakých dáv</w:t>
      </w:r>
      <w:r w:rsidR="00A806E2">
        <w:t>o</w:t>
      </w:r>
      <w:r w:rsidRPr="00E0209A">
        <w:t xml:space="preserve">k. Liek ZEPILEN môže byť </w:t>
      </w:r>
      <w:r w:rsidR="006D48F9">
        <w:t>pri</w:t>
      </w:r>
      <w:r w:rsidRPr="00E0209A">
        <w:t> ťažkých infekci</w:t>
      </w:r>
      <w:r w:rsidR="006D48F9">
        <w:t>ách</w:t>
      </w:r>
      <w:r w:rsidRPr="00E0209A">
        <w:t xml:space="preserve"> ako je endokarditída podávaný v dávkach maximálne do 6 g/deň.</w:t>
      </w:r>
    </w:p>
    <w:p w14:paraId="6FCFF5B7" w14:textId="77777777" w:rsidR="00FD3AA8" w:rsidRDefault="00FD3AA8" w:rsidP="00B7552D">
      <w:pPr>
        <w:pStyle w:val="Normlndobloku"/>
      </w:pPr>
    </w:p>
    <w:p w14:paraId="1ECFA2FE" w14:textId="086A446E" w:rsidR="0017393C" w:rsidRPr="00E0209A" w:rsidRDefault="0017393C" w:rsidP="00B7552D">
      <w:pPr>
        <w:pStyle w:val="Normlndobloku"/>
      </w:pPr>
      <w:r w:rsidRPr="00E0209A">
        <w:t>U dospelých s poruchou funkcie obličiek môže byť potrebná nižšia dávka, aby sa zabránilo akumulácii liečiva.</w:t>
      </w:r>
    </w:p>
    <w:p w14:paraId="1EACA432" w14:textId="13631A47" w:rsidR="0017393C" w:rsidRPr="00E0209A" w:rsidRDefault="0017393C" w:rsidP="00B7552D">
      <w:pPr>
        <w:pStyle w:val="Normlndobloku"/>
      </w:pPr>
      <w:r w:rsidRPr="00E0209A">
        <w:t>Veľkosť tejto nižšej dávky možno určiť na základe hladiny</w:t>
      </w:r>
      <w:r w:rsidR="00195645">
        <w:t xml:space="preserve"> liečiva</w:t>
      </w:r>
      <w:r w:rsidRPr="00E0209A">
        <w:t xml:space="preserve"> v krvi. Ak to nie je možné, dávka sa určí podľa </w:t>
      </w:r>
      <w:r w:rsidR="00191BD3">
        <w:t>dusíka močoviny v krvi (</w:t>
      </w:r>
      <w:proofErr w:type="spellStart"/>
      <w:r w:rsidR="00191BD3">
        <w:t>blood</w:t>
      </w:r>
      <w:proofErr w:type="spellEnd"/>
      <w:r w:rsidR="00191BD3">
        <w:t xml:space="preserve"> </w:t>
      </w:r>
      <w:proofErr w:type="spellStart"/>
      <w:r w:rsidR="00191BD3">
        <w:t>urea</w:t>
      </w:r>
      <w:proofErr w:type="spellEnd"/>
      <w:r w:rsidR="00191BD3">
        <w:t xml:space="preserve"> </w:t>
      </w:r>
      <w:proofErr w:type="spellStart"/>
      <w:r w:rsidR="00191BD3">
        <w:t>nitrogen</w:t>
      </w:r>
      <w:proofErr w:type="spellEnd"/>
      <w:r w:rsidR="00191BD3">
        <w:t xml:space="preserve"> - BUN) </w:t>
      </w:r>
      <w:r w:rsidRPr="00E0209A">
        <w:t xml:space="preserve">a /alebo </w:t>
      </w:r>
      <w:proofErr w:type="spellStart"/>
      <w:r w:rsidRPr="00E0209A">
        <w:t>klírens</w:t>
      </w:r>
      <w:r w:rsidR="00876FB7">
        <w:t>u</w:t>
      </w:r>
      <w:proofErr w:type="spellEnd"/>
      <w:r w:rsidRPr="00E0209A">
        <w:t xml:space="preserve"> </w:t>
      </w:r>
      <w:proofErr w:type="spellStart"/>
      <w:r w:rsidRPr="00E0209A">
        <w:t>kreatinínu</w:t>
      </w:r>
      <w:proofErr w:type="spellEnd"/>
      <w:r w:rsidRPr="00E0209A">
        <w:t>.</w:t>
      </w:r>
    </w:p>
    <w:p w14:paraId="6023D54C" w14:textId="77777777" w:rsidR="0017393C" w:rsidRPr="00E0209A" w:rsidRDefault="0017393C" w:rsidP="00B7552D">
      <w:pPr>
        <w:pStyle w:val="Normlndobloku"/>
      </w:pPr>
      <w:r w:rsidRPr="00E0209A">
        <w:lastRenderedPageBreak/>
        <w:t xml:space="preserve">Po začiatočnej </w:t>
      </w:r>
      <w:proofErr w:type="spellStart"/>
      <w:r w:rsidRPr="00E0209A">
        <w:t>nasycovacej</w:t>
      </w:r>
      <w:proofErr w:type="spellEnd"/>
      <w:r w:rsidRPr="00E0209A">
        <w:t xml:space="preserve"> dávke 500 mg môžu byť nasledujúce pokyny použité ako usmernenie pre stanovenie udržiavacej dávky.</w:t>
      </w:r>
    </w:p>
    <w:p w14:paraId="16A4BD49" w14:textId="77777777" w:rsidR="00FD3AA8" w:rsidRDefault="00FD3AA8" w:rsidP="00B7552D">
      <w:pPr>
        <w:pStyle w:val="Normlndobloku"/>
      </w:pPr>
    </w:p>
    <w:p w14:paraId="59BABB38" w14:textId="181271CE" w:rsidR="0017393C" w:rsidRPr="00E0209A" w:rsidRDefault="0017393C" w:rsidP="00B7552D">
      <w:pPr>
        <w:pStyle w:val="Normlndobloku"/>
      </w:pPr>
      <w:r w:rsidRPr="00E0209A">
        <w:t>Udržiavacia dávka pre pacientov s poruchou obličiek</w:t>
      </w:r>
    </w:p>
    <w:tbl>
      <w:tblPr>
        <w:tblpPr w:leftFromText="142" w:rightFromText="142" w:bottom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981"/>
        <w:gridCol w:w="1409"/>
        <w:gridCol w:w="1634"/>
        <w:gridCol w:w="1683"/>
        <w:gridCol w:w="1408"/>
      </w:tblGrid>
      <w:tr w:rsidR="0017393C" w:rsidRPr="00E0209A" w14:paraId="131533E3" w14:textId="77777777" w:rsidTr="0017393C">
        <w:trPr>
          <w:tblHeader/>
        </w:trPr>
        <w:tc>
          <w:tcPr>
            <w:tcW w:w="2059" w:type="dxa"/>
            <w:vAlign w:val="center"/>
          </w:tcPr>
          <w:p w14:paraId="6BAD41C9" w14:textId="77777777" w:rsidR="0017393C" w:rsidRPr="00E0209A" w:rsidRDefault="0017393C" w:rsidP="00B7552D">
            <w:pPr>
              <w:pStyle w:val="Nadpisuvnittabulky"/>
            </w:pPr>
            <w:r w:rsidRPr="00E0209A">
              <w:t>Funkcia obličiek</w:t>
            </w:r>
          </w:p>
        </w:tc>
        <w:tc>
          <w:tcPr>
            <w:tcW w:w="981" w:type="dxa"/>
            <w:vAlign w:val="center"/>
          </w:tcPr>
          <w:p w14:paraId="70C1B22E" w14:textId="77777777" w:rsidR="0017393C" w:rsidRPr="00E0209A" w:rsidRDefault="0017393C" w:rsidP="00B7552D">
            <w:pPr>
              <w:pStyle w:val="Nadpisuvnittabulky"/>
            </w:pPr>
            <w:r w:rsidRPr="00E0209A">
              <w:t>BUN (mg %)</w:t>
            </w:r>
          </w:p>
        </w:tc>
        <w:tc>
          <w:tcPr>
            <w:tcW w:w="1409" w:type="dxa"/>
            <w:vAlign w:val="center"/>
          </w:tcPr>
          <w:p w14:paraId="51DD79C8" w14:textId="77777777" w:rsidR="0017393C" w:rsidRPr="00E0209A" w:rsidRDefault="0017393C" w:rsidP="00B7552D">
            <w:pPr>
              <w:pStyle w:val="Nadpisuvnittabulky"/>
              <w:rPr>
                <w:rFonts w:ascii="Times New Roman" w:hAnsi="Times New Roman"/>
              </w:rPr>
            </w:pPr>
            <w:proofErr w:type="spellStart"/>
            <w:r w:rsidRPr="00E0209A">
              <w:t>Klírens</w:t>
            </w:r>
            <w:proofErr w:type="spellEnd"/>
            <w:r w:rsidRPr="00E0209A">
              <w:t xml:space="preserve"> </w:t>
            </w:r>
            <w:proofErr w:type="spellStart"/>
            <w:r w:rsidRPr="00E0209A">
              <w:t>kreatinínu</w:t>
            </w:r>
            <w:proofErr w:type="spellEnd"/>
            <w:r w:rsidRPr="00E0209A">
              <w:rPr>
                <w:rFonts w:ascii="Times New Roman" w:hAnsi="Times New Roman"/>
              </w:rPr>
              <w:t xml:space="preserve"> (ml/min)</w:t>
            </w:r>
          </w:p>
        </w:tc>
        <w:tc>
          <w:tcPr>
            <w:tcW w:w="1634" w:type="dxa"/>
            <w:vAlign w:val="center"/>
          </w:tcPr>
          <w:p w14:paraId="3895DD3A" w14:textId="77777777" w:rsidR="0017393C" w:rsidRPr="00E0209A" w:rsidRDefault="0017393C" w:rsidP="00B7552D">
            <w:pPr>
              <w:pStyle w:val="Nadpisuvnittabulky"/>
            </w:pPr>
            <w:proofErr w:type="spellStart"/>
            <w:r w:rsidRPr="00E0209A">
              <w:t>Grampozitívne</w:t>
            </w:r>
            <w:proofErr w:type="spellEnd"/>
            <w:r w:rsidRPr="00E0209A">
              <w:t xml:space="preserve"> infekcie</w:t>
            </w:r>
          </w:p>
        </w:tc>
        <w:tc>
          <w:tcPr>
            <w:tcW w:w="1683" w:type="dxa"/>
            <w:vAlign w:val="center"/>
          </w:tcPr>
          <w:p w14:paraId="6854BF4D" w14:textId="77777777" w:rsidR="0017393C" w:rsidRPr="00E0209A" w:rsidRDefault="0017393C" w:rsidP="00B7552D">
            <w:pPr>
              <w:pStyle w:val="Nadpisuvnittabulky"/>
            </w:pPr>
            <w:proofErr w:type="spellStart"/>
            <w:r w:rsidRPr="00E0209A">
              <w:t>Gramnegatívne</w:t>
            </w:r>
            <w:proofErr w:type="spellEnd"/>
            <w:r w:rsidRPr="00E0209A">
              <w:t xml:space="preserve"> infekcie</w:t>
            </w:r>
          </w:p>
        </w:tc>
        <w:tc>
          <w:tcPr>
            <w:tcW w:w="1408" w:type="dxa"/>
            <w:vAlign w:val="center"/>
          </w:tcPr>
          <w:p w14:paraId="163BE6E2" w14:textId="77777777" w:rsidR="0017393C" w:rsidRPr="00E0209A" w:rsidRDefault="0017393C" w:rsidP="00B7552D">
            <w:pPr>
              <w:pStyle w:val="Nadpisuvnittabulky"/>
              <w:rPr>
                <w:rFonts w:ascii="Times New Roman" w:hAnsi="Times New Roman"/>
              </w:rPr>
            </w:pPr>
            <w:r w:rsidRPr="00E0209A">
              <w:t>Sérový polčas (hodiny)</w:t>
            </w:r>
          </w:p>
        </w:tc>
      </w:tr>
      <w:tr w:rsidR="0017393C" w:rsidRPr="00E0209A" w14:paraId="63027EB5" w14:textId="77777777" w:rsidTr="0017393C">
        <w:tc>
          <w:tcPr>
            <w:tcW w:w="2059" w:type="dxa"/>
            <w:vAlign w:val="center"/>
          </w:tcPr>
          <w:p w14:paraId="2F743F64" w14:textId="77777777" w:rsidR="0017393C" w:rsidRPr="00E0209A" w:rsidRDefault="0017393C" w:rsidP="00A77916">
            <w:pPr>
              <w:pStyle w:val="Tabulkynormlndoblokuzarovnndoleva"/>
              <w:framePr w:hSpace="0" w:wrap="auto" w:vAnchor="margin" w:yAlign="inline"/>
              <w:suppressOverlap w:val="0"/>
              <w:rPr>
                <w:rFonts w:ascii="Times New Roman" w:hAnsi="Times New Roman"/>
              </w:rPr>
            </w:pPr>
            <w:r w:rsidRPr="00E0209A">
              <w:t>Mierna porucha</w:t>
            </w:r>
          </w:p>
        </w:tc>
        <w:tc>
          <w:tcPr>
            <w:tcW w:w="981" w:type="dxa"/>
            <w:vAlign w:val="center"/>
          </w:tcPr>
          <w:p w14:paraId="19B0B473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20 – 34</w:t>
            </w:r>
          </w:p>
        </w:tc>
        <w:tc>
          <w:tcPr>
            <w:tcW w:w="1409" w:type="dxa"/>
            <w:vAlign w:val="center"/>
          </w:tcPr>
          <w:p w14:paraId="2B076071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70 – 40</w:t>
            </w:r>
          </w:p>
        </w:tc>
        <w:tc>
          <w:tcPr>
            <w:tcW w:w="1634" w:type="dxa"/>
            <w:vAlign w:val="center"/>
          </w:tcPr>
          <w:p w14:paraId="550B9F86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250 – 500 mg každých 8 h</w:t>
            </w:r>
          </w:p>
        </w:tc>
        <w:tc>
          <w:tcPr>
            <w:tcW w:w="1683" w:type="dxa"/>
            <w:vAlign w:val="center"/>
          </w:tcPr>
          <w:p w14:paraId="39F3B4AB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500 mg – 1 g každých 8 h</w:t>
            </w:r>
          </w:p>
        </w:tc>
        <w:tc>
          <w:tcPr>
            <w:tcW w:w="1408" w:type="dxa"/>
            <w:vAlign w:val="center"/>
          </w:tcPr>
          <w:p w14:paraId="5566C78E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3 – 5</w:t>
            </w:r>
          </w:p>
        </w:tc>
      </w:tr>
      <w:tr w:rsidR="0017393C" w:rsidRPr="00E0209A" w14:paraId="78F6AE27" w14:textId="77777777" w:rsidTr="0017393C">
        <w:tc>
          <w:tcPr>
            <w:tcW w:w="2059" w:type="dxa"/>
            <w:vAlign w:val="center"/>
          </w:tcPr>
          <w:p w14:paraId="71C3C3B6" w14:textId="2BDC8C7B" w:rsidR="0017393C" w:rsidRPr="00E0209A" w:rsidRDefault="0017393C" w:rsidP="00A77916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Stredne </w:t>
            </w:r>
            <w:r w:rsidR="00876FB7">
              <w:t>závažn</w:t>
            </w:r>
            <w:r w:rsidR="00876FB7" w:rsidRPr="00E0209A">
              <w:t xml:space="preserve">á </w:t>
            </w:r>
            <w:r w:rsidRPr="00E0209A">
              <w:t>porucha</w:t>
            </w:r>
          </w:p>
        </w:tc>
        <w:tc>
          <w:tcPr>
            <w:tcW w:w="981" w:type="dxa"/>
            <w:vAlign w:val="center"/>
          </w:tcPr>
          <w:p w14:paraId="7E3814C6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35 – 49</w:t>
            </w:r>
          </w:p>
        </w:tc>
        <w:tc>
          <w:tcPr>
            <w:tcW w:w="1409" w:type="dxa"/>
            <w:vAlign w:val="center"/>
          </w:tcPr>
          <w:p w14:paraId="4881F347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40 – 20</w:t>
            </w:r>
          </w:p>
        </w:tc>
        <w:tc>
          <w:tcPr>
            <w:tcW w:w="1634" w:type="dxa"/>
            <w:vAlign w:val="center"/>
          </w:tcPr>
          <w:p w14:paraId="3C5ED4AB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125 – 250 mg každých 12 h</w:t>
            </w:r>
          </w:p>
        </w:tc>
        <w:tc>
          <w:tcPr>
            <w:tcW w:w="1683" w:type="dxa"/>
            <w:vAlign w:val="center"/>
          </w:tcPr>
          <w:p w14:paraId="1D1170DA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250 – 600 mg každých 12 h</w:t>
            </w:r>
          </w:p>
        </w:tc>
        <w:tc>
          <w:tcPr>
            <w:tcW w:w="1408" w:type="dxa"/>
            <w:vAlign w:val="center"/>
          </w:tcPr>
          <w:p w14:paraId="41230EAC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6 – 12</w:t>
            </w:r>
          </w:p>
        </w:tc>
      </w:tr>
      <w:tr w:rsidR="0017393C" w:rsidRPr="00E0209A" w14:paraId="2FB0213F" w14:textId="77777777" w:rsidTr="0017393C">
        <w:tc>
          <w:tcPr>
            <w:tcW w:w="2059" w:type="dxa"/>
            <w:vAlign w:val="center"/>
          </w:tcPr>
          <w:p w14:paraId="2A840DEC" w14:textId="47061A2F" w:rsidR="0017393C" w:rsidRPr="00E0209A" w:rsidRDefault="00876FB7" w:rsidP="00A77916">
            <w:pPr>
              <w:pStyle w:val="Tabulkynormlndoblokuzarovnndoleva"/>
              <w:framePr w:hSpace="0" w:wrap="auto" w:vAnchor="margin" w:yAlign="inline"/>
              <w:suppressOverlap w:val="0"/>
              <w:rPr>
                <w:rFonts w:ascii="Times New Roman" w:hAnsi="Times New Roman"/>
              </w:rPr>
            </w:pPr>
            <w:r>
              <w:t>Závažná</w:t>
            </w:r>
            <w:r w:rsidRPr="00E0209A">
              <w:t xml:space="preserve"> </w:t>
            </w:r>
            <w:r w:rsidR="0017393C" w:rsidRPr="00E0209A">
              <w:t>porucha</w:t>
            </w:r>
          </w:p>
        </w:tc>
        <w:tc>
          <w:tcPr>
            <w:tcW w:w="981" w:type="dxa"/>
            <w:vAlign w:val="center"/>
          </w:tcPr>
          <w:p w14:paraId="2716E509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50 – 75</w:t>
            </w:r>
          </w:p>
        </w:tc>
        <w:tc>
          <w:tcPr>
            <w:tcW w:w="1409" w:type="dxa"/>
            <w:vAlign w:val="center"/>
          </w:tcPr>
          <w:p w14:paraId="345D5CFE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20 – 5</w:t>
            </w:r>
          </w:p>
        </w:tc>
        <w:tc>
          <w:tcPr>
            <w:tcW w:w="1634" w:type="dxa"/>
            <w:vAlign w:val="center"/>
          </w:tcPr>
          <w:p w14:paraId="7CC54420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75 – 150 mg každých 24 h</w:t>
            </w:r>
          </w:p>
        </w:tc>
        <w:tc>
          <w:tcPr>
            <w:tcW w:w="1683" w:type="dxa"/>
            <w:vAlign w:val="center"/>
          </w:tcPr>
          <w:p w14:paraId="36D3873F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150 – 400 mg každých 24 h</w:t>
            </w:r>
          </w:p>
        </w:tc>
        <w:tc>
          <w:tcPr>
            <w:tcW w:w="1408" w:type="dxa"/>
            <w:vAlign w:val="center"/>
          </w:tcPr>
          <w:p w14:paraId="6BF84D08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15 – 30</w:t>
            </w:r>
          </w:p>
        </w:tc>
      </w:tr>
    </w:tbl>
    <w:p w14:paraId="12F832C0" w14:textId="77777777" w:rsidR="0017393C" w:rsidRDefault="0017393C" w:rsidP="00A77916">
      <w:pPr>
        <w:pStyle w:val="Normlndobloku"/>
      </w:pPr>
      <w:r w:rsidRPr="00E0209A">
        <w:t>Pozri tiež časť 4.4.</w:t>
      </w:r>
    </w:p>
    <w:p w14:paraId="56BFA074" w14:textId="77777777" w:rsidR="00B7552D" w:rsidRPr="00E0209A" w:rsidRDefault="00B7552D" w:rsidP="00A77916">
      <w:pPr>
        <w:pStyle w:val="Normlndobloku"/>
      </w:pPr>
    </w:p>
    <w:p w14:paraId="107B5E88" w14:textId="77777777" w:rsidR="0017393C" w:rsidRPr="00B7552D" w:rsidRDefault="0017393C" w:rsidP="00B7552D">
      <w:pPr>
        <w:pStyle w:val="Styl3"/>
        <w:spacing w:after="0"/>
        <w:jc w:val="left"/>
        <w:rPr>
          <w:i/>
          <w:u w:val="none"/>
        </w:rPr>
      </w:pPr>
      <w:proofErr w:type="spellStart"/>
      <w:r w:rsidRPr="00B7552D">
        <w:rPr>
          <w:i/>
          <w:u w:val="none"/>
        </w:rPr>
        <w:t>Perioperačná</w:t>
      </w:r>
      <w:proofErr w:type="spellEnd"/>
      <w:r w:rsidRPr="00B7552D">
        <w:rPr>
          <w:i/>
          <w:u w:val="none"/>
        </w:rPr>
        <w:t xml:space="preserve"> profylaxia</w:t>
      </w:r>
    </w:p>
    <w:p w14:paraId="67E63975" w14:textId="77777777" w:rsidR="0017393C" w:rsidRPr="00E0209A" w:rsidRDefault="0017393C" w:rsidP="00A77916">
      <w:pPr>
        <w:pStyle w:val="Normlndobloku"/>
      </w:pPr>
      <w:r w:rsidRPr="00E0209A">
        <w:t>Odporúčané dávkovanie na prevenciu pooperačných infekcií pri operáciách zahrňujúcich riziko alebo potenciálne riziko infekcie je:</w:t>
      </w:r>
    </w:p>
    <w:p w14:paraId="0637243C" w14:textId="77777777" w:rsidR="0017393C" w:rsidRPr="00E0209A" w:rsidRDefault="0017393C" w:rsidP="00A77916">
      <w:pPr>
        <w:pStyle w:val="Normlndoblokusodrkami"/>
      </w:pPr>
      <w:r w:rsidRPr="00E0209A">
        <w:t>30 minút až 1 hodinu pred začiatkom operácie sa podáva počiatočná dávka 1 g intravenózne</w:t>
      </w:r>
    </w:p>
    <w:p w14:paraId="0C75C666" w14:textId="77777777" w:rsidR="0017393C" w:rsidRPr="00E0209A" w:rsidRDefault="0017393C" w:rsidP="00D42F90">
      <w:pPr>
        <w:pStyle w:val="Normlndoblokusodrkami"/>
      </w:pPr>
      <w:r w:rsidRPr="00E0209A">
        <w:t>pri dlhšie trvajúcich operáciách (2 hodiny a dlhšie) sa podáva ďalšia dávka 500 mg až 1 g intravenózne počas operácie (nastavenie dávkovania závisí na dobe trvania operácie)</w:t>
      </w:r>
    </w:p>
    <w:p w14:paraId="1D48FE2A" w14:textId="77777777" w:rsidR="0017393C" w:rsidRPr="00E0209A" w:rsidRDefault="0017393C" w:rsidP="00B7552D">
      <w:pPr>
        <w:pStyle w:val="Normlndoblokusodrkami"/>
      </w:pPr>
      <w:r w:rsidRPr="00E0209A">
        <w:t>po operácii sa podáva dávka 500 mg až 1 g intravenózne každých 6 – 8 hodín po dobu 24 hodín</w:t>
      </w:r>
    </w:p>
    <w:p w14:paraId="144B5333" w14:textId="77777777" w:rsidR="0017393C" w:rsidRPr="00E0209A" w:rsidRDefault="0017393C" w:rsidP="00B7552D">
      <w:pPr>
        <w:pStyle w:val="Normlndobloku"/>
      </w:pPr>
      <w:r w:rsidRPr="00E0209A">
        <w:t>Je dôležité:</w:t>
      </w:r>
    </w:p>
    <w:p w14:paraId="28C37903" w14:textId="77777777" w:rsidR="00525748" w:rsidRDefault="0017393C" w:rsidP="00B7552D">
      <w:pPr>
        <w:pStyle w:val="Normlndobloku"/>
        <w:numPr>
          <w:ilvl w:val="0"/>
          <w:numId w:val="13"/>
        </w:numPr>
      </w:pPr>
      <w:r w:rsidRPr="00E0209A">
        <w:t>aby sa predoperačná dávka podala krátko pred začatím operácie (30 minút až jednu hodinu)</w:t>
      </w:r>
      <w:r w:rsidR="00525748">
        <w:t>,</w:t>
      </w:r>
      <w:r w:rsidRPr="00E0209A">
        <w:t xml:space="preserve"> tak aby sa v čase prvého chirurgického rezu dosiahla požadovaná hladina antibiotika v sére a v</w:t>
      </w:r>
      <w:r w:rsidR="00525748">
        <w:t> </w:t>
      </w:r>
      <w:r w:rsidRPr="00E0209A">
        <w:t>tkanivách</w:t>
      </w:r>
      <w:r w:rsidR="00525748">
        <w:t>.</w:t>
      </w:r>
    </w:p>
    <w:p w14:paraId="6E062561" w14:textId="77777777" w:rsidR="0017393C" w:rsidRPr="00E0209A" w:rsidRDefault="0017393C" w:rsidP="00B7552D">
      <w:pPr>
        <w:pStyle w:val="Normlndobloku"/>
        <w:numPr>
          <w:ilvl w:val="0"/>
          <w:numId w:val="13"/>
        </w:numPr>
      </w:pPr>
      <w:r w:rsidRPr="00E0209A">
        <w:t xml:space="preserve">aby </w:t>
      </w:r>
      <w:proofErr w:type="spellStart"/>
      <w:r w:rsidRPr="00E0209A">
        <w:t>cefazolín</w:t>
      </w:r>
      <w:proofErr w:type="spellEnd"/>
      <w:r w:rsidRPr="00E0209A">
        <w:t>, ak je to potrebné, bol podávaný v stanovených časoch v priebehu chirurgického zákroku, aby sa zabezpečila dostatočne vysoká hladina antibiotika v čase vysokého vystavenia mikroorganizmom.</w:t>
      </w:r>
    </w:p>
    <w:p w14:paraId="7CD4EA67" w14:textId="77777777" w:rsidR="0017393C" w:rsidRDefault="0017393C" w:rsidP="00B7552D">
      <w:pPr>
        <w:pStyle w:val="Normlndobloku"/>
      </w:pPr>
      <w:r w:rsidRPr="00E0209A">
        <w:t xml:space="preserve">Profylaxia </w:t>
      </w:r>
      <w:proofErr w:type="spellStart"/>
      <w:r w:rsidRPr="00E0209A">
        <w:t>cefazolínom</w:t>
      </w:r>
      <w:proofErr w:type="spellEnd"/>
      <w:r w:rsidRPr="00E0209A">
        <w:t xml:space="preserve"> má byť ukončená do 24 hodín po skončení operácie. Pri operáciách, kde vznik infekcie predstavuje pre pacienta veľké riziko (napr. otvorené operácie srdca alebo totálna náhrada kĺbu), je odporúčané v profylaxii </w:t>
      </w:r>
      <w:proofErr w:type="spellStart"/>
      <w:r w:rsidRPr="00E0209A">
        <w:t>cefazolínom</w:t>
      </w:r>
      <w:proofErr w:type="spellEnd"/>
      <w:r w:rsidRPr="00E0209A">
        <w:t xml:space="preserve"> pokračovať po dobu 3 až 5 dní po skončení operácie.</w:t>
      </w:r>
    </w:p>
    <w:p w14:paraId="0F316E7A" w14:textId="77777777" w:rsidR="007340E8" w:rsidRPr="00E0209A" w:rsidRDefault="007340E8" w:rsidP="00B7552D">
      <w:pPr>
        <w:pStyle w:val="Normlndobloku"/>
      </w:pPr>
    </w:p>
    <w:p w14:paraId="7667F7F0" w14:textId="77777777" w:rsidR="0017393C" w:rsidRPr="00B7552D" w:rsidRDefault="0017393C" w:rsidP="00B7552D">
      <w:pPr>
        <w:pStyle w:val="Styl3"/>
        <w:spacing w:after="0"/>
        <w:jc w:val="left"/>
        <w:rPr>
          <w:i/>
          <w:u w:val="none"/>
        </w:rPr>
      </w:pPr>
      <w:r w:rsidRPr="00B7552D">
        <w:rPr>
          <w:i/>
          <w:u w:val="none"/>
        </w:rPr>
        <w:t>Pediatrická populácia</w:t>
      </w:r>
    </w:p>
    <w:p w14:paraId="0D9FA62E" w14:textId="77777777" w:rsidR="0017393C" w:rsidRPr="00E0209A" w:rsidRDefault="0017393C" w:rsidP="00A77916">
      <w:pPr>
        <w:pStyle w:val="Normlndobloku"/>
      </w:pPr>
      <w:r w:rsidRPr="00E0209A">
        <w:t xml:space="preserve">Pri infekciách spôsobených vysoko citlivými </w:t>
      </w:r>
      <w:proofErr w:type="spellStart"/>
      <w:r w:rsidRPr="00E0209A">
        <w:t>grampozitívnymi</w:t>
      </w:r>
      <w:proofErr w:type="spellEnd"/>
      <w:r w:rsidRPr="00E0209A">
        <w:t xml:space="preserve"> mikroorganizmami je účinná dávka 25 – 50 mg/kg telesnej hmotnosti rozdelená do dvoch až štyroch dávok za deň.</w:t>
      </w:r>
    </w:p>
    <w:p w14:paraId="40B6ED15" w14:textId="77777777" w:rsidR="0017393C" w:rsidRPr="00E0209A" w:rsidRDefault="0017393C" w:rsidP="00A77916">
      <w:pPr>
        <w:pStyle w:val="Normlndobloku"/>
      </w:pPr>
      <w:r w:rsidRPr="00E0209A">
        <w:t xml:space="preserve">Pri infekciách spôsobených menej citlivými </w:t>
      </w:r>
      <w:proofErr w:type="spellStart"/>
      <w:r w:rsidRPr="00E0209A">
        <w:t>grampozitívnymi</w:t>
      </w:r>
      <w:proofErr w:type="spellEnd"/>
      <w:r w:rsidRPr="00E0209A">
        <w:t xml:space="preserve"> mikroorganizmami a </w:t>
      </w:r>
      <w:proofErr w:type="spellStart"/>
      <w:r w:rsidRPr="00E0209A">
        <w:t>gramnegatívnymi</w:t>
      </w:r>
      <w:proofErr w:type="spellEnd"/>
      <w:r w:rsidRPr="00E0209A">
        <w:t xml:space="preserve"> patogénmi sa odporúča maximálne 100 mg/kg telesnej hmotnosti</w:t>
      </w:r>
      <w:r w:rsidR="00525748">
        <w:t xml:space="preserve"> </w:t>
      </w:r>
      <w:r w:rsidRPr="00E0209A">
        <w:t xml:space="preserve">rozdelených na tri alebo štyri </w:t>
      </w:r>
      <w:r w:rsidR="00195645" w:rsidRPr="00E0209A">
        <w:t>rovnak</w:t>
      </w:r>
      <w:r w:rsidR="00195645">
        <w:t>é</w:t>
      </w:r>
      <w:r w:rsidR="00195645" w:rsidRPr="00E0209A">
        <w:t xml:space="preserve"> </w:t>
      </w:r>
      <w:r w:rsidRPr="00E0209A">
        <w:t>dávk</w:t>
      </w:r>
      <w:r w:rsidR="00195645">
        <w:t>y</w:t>
      </w:r>
      <w:r w:rsidRPr="00E0209A">
        <w:t>.</w:t>
      </w:r>
    </w:p>
    <w:p w14:paraId="44B20536" w14:textId="77777777" w:rsidR="0017393C" w:rsidRPr="00E0209A" w:rsidRDefault="0017393C" w:rsidP="00D42F90">
      <w:pPr>
        <w:pStyle w:val="Normlndobloku"/>
      </w:pPr>
      <w:r w:rsidRPr="00E0209A">
        <w:t>U detí s poruchou funkcie obličiek môžu byť potrebné nižšie dávky, aby sa zabránilo akumulácii.</w:t>
      </w:r>
    </w:p>
    <w:p w14:paraId="7C7EC680" w14:textId="77777777" w:rsidR="0017393C" w:rsidRPr="00E0209A" w:rsidRDefault="0017393C" w:rsidP="00B7552D">
      <w:pPr>
        <w:pStyle w:val="Normlndobloku"/>
      </w:pPr>
      <w:r w:rsidRPr="00E0209A">
        <w:t>Veľkosť tejto nižšej dávky je možné určiť na základe hladiny liečiva v krvi. Ak to nie je možné, dávka sa odvodí z </w:t>
      </w:r>
      <w:proofErr w:type="spellStart"/>
      <w:r w:rsidRPr="00E0209A">
        <w:t>klírens</w:t>
      </w:r>
      <w:proofErr w:type="spellEnd"/>
      <w:r w:rsidRPr="00E0209A">
        <w:t xml:space="preserve"> </w:t>
      </w:r>
      <w:proofErr w:type="spellStart"/>
      <w:r w:rsidRPr="00E0209A">
        <w:t>kreatinínu</w:t>
      </w:r>
      <w:proofErr w:type="spellEnd"/>
      <w:r w:rsidRPr="00E0209A">
        <w:t xml:space="preserve"> podľa nasledujúcich pokynov.</w:t>
      </w:r>
    </w:p>
    <w:p w14:paraId="26920D32" w14:textId="50274C33" w:rsidR="0017393C" w:rsidRPr="00E0209A" w:rsidRDefault="0017393C" w:rsidP="00B7552D">
      <w:pPr>
        <w:pStyle w:val="Normlndoblokusodrkami"/>
      </w:pPr>
      <w:r w:rsidRPr="00E0209A">
        <w:t xml:space="preserve">U detí so stredne </w:t>
      </w:r>
      <w:r w:rsidR="00876FB7">
        <w:t>závažn</w:t>
      </w:r>
      <w:r w:rsidR="00876FB7" w:rsidRPr="00E0209A">
        <w:t xml:space="preserve">ou </w:t>
      </w:r>
      <w:r w:rsidRPr="00E0209A">
        <w:t xml:space="preserve">poruchou funkcie obličiek (klírens kreatinínu 40 – 20 ml/min) </w:t>
      </w:r>
      <w:r w:rsidR="000F1686">
        <w:t>je dostatočných</w:t>
      </w:r>
      <w:r w:rsidRPr="00E0209A">
        <w:t xml:space="preserve"> 25 % normálnej</w:t>
      </w:r>
      <w:r w:rsidR="00195645">
        <w:t xml:space="preserve"> pediatrickej</w:t>
      </w:r>
      <w:r w:rsidRPr="00E0209A">
        <w:t xml:space="preserve"> dennej dávky rozdelen</w:t>
      </w:r>
      <w:r w:rsidR="000F1686">
        <w:t>ých</w:t>
      </w:r>
      <w:r w:rsidRPr="00E0209A">
        <w:t xml:space="preserve"> do dávok každých 12</w:t>
      </w:r>
      <w:r w:rsidR="00B60E86">
        <w:t> </w:t>
      </w:r>
      <w:r w:rsidRPr="00E0209A">
        <w:t>hodín.</w:t>
      </w:r>
    </w:p>
    <w:p w14:paraId="4C10F1D5" w14:textId="0EA3132D" w:rsidR="0017393C" w:rsidRPr="00E0209A" w:rsidRDefault="0017393C" w:rsidP="00B7552D">
      <w:pPr>
        <w:pStyle w:val="Normlndoblokusodrkami"/>
      </w:pPr>
      <w:r w:rsidRPr="00E0209A">
        <w:t>U detí s</w:t>
      </w:r>
      <w:r w:rsidR="00876FB7">
        <w:t>o</w:t>
      </w:r>
      <w:r w:rsidRPr="00E0209A">
        <w:t> </w:t>
      </w:r>
      <w:r w:rsidR="00876FB7">
        <w:t>závažn</w:t>
      </w:r>
      <w:r w:rsidR="00876FB7" w:rsidRPr="00E0209A">
        <w:t xml:space="preserve">ou </w:t>
      </w:r>
      <w:r w:rsidRPr="00E0209A">
        <w:t xml:space="preserve">poruchou funkcie obličiek (klírens kreatinínu 20 – 5 ml/min) </w:t>
      </w:r>
      <w:r w:rsidR="000F1686">
        <w:t>je dostatočných</w:t>
      </w:r>
      <w:r w:rsidRPr="00E0209A">
        <w:t xml:space="preserve"> 10 % normálnej </w:t>
      </w:r>
      <w:r w:rsidR="00195645">
        <w:t xml:space="preserve">pediatrickej </w:t>
      </w:r>
      <w:r w:rsidRPr="00E0209A">
        <w:t>dennej dávky podávan</w:t>
      </w:r>
      <w:r w:rsidR="000E2BDD">
        <w:t>ých</w:t>
      </w:r>
      <w:r w:rsidRPr="00E0209A">
        <w:t xml:space="preserve"> každých 24 hodín.</w:t>
      </w:r>
    </w:p>
    <w:p w14:paraId="411A5AD6" w14:textId="77777777" w:rsidR="0017393C" w:rsidRPr="00E0209A" w:rsidRDefault="0017393C" w:rsidP="00B7552D">
      <w:pPr>
        <w:pStyle w:val="Normlndobloku"/>
      </w:pPr>
      <w:r w:rsidRPr="00E0209A">
        <w:t xml:space="preserve">Všetky tieto pokyny platia po aplikácii začiatočnej </w:t>
      </w:r>
      <w:proofErr w:type="spellStart"/>
      <w:r w:rsidRPr="00E0209A">
        <w:t>nasycovacej</w:t>
      </w:r>
      <w:proofErr w:type="spellEnd"/>
      <w:r w:rsidRPr="00E0209A">
        <w:t xml:space="preserve"> dávky.</w:t>
      </w:r>
    </w:p>
    <w:p w14:paraId="2B1B9125" w14:textId="77777777" w:rsidR="0017393C" w:rsidRDefault="004415CC" w:rsidP="00B7552D">
      <w:pPr>
        <w:pStyle w:val="Normlndobloku"/>
      </w:pPr>
      <w:r w:rsidRPr="00E0209A">
        <w:t>Pozri tiež časť 4.4.</w:t>
      </w:r>
    </w:p>
    <w:p w14:paraId="5B9C0444" w14:textId="35633BE6" w:rsidR="00AD0B7E" w:rsidRDefault="00AD0B7E">
      <w:pPr>
        <w:spacing w:after="200" w:line="276" w:lineRule="auto"/>
        <w:rPr>
          <w:rFonts w:eastAsia="Calibri"/>
          <w:szCs w:val="24"/>
        </w:rPr>
      </w:pPr>
      <w:r>
        <w:br w:type="page"/>
      </w:r>
    </w:p>
    <w:p w14:paraId="0B5C9E04" w14:textId="77777777" w:rsidR="0017393C" w:rsidRPr="00B7552D" w:rsidRDefault="0017393C" w:rsidP="00B7552D">
      <w:pPr>
        <w:pStyle w:val="Styl3"/>
        <w:spacing w:after="0"/>
        <w:jc w:val="left"/>
        <w:rPr>
          <w:i/>
          <w:u w:val="none"/>
        </w:rPr>
      </w:pPr>
      <w:r w:rsidRPr="00B7552D">
        <w:rPr>
          <w:i/>
          <w:u w:val="none"/>
        </w:rPr>
        <w:lastRenderedPageBreak/>
        <w:t>Dojčatá</w:t>
      </w:r>
    </w:p>
    <w:p w14:paraId="7B26B5D9" w14:textId="77777777" w:rsidR="0017393C" w:rsidRPr="00E0209A" w:rsidRDefault="0017393C" w:rsidP="00A77916">
      <w:pPr>
        <w:pStyle w:val="Normlndobloku"/>
      </w:pPr>
      <w:r w:rsidRPr="00E0209A">
        <w:t>Vzhľadom k tomu, že bezpečnosť použitia u nedonosených detí a detí mladších ako jeden mesiac nebola stanovená, použitie lieku ZEPILEN sa u týchto pacientov neodporúča.</w:t>
      </w:r>
    </w:p>
    <w:p w14:paraId="171B4118" w14:textId="77777777" w:rsidR="0017393C" w:rsidRDefault="0017393C" w:rsidP="00A77916">
      <w:pPr>
        <w:pStyle w:val="Normlndobloku"/>
      </w:pPr>
      <w:r w:rsidRPr="00E0209A">
        <w:t>Pozri tiež časť 4.4.</w:t>
      </w:r>
    </w:p>
    <w:p w14:paraId="0B9CE18E" w14:textId="77777777" w:rsidR="00B7552D" w:rsidRDefault="00B7552D" w:rsidP="00A77916">
      <w:pPr>
        <w:pStyle w:val="Normlndobloku"/>
      </w:pPr>
    </w:p>
    <w:p w14:paraId="1C85C208" w14:textId="77777777" w:rsidR="0017393C" w:rsidRPr="00B7552D" w:rsidRDefault="000E2BDD" w:rsidP="00B7552D">
      <w:pPr>
        <w:pStyle w:val="Styl3"/>
        <w:spacing w:after="0"/>
        <w:jc w:val="left"/>
        <w:rPr>
          <w:i/>
          <w:u w:val="none"/>
        </w:rPr>
      </w:pPr>
      <w:r w:rsidRPr="00B7552D">
        <w:rPr>
          <w:i/>
          <w:u w:val="none"/>
        </w:rPr>
        <w:t>Usmernenie k d</w:t>
      </w:r>
      <w:r w:rsidR="0017393C" w:rsidRPr="00B7552D">
        <w:rPr>
          <w:i/>
          <w:u w:val="none"/>
        </w:rPr>
        <w:t>ávkovani</w:t>
      </w:r>
      <w:r w:rsidRPr="00B7552D">
        <w:rPr>
          <w:i/>
          <w:u w:val="none"/>
        </w:rPr>
        <w:t>u</w:t>
      </w:r>
      <w:r w:rsidR="0017393C" w:rsidRPr="00B7552D">
        <w:rPr>
          <w:i/>
          <w:u w:val="none"/>
        </w:rPr>
        <w:t xml:space="preserve"> </w:t>
      </w:r>
      <w:r w:rsidRPr="00B7552D">
        <w:rPr>
          <w:i/>
          <w:u w:val="none"/>
        </w:rPr>
        <w:t>v</w:t>
      </w:r>
      <w:r w:rsidR="0017393C" w:rsidRPr="00B7552D">
        <w:rPr>
          <w:i/>
          <w:u w:val="none"/>
        </w:rPr>
        <w:t> pediatrickej populáci</w:t>
      </w:r>
      <w:r w:rsidRPr="00B7552D">
        <w:rPr>
          <w:i/>
          <w:u w:val="none"/>
        </w:rPr>
        <w:t>i</w:t>
      </w:r>
    </w:p>
    <w:p w14:paraId="52715E48" w14:textId="70EABCA4" w:rsidR="0017393C" w:rsidRDefault="0017393C" w:rsidP="00A77916">
      <w:pPr>
        <w:pStyle w:val="Normlndobloku"/>
      </w:pPr>
      <w:r w:rsidRPr="00E0209A">
        <w:t xml:space="preserve">Do injekčnej liekovky ZEPILEN 1 g pridajte 4 ml rozpúšťadla. </w:t>
      </w:r>
      <w:r w:rsidR="001F0142">
        <w:t xml:space="preserve">Finálny objem po nariedení je približne 4,4 ml s koncentráciou približne </w:t>
      </w:r>
      <w:r w:rsidRPr="00E0209A">
        <w:t>225 mg/ml.</w:t>
      </w:r>
    </w:p>
    <w:p w14:paraId="7853D4D6" w14:textId="77777777" w:rsidR="00074623" w:rsidRPr="00E0209A" w:rsidRDefault="00074623" w:rsidP="00A77916">
      <w:pPr>
        <w:pStyle w:val="Normlndobloku"/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837"/>
        <w:gridCol w:w="1837"/>
        <w:gridCol w:w="1838"/>
        <w:gridCol w:w="1914"/>
      </w:tblGrid>
      <w:tr w:rsidR="002E5D1E" w:rsidRPr="004E1E2D" w14:paraId="4053DE60" w14:textId="77777777" w:rsidTr="000F1686">
        <w:trPr>
          <w:trHeight w:val="403"/>
        </w:trPr>
        <w:tc>
          <w:tcPr>
            <w:tcW w:w="1664" w:type="dxa"/>
            <w:vAlign w:val="center"/>
          </w:tcPr>
          <w:p w14:paraId="623AE4E5" w14:textId="77777777" w:rsidR="002E5D1E" w:rsidRPr="004E1E2D" w:rsidRDefault="002E5D1E" w:rsidP="00A77916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Telesná hmotnosť v kg</w:t>
            </w:r>
          </w:p>
        </w:tc>
        <w:tc>
          <w:tcPr>
            <w:tcW w:w="3674" w:type="dxa"/>
            <w:gridSpan w:val="2"/>
            <w:vAlign w:val="center"/>
          </w:tcPr>
          <w:p w14:paraId="086BFEE2" w14:textId="77777777" w:rsidR="002E5D1E" w:rsidRPr="004E1E2D" w:rsidRDefault="002E5D1E" w:rsidP="00D42F90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25 mg/kg/deň rozdelené do 3 dávok</w:t>
            </w:r>
          </w:p>
        </w:tc>
        <w:tc>
          <w:tcPr>
            <w:tcW w:w="3752" w:type="dxa"/>
            <w:gridSpan w:val="2"/>
            <w:vAlign w:val="center"/>
          </w:tcPr>
          <w:p w14:paraId="321DE7D7" w14:textId="77777777" w:rsidR="002E5D1E" w:rsidRPr="004E1E2D" w:rsidRDefault="002E5D1E" w:rsidP="00B7552D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25 mg/kg/deň rozdelené do 4 dávok</w:t>
            </w:r>
          </w:p>
        </w:tc>
      </w:tr>
      <w:tr w:rsidR="002E5D1E" w:rsidRPr="004E1E2D" w14:paraId="4D7F6D10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6C86D659" w14:textId="77777777" w:rsidR="002E5D1E" w:rsidRPr="004E1E2D" w:rsidRDefault="002E5D1E" w:rsidP="00A77916">
            <w:pPr>
              <w:pStyle w:val="Nadpisuvnittabulky"/>
            </w:pPr>
          </w:p>
        </w:tc>
        <w:tc>
          <w:tcPr>
            <w:tcW w:w="1837" w:type="dxa"/>
            <w:vAlign w:val="center"/>
          </w:tcPr>
          <w:p w14:paraId="0BDA0D7F" w14:textId="77777777" w:rsidR="002E5D1E" w:rsidRPr="004E1E2D" w:rsidRDefault="002E5D1E" w:rsidP="00D42F90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Dávka v </w:t>
            </w:r>
            <w:r w:rsidRPr="004E1E2D">
              <w:rPr>
                <w:rFonts w:ascii="Times New Roman" w:hAnsi="Times New Roman"/>
              </w:rPr>
              <w:t xml:space="preserve">mg </w:t>
            </w:r>
            <w:r w:rsidRPr="004E1E2D">
              <w:t xml:space="preserve">každých </w:t>
            </w:r>
            <w:r w:rsidRPr="004E1E2D">
              <w:rPr>
                <w:rFonts w:ascii="Times New Roman" w:hAnsi="Times New Roman"/>
              </w:rPr>
              <w:t>8 h</w:t>
            </w:r>
          </w:p>
        </w:tc>
        <w:tc>
          <w:tcPr>
            <w:tcW w:w="1837" w:type="dxa"/>
            <w:vAlign w:val="center"/>
          </w:tcPr>
          <w:p w14:paraId="474469AC" w14:textId="77777777" w:rsidR="002E5D1E" w:rsidRPr="004E1E2D" w:rsidRDefault="002E5D1E" w:rsidP="00B7552D">
            <w:pPr>
              <w:pStyle w:val="Nadpisuvnittabulky"/>
            </w:pPr>
            <w:r w:rsidRPr="004E1E2D">
              <w:t>Potrebný objem v ml</w:t>
            </w:r>
          </w:p>
        </w:tc>
        <w:tc>
          <w:tcPr>
            <w:tcW w:w="1838" w:type="dxa"/>
            <w:vAlign w:val="center"/>
          </w:tcPr>
          <w:p w14:paraId="2696CF97" w14:textId="77777777" w:rsidR="002E5D1E" w:rsidRPr="004E1E2D" w:rsidRDefault="002E5D1E" w:rsidP="00B7552D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Dávka v </w:t>
            </w:r>
            <w:r w:rsidRPr="004E1E2D">
              <w:rPr>
                <w:rFonts w:ascii="Times New Roman" w:hAnsi="Times New Roman"/>
              </w:rPr>
              <w:t xml:space="preserve">mg </w:t>
            </w:r>
            <w:r w:rsidRPr="004E1E2D">
              <w:t xml:space="preserve">každých </w:t>
            </w:r>
            <w:r w:rsidRPr="004E1E2D">
              <w:rPr>
                <w:rFonts w:ascii="Times New Roman" w:hAnsi="Times New Roman"/>
              </w:rPr>
              <w:t>6 h</w:t>
            </w:r>
          </w:p>
        </w:tc>
        <w:tc>
          <w:tcPr>
            <w:tcW w:w="1914" w:type="dxa"/>
            <w:vAlign w:val="center"/>
          </w:tcPr>
          <w:p w14:paraId="02A6A11C" w14:textId="77777777" w:rsidR="002E5D1E" w:rsidRPr="004E1E2D" w:rsidRDefault="002E5D1E" w:rsidP="00B7552D">
            <w:pPr>
              <w:pStyle w:val="Nadpisuvnittabulky"/>
            </w:pPr>
            <w:r w:rsidRPr="004E1E2D">
              <w:t>Potrebný objem v ml</w:t>
            </w:r>
          </w:p>
        </w:tc>
      </w:tr>
    </w:tbl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837"/>
        <w:gridCol w:w="1837"/>
        <w:gridCol w:w="1838"/>
        <w:gridCol w:w="1914"/>
      </w:tblGrid>
      <w:tr w:rsidR="002E5D1E" w:rsidRPr="004E1E2D" w14:paraId="695BF9FD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2C87DA01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5</w:t>
            </w:r>
          </w:p>
        </w:tc>
        <w:tc>
          <w:tcPr>
            <w:tcW w:w="1837" w:type="dxa"/>
            <w:vAlign w:val="center"/>
          </w:tcPr>
          <w:p w14:paraId="72C32503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42</w:t>
            </w:r>
          </w:p>
        </w:tc>
        <w:tc>
          <w:tcPr>
            <w:tcW w:w="1837" w:type="dxa"/>
            <w:vAlign w:val="center"/>
          </w:tcPr>
          <w:p w14:paraId="436FDD53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0,2</w:t>
            </w:r>
          </w:p>
        </w:tc>
        <w:tc>
          <w:tcPr>
            <w:tcW w:w="1838" w:type="dxa"/>
            <w:vAlign w:val="center"/>
          </w:tcPr>
          <w:p w14:paraId="358A8F19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31</w:t>
            </w:r>
          </w:p>
        </w:tc>
        <w:tc>
          <w:tcPr>
            <w:tcW w:w="1914" w:type="dxa"/>
            <w:vAlign w:val="center"/>
          </w:tcPr>
          <w:p w14:paraId="1FA072AC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0,15</w:t>
            </w:r>
          </w:p>
        </w:tc>
      </w:tr>
      <w:tr w:rsidR="002E5D1E" w:rsidRPr="004E1E2D" w14:paraId="4C33AC76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08924005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10</w:t>
            </w:r>
          </w:p>
        </w:tc>
        <w:tc>
          <w:tcPr>
            <w:tcW w:w="1837" w:type="dxa"/>
            <w:vAlign w:val="center"/>
          </w:tcPr>
          <w:p w14:paraId="6DAEC2E0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85</w:t>
            </w:r>
          </w:p>
        </w:tc>
        <w:tc>
          <w:tcPr>
            <w:tcW w:w="1837" w:type="dxa"/>
            <w:vAlign w:val="center"/>
          </w:tcPr>
          <w:p w14:paraId="6476FB04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0,4</w:t>
            </w:r>
          </w:p>
        </w:tc>
        <w:tc>
          <w:tcPr>
            <w:tcW w:w="1838" w:type="dxa"/>
            <w:vAlign w:val="center"/>
          </w:tcPr>
          <w:p w14:paraId="4388BB2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62</w:t>
            </w:r>
          </w:p>
        </w:tc>
        <w:tc>
          <w:tcPr>
            <w:tcW w:w="1914" w:type="dxa"/>
            <w:vAlign w:val="center"/>
          </w:tcPr>
          <w:p w14:paraId="6F813DF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0,3</w:t>
            </w:r>
          </w:p>
        </w:tc>
      </w:tr>
      <w:tr w:rsidR="002E5D1E" w:rsidRPr="004E1E2D" w14:paraId="11DB6575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756C0275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15</w:t>
            </w:r>
          </w:p>
        </w:tc>
        <w:tc>
          <w:tcPr>
            <w:tcW w:w="1837" w:type="dxa"/>
            <w:vAlign w:val="center"/>
          </w:tcPr>
          <w:p w14:paraId="4BA7294E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125</w:t>
            </w:r>
          </w:p>
        </w:tc>
        <w:tc>
          <w:tcPr>
            <w:tcW w:w="1837" w:type="dxa"/>
            <w:vAlign w:val="center"/>
          </w:tcPr>
          <w:p w14:paraId="66E87744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0,5</w:t>
            </w:r>
          </w:p>
        </w:tc>
        <w:tc>
          <w:tcPr>
            <w:tcW w:w="1838" w:type="dxa"/>
            <w:vAlign w:val="center"/>
          </w:tcPr>
          <w:p w14:paraId="7F34550C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94</w:t>
            </w:r>
          </w:p>
        </w:tc>
        <w:tc>
          <w:tcPr>
            <w:tcW w:w="1914" w:type="dxa"/>
            <w:vAlign w:val="center"/>
          </w:tcPr>
          <w:p w14:paraId="15AFBC67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0,4</w:t>
            </w:r>
          </w:p>
        </w:tc>
      </w:tr>
      <w:tr w:rsidR="002E5D1E" w:rsidRPr="004E1E2D" w14:paraId="391D5926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28CFE929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20</w:t>
            </w:r>
          </w:p>
        </w:tc>
        <w:tc>
          <w:tcPr>
            <w:tcW w:w="1837" w:type="dxa"/>
            <w:vAlign w:val="center"/>
          </w:tcPr>
          <w:p w14:paraId="4B309173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167</w:t>
            </w:r>
          </w:p>
        </w:tc>
        <w:tc>
          <w:tcPr>
            <w:tcW w:w="1837" w:type="dxa"/>
            <w:vAlign w:val="center"/>
          </w:tcPr>
          <w:p w14:paraId="2148D487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0,7</w:t>
            </w:r>
          </w:p>
        </w:tc>
        <w:tc>
          <w:tcPr>
            <w:tcW w:w="1838" w:type="dxa"/>
            <w:vAlign w:val="center"/>
          </w:tcPr>
          <w:p w14:paraId="020DFA2A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125</w:t>
            </w:r>
          </w:p>
        </w:tc>
        <w:tc>
          <w:tcPr>
            <w:tcW w:w="1914" w:type="dxa"/>
            <w:vAlign w:val="center"/>
          </w:tcPr>
          <w:p w14:paraId="6D42DCC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0,5</w:t>
            </w:r>
          </w:p>
        </w:tc>
      </w:tr>
      <w:tr w:rsidR="002E5D1E" w:rsidRPr="004E1E2D" w14:paraId="70534DB9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35F1EBE2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25</w:t>
            </w:r>
          </w:p>
        </w:tc>
        <w:tc>
          <w:tcPr>
            <w:tcW w:w="1837" w:type="dxa"/>
            <w:vAlign w:val="center"/>
          </w:tcPr>
          <w:p w14:paraId="1CF31838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208</w:t>
            </w:r>
          </w:p>
        </w:tc>
        <w:tc>
          <w:tcPr>
            <w:tcW w:w="1837" w:type="dxa"/>
            <w:vAlign w:val="center"/>
          </w:tcPr>
          <w:p w14:paraId="34F4CB06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0,9</w:t>
            </w:r>
          </w:p>
        </w:tc>
        <w:tc>
          <w:tcPr>
            <w:tcW w:w="1838" w:type="dxa"/>
            <w:vAlign w:val="center"/>
          </w:tcPr>
          <w:p w14:paraId="2E1D853D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156</w:t>
            </w:r>
          </w:p>
        </w:tc>
        <w:tc>
          <w:tcPr>
            <w:tcW w:w="1914" w:type="dxa"/>
            <w:vAlign w:val="center"/>
          </w:tcPr>
          <w:p w14:paraId="3D8D49C1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0,7</w:t>
            </w:r>
          </w:p>
        </w:tc>
      </w:tr>
    </w:tbl>
    <w:p w14:paraId="46D99F87" w14:textId="77777777" w:rsidR="002E5D1E" w:rsidRPr="004E1E2D" w:rsidRDefault="002E5D1E" w:rsidP="00A77916">
      <w:pPr>
        <w:pStyle w:val="Normlndobloku"/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837"/>
        <w:gridCol w:w="1837"/>
        <w:gridCol w:w="1838"/>
        <w:gridCol w:w="1914"/>
      </w:tblGrid>
      <w:tr w:rsidR="002E5D1E" w:rsidRPr="004E1E2D" w14:paraId="656F84A2" w14:textId="77777777" w:rsidTr="000F1686">
        <w:trPr>
          <w:trHeight w:val="403"/>
        </w:trPr>
        <w:tc>
          <w:tcPr>
            <w:tcW w:w="1664" w:type="dxa"/>
            <w:vAlign w:val="center"/>
          </w:tcPr>
          <w:p w14:paraId="25C9D87C" w14:textId="77777777" w:rsidR="002E5D1E" w:rsidRPr="004E1E2D" w:rsidRDefault="002E5D1E" w:rsidP="00A77916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Telesná hmotnosť v kg</w:t>
            </w:r>
          </w:p>
        </w:tc>
        <w:tc>
          <w:tcPr>
            <w:tcW w:w="3674" w:type="dxa"/>
            <w:gridSpan w:val="2"/>
            <w:vAlign w:val="center"/>
          </w:tcPr>
          <w:p w14:paraId="4B82C9BD" w14:textId="77777777" w:rsidR="002E5D1E" w:rsidRPr="004E1E2D" w:rsidRDefault="002E5D1E" w:rsidP="00D42F90">
            <w:pPr>
              <w:pStyle w:val="Nadpisuvnittabulky"/>
              <w:rPr>
                <w:rFonts w:ascii="Times New Roman" w:hAnsi="Times New Roman"/>
              </w:rPr>
            </w:pPr>
            <w:r w:rsidRPr="004E1E2D">
              <w:rPr>
                <w:rFonts w:ascii="Times New Roman" w:hAnsi="Times New Roman"/>
              </w:rPr>
              <w:t>50 mg/kg/</w:t>
            </w:r>
            <w:r w:rsidRPr="004E1E2D">
              <w:t>deň rozdelené do 3 dávok</w:t>
            </w:r>
          </w:p>
        </w:tc>
        <w:tc>
          <w:tcPr>
            <w:tcW w:w="3752" w:type="dxa"/>
            <w:gridSpan w:val="2"/>
            <w:vAlign w:val="center"/>
          </w:tcPr>
          <w:p w14:paraId="73823671" w14:textId="77777777" w:rsidR="002E5D1E" w:rsidRPr="004E1E2D" w:rsidRDefault="002E5D1E" w:rsidP="00B7552D">
            <w:pPr>
              <w:pStyle w:val="Nadpisuvnittabulky"/>
              <w:rPr>
                <w:rFonts w:ascii="Times New Roman" w:hAnsi="Times New Roman"/>
              </w:rPr>
            </w:pPr>
            <w:r w:rsidRPr="004E1E2D">
              <w:rPr>
                <w:rFonts w:ascii="Times New Roman" w:hAnsi="Times New Roman"/>
              </w:rPr>
              <w:t>50 mg/kg/</w:t>
            </w:r>
            <w:r w:rsidRPr="004E1E2D">
              <w:t>deň rozdelené do 4 dávok</w:t>
            </w:r>
          </w:p>
        </w:tc>
      </w:tr>
      <w:tr w:rsidR="002E5D1E" w:rsidRPr="004E1E2D" w14:paraId="59632E22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02403729" w14:textId="77777777" w:rsidR="002E5D1E" w:rsidRPr="004E1E2D" w:rsidRDefault="002E5D1E" w:rsidP="00A77916">
            <w:pPr>
              <w:pStyle w:val="Nadpisuvnittabulky"/>
            </w:pPr>
          </w:p>
        </w:tc>
        <w:tc>
          <w:tcPr>
            <w:tcW w:w="1837" w:type="dxa"/>
            <w:vAlign w:val="center"/>
          </w:tcPr>
          <w:p w14:paraId="7490E07B" w14:textId="77777777" w:rsidR="002E5D1E" w:rsidRPr="004E1E2D" w:rsidRDefault="002E5D1E" w:rsidP="00D42F90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Dávka v </w:t>
            </w:r>
            <w:r w:rsidRPr="004E1E2D">
              <w:rPr>
                <w:rFonts w:ascii="Times New Roman" w:hAnsi="Times New Roman"/>
              </w:rPr>
              <w:t xml:space="preserve">mg </w:t>
            </w:r>
            <w:r w:rsidRPr="004E1E2D">
              <w:t xml:space="preserve">každých </w:t>
            </w:r>
            <w:r w:rsidRPr="004E1E2D">
              <w:rPr>
                <w:rFonts w:ascii="Times New Roman" w:hAnsi="Times New Roman"/>
              </w:rPr>
              <w:t>8 h</w:t>
            </w:r>
          </w:p>
        </w:tc>
        <w:tc>
          <w:tcPr>
            <w:tcW w:w="1837" w:type="dxa"/>
            <w:vAlign w:val="center"/>
          </w:tcPr>
          <w:p w14:paraId="7500BE8D" w14:textId="77777777" w:rsidR="002E5D1E" w:rsidRPr="004E1E2D" w:rsidRDefault="002E5D1E" w:rsidP="00B7552D">
            <w:pPr>
              <w:pStyle w:val="Nadpisuvnittabulky"/>
            </w:pPr>
            <w:r w:rsidRPr="004E1E2D">
              <w:t>Potrebný objem v ml</w:t>
            </w:r>
          </w:p>
        </w:tc>
        <w:tc>
          <w:tcPr>
            <w:tcW w:w="1838" w:type="dxa"/>
            <w:vAlign w:val="center"/>
          </w:tcPr>
          <w:p w14:paraId="389B1F55" w14:textId="77777777" w:rsidR="002E5D1E" w:rsidRPr="004E1E2D" w:rsidRDefault="002E5D1E" w:rsidP="00B7552D">
            <w:pPr>
              <w:pStyle w:val="Nadpisuvnittabulky"/>
              <w:rPr>
                <w:rFonts w:ascii="Times New Roman" w:hAnsi="Times New Roman"/>
              </w:rPr>
            </w:pPr>
            <w:r w:rsidRPr="004E1E2D">
              <w:t>Dávka v </w:t>
            </w:r>
            <w:r w:rsidRPr="004E1E2D">
              <w:rPr>
                <w:rFonts w:ascii="Times New Roman" w:hAnsi="Times New Roman"/>
              </w:rPr>
              <w:t xml:space="preserve">mg </w:t>
            </w:r>
            <w:r w:rsidRPr="004E1E2D">
              <w:t xml:space="preserve">každých </w:t>
            </w:r>
            <w:r w:rsidRPr="004E1E2D">
              <w:rPr>
                <w:rFonts w:ascii="Times New Roman" w:hAnsi="Times New Roman"/>
              </w:rPr>
              <w:t>6</w:t>
            </w:r>
            <w:r w:rsidR="00525748">
              <w:rPr>
                <w:rFonts w:ascii="Times New Roman" w:hAnsi="Times New Roman"/>
              </w:rPr>
              <w:t xml:space="preserve"> </w:t>
            </w:r>
            <w:r w:rsidRPr="004E1E2D">
              <w:rPr>
                <w:rFonts w:ascii="Times New Roman" w:hAnsi="Times New Roman"/>
              </w:rPr>
              <w:t>h</w:t>
            </w:r>
          </w:p>
        </w:tc>
        <w:tc>
          <w:tcPr>
            <w:tcW w:w="1914" w:type="dxa"/>
            <w:vAlign w:val="center"/>
          </w:tcPr>
          <w:p w14:paraId="320DE050" w14:textId="77777777" w:rsidR="002E5D1E" w:rsidRPr="004E1E2D" w:rsidRDefault="002E5D1E" w:rsidP="00B7552D">
            <w:pPr>
              <w:pStyle w:val="Nadpisuvnittabulky"/>
            </w:pPr>
            <w:r w:rsidRPr="004E1E2D">
              <w:t>Potrebný objem v ml</w:t>
            </w:r>
          </w:p>
        </w:tc>
      </w:tr>
    </w:tbl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837"/>
        <w:gridCol w:w="1837"/>
        <w:gridCol w:w="1838"/>
        <w:gridCol w:w="1914"/>
      </w:tblGrid>
      <w:tr w:rsidR="002E5D1E" w:rsidRPr="004E1E2D" w14:paraId="5CA642CE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4CEDBCB8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5</w:t>
            </w:r>
          </w:p>
        </w:tc>
        <w:tc>
          <w:tcPr>
            <w:tcW w:w="1837" w:type="dxa"/>
            <w:vAlign w:val="center"/>
          </w:tcPr>
          <w:p w14:paraId="576DCE09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83</w:t>
            </w:r>
          </w:p>
        </w:tc>
        <w:tc>
          <w:tcPr>
            <w:tcW w:w="1837" w:type="dxa"/>
            <w:vAlign w:val="center"/>
          </w:tcPr>
          <w:p w14:paraId="2A861E64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0,4</w:t>
            </w:r>
          </w:p>
        </w:tc>
        <w:tc>
          <w:tcPr>
            <w:tcW w:w="1838" w:type="dxa"/>
            <w:vAlign w:val="center"/>
          </w:tcPr>
          <w:p w14:paraId="7648A41D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63</w:t>
            </w:r>
          </w:p>
        </w:tc>
        <w:tc>
          <w:tcPr>
            <w:tcW w:w="1914" w:type="dxa"/>
            <w:vAlign w:val="center"/>
          </w:tcPr>
          <w:p w14:paraId="5BCCD8CE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0,3</w:t>
            </w:r>
          </w:p>
        </w:tc>
      </w:tr>
      <w:tr w:rsidR="002E5D1E" w:rsidRPr="004E1E2D" w14:paraId="42654EB9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715DCF38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10</w:t>
            </w:r>
          </w:p>
        </w:tc>
        <w:tc>
          <w:tcPr>
            <w:tcW w:w="1837" w:type="dxa"/>
            <w:vAlign w:val="center"/>
          </w:tcPr>
          <w:p w14:paraId="36E3973F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166</w:t>
            </w:r>
          </w:p>
        </w:tc>
        <w:tc>
          <w:tcPr>
            <w:tcW w:w="1837" w:type="dxa"/>
            <w:vAlign w:val="center"/>
          </w:tcPr>
          <w:p w14:paraId="542E281F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0,7</w:t>
            </w:r>
          </w:p>
        </w:tc>
        <w:tc>
          <w:tcPr>
            <w:tcW w:w="1838" w:type="dxa"/>
            <w:vAlign w:val="center"/>
          </w:tcPr>
          <w:p w14:paraId="09C61E1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125</w:t>
            </w:r>
          </w:p>
        </w:tc>
        <w:tc>
          <w:tcPr>
            <w:tcW w:w="1914" w:type="dxa"/>
            <w:vAlign w:val="center"/>
          </w:tcPr>
          <w:p w14:paraId="107DBA6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0,6</w:t>
            </w:r>
          </w:p>
        </w:tc>
      </w:tr>
      <w:tr w:rsidR="002E5D1E" w:rsidRPr="004E1E2D" w14:paraId="7F04BFB5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4389DD5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15</w:t>
            </w:r>
          </w:p>
        </w:tc>
        <w:tc>
          <w:tcPr>
            <w:tcW w:w="1837" w:type="dxa"/>
            <w:vAlign w:val="center"/>
          </w:tcPr>
          <w:p w14:paraId="1AFDD735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250</w:t>
            </w:r>
          </w:p>
        </w:tc>
        <w:tc>
          <w:tcPr>
            <w:tcW w:w="1837" w:type="dxa"/>
            <w:vAlign w:val="center"/>
          </w:tcPr>
          <w:p w14:paraId="1735DC5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1,1</w:t>
            </w:r>
          </w:p>
        </w:tc>
        <w:tc>
          <w:tcPr>
            <w:tcW w:w="1838" w:type="dxa"/>
            <w:vAlign w:val="center"/>
          </w:tcPr>
          <w:p w14:paraId="08534935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188</w:t>
            </w:r>
          </w:p>
        </w:tc>
        <w:tc>
          <w:tcPr>
            <w:tcW w:w="1914" w:type="dxa"/>
            <w:vAlign w:val="center"/>
          </w:tcPr>
          <w:p w14:paraId="7E2C27EE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0,8</w:t>
            </w:r>
          </w:p>
        </w:tc>
      </w:tr>
      <w:tr w:rsidR="002E5D1E" w:rsidRPr="004E1E2D" w14:paraId="3631C5FA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743B7278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20</w:t>
            </w:r>
          </w:p>
        </w:tc>
        <w:tc>
          <w:tcPr>
            <w:tcW w:w="1837" w:type="dxa"/>
            <w:vAlign w:val="center"/>
          </w:tcPr>
          <w:p w14:paraId="27A35F34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333</w:t>
            </w:r>
          </w:p>
        </w:tc>
        <w:tc>
          <w:tcPr>
            <w:tcW w:w="1837" w:type="dxa"/>
            <w:vAlign w:val="center"/>
          </w:tcPr>
          <w:p w14:paraId="4188203D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1,5</w:t>
            </w:r>
          </w:p>
        </w:tc>
        <w:tc>
          <w:tcPr>
            <w:tcW w:w="1838" w:type="dxa"/>
            <w:vAlign w:val="center"/>
          </w:tcPr>
          <w:p w14:paraId="1E498F8A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250</w:t>
            </w:r>
          </w:p>
        </w:tc>
        <w:tc>
          <w:tcPr>
            <w:tcW w:w="1914" w:type="dxa"/>
            <w:vAlign w:val="center"/>
          </w:tcPr>
          <w:p w14:paraId="071470A3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1,1</w:t>
            </w:r>
          </w:p>
        </w:tc>
      </w:tr>
      <w:tr w:rsidR="002E5D1E" w:rsidRPr="004E1E2D" w14:paraId="279DE372" w14:textId="77777777" w:rsidTr="000F1686">
        <w:trPr>
          <w:trHeight w:val="418"/>
        </w:trPr>
        <w:tc>
          <w:tcPr>
            <w:tcW w:w="1664" w:type="dxa"/>
            <w:vAlign w:val="center"/>
          </w:tcPr>
          <w:p w14:paraId="2E84DA78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25</w:t>
            </w:r>
          </w:p>
        </w:tc>
        <w:tc>
          <w:tcPr>
            <w:tcW w:w="1837" w:type="dxa"/>
            <w:vAlign w:val="center"/>
          </w:tcPr>
          <w:p w14:paraId="39BDEE7B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417</w:t>
            </w:r>
          </w:p>
        </w:tc>
        <w:tc>
          <w:tcPr>
            <w:tcW w:w="1837" w:type="dxa"/>
            <w:vAlign w:val="center"/>
          </w:tcPr>
          <w:p w14:paraId="4672CA10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1,9</w:t>
            </w:r>
          </w:p>
        </w:tc>
        <w:tc>
          <w:tcPr>
            <w:tcW w:w="1838" w:type="dxa"/>
            <w:vAlign w:val="center"/>
          </w:tcPr>
          <w:p w14:paraId="3CBE9870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313</w:t>
            </w:r>
          </w:p>
        </w:tc>
        <w:tc>
          <w:tcPr>
            <w:tcW w:w="1914" w:type="dxa"/>
            <w:vAlign w:val="center"/>
          </w:tcPr>
          <w:p w14:paraId="76EAC53E" w14:textId="77777777" w:rsidR="002E5D1E" w:rsidRPr="004E1E2D" w:rsidRDefault="002E5D1E" w:rsidP="00B7552D">
            <w:pPr>
              <w:pStyle w:val="Tabulkynormlndoblokuzarovnndoleva"/>
              <w:framePr w:wrap="around"/>
            </w:pPr>
            <w:r w:rsidRPr="004E1E2D">
              <w:t>1,4</w:t>
            </w:r>
          </w:p>
        </w:tc>
      </w:tr>
    </w:tbl>
    <w:p w14:paraId="6F2B5312" w14:textId="77777777" w:rsidR="002E5D1E" w:rsidRPr="004E1E2D" w:rsidRDefault="002E5D1E" w:rsidP="00A77916">
      <w:pPr>
        <w:pStyle w:val="Normlndobloku"/>
      </w:pPr>
    </w:p>
    <w:p w14:paraId="6C1EBE64" w14:textId="77777777" w:rsidR="0017393C" w:rsidRPr="00B7552D" w:rsidRDefault="0017393C" w:rsidP="00B7552D">
      <w:pPr>
        <w:pStyle w:val="Styl3"/>
        <w:spacing w:after="0"/>
        <w:jc w:val="left"/>
        <w:rPr>
          <w:i/>
          <w:u w:val="none"/>
          <w:lang w:eastAsia="en-US"/>
        </w:rPr>
      </w:pPr>
      <w:r w:rsidRPr="00B7552D">
        <w:rPr>
          <w:i/>
          <w:u w:val="none"/>
          <w:lang w:eastAsia="en-US"/>
        </w:rPr>
        <w:t>Starší pacienti</w:t>
      </w:r>
    </w:p>
    <w:p w14:paraId="727AEF0C" w14:textId="77777777" w:rsidR="0017393C" w:rsidRDefault="0017393C" w:rsidP="00A77916">
      <w:pPr>
        <w:pStyle w:val="Normlndobloku"/>
      </w:pPr>
      <w:r w:rsidRPr="00E0209A">
        <w:t>U starších pacientov s normálnou funkciou obličiek nie je potrebná úprava dávkovania.</w:t>
      </w:r>
    </w:p>
    <w:p w14:paraId="71318EC6" w14:textId="77777777" w:rsidR="00B7552D" w:rsidRPr="00E0209A" w:rsidRDefault="00B7552D" w:rsidP="00A77916">
      <w:pPr>
        <w:pStyle w:val="Normlndobloku"/>
      </w:pPr>
    </w:p>
    <w:p w14:paraId="153F4608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Doba liečby</w:t>
      </w:r>
    </w:p>
    <w:p w14:paraId="376E5D60" w14:textId="77777777" w:rsidR="0017393C" w:rsidRDefault="0017393C" w:rsidP="00A77916">
      <w:pPr>
        <w:pStyle w:val="Normlndobloku"/>
      </w:pPr>
      <w:r w:rsidRPr="00E0209A">
        <w:t>Závisí na priebehu ochorenia. V súlade so všeobecnými zásadami liečby antibiotikami má liečba liekom ZEPILEN pokračovať aspoň 2 až 3 dni po vymiznutí horúčky, alebo kým nie je preukázané, že bola odstránená príčina ochorenia.</w:t>
      </w:r>
    </w:p>
    <w:p w14:paraId="2000F5C2" w14:textId="77777777" w:rsidR="007340E8" w:rsidRPr="00E0209A" w:rsidRDefault="007340E8" w:rsidP="00A77916">
      <w:pPr>
        <w:pStyle w:val="Normlndobloku"/>
      </w:pPr>
    </w:p>
    <w:p w14:paraId="5FE0CAB2" w14:textId="77777777" w:rsidR="0017393C" w:rsidRPr="00AD0B7E" w:rsidRDefault="0017393C" w:rsidP="00074623">
      <w:pPr>
        <w:pStyle w:val="Styl2-2"/>
        <w:rPr>
          <w:b/>
          <w:bCs w:val="0"/>
          <w:u w:val="none"/>
        </w:rPr>
      </w:pPr>
      <w:r w:rsidRPr="00AD0B7E">
        <w:rPr>
          <w:b/>
          <w:bCs w:val="0"/>
          <w:u w:val="none"/>
        </w:rPr>
        <w:t>Spôsob podávania</w:t>
      </w:r>
    </w:p>
    <w:p w14:paraId="4DCD09D8" w14:textId="77777777" w:rsidR="0017393C" w:rsidRPr="00E0209A" w:rsidRDefault="0017393C" w:rsidP="00A77916">
      <w:pPr>
        <w:pStyle w:val="Normlndobloku"/>
      </w:pPr>
      <w:r w:rsidRPr="00E0209A">
        <w:t xml:space="preserve">ZEPILEN možno podávať </w:t>
      </w:r>
      <w:proofErr w:type="spellStart"/>
      <w:r w:rsidRPr="00E0209A">
        <w:t>intramuskulárne</w:t>
      </w:r>
      <w:proofErr w:type="spellEnd"/>
      <w:r w:rsidRPr="00E0209A">
        <w:t xml:space="preserve"> alebo intravenózne.</w:t>
      </w:r>
    </w:p>
    <w:p w14:paraId="35F864D1" w14:textId="77777777" w:rsidR="00074623" w:rsidRDefault="00074623" w:rsidP="00B7552D">
      <w:pPr>
        <w:pStyle w:val="Styl3"/>
        <w:spacing w:after="0"/>
        <w:jc w:val="left"/>
      </w:pPr>
    </w:p>
    <w:p w14:paraId="4DFF94FC" w14:textId="43192049" w:rsidR="0017393C" w:rsidRPr="00E0209A" w:rsidRDefault="0017393C" w:rsidP="00B7552D">
      <w:pPr>
        <w:pStyle w:val="Styl3"/>
        <w:spacing w:after="0"/>
        <w:jc w:val="left"/>
      </w:pPr>
      <w:proofErr w:type="spellStart"/>
      <w:r w:rsidRPr="00E0209A">
        <w:t>Intramuskulárna</w:t>
      </w:r>
      <w:proofErr w:type="spellEnd"/>
      <w:r w:rsidRPr="00E0209A">
        <w:t xml:space="preserve"> injekcia</w:t>
      </w:r>
    </w:p>
    <w:p w14:paraId="61036881" w14:textId="4620F175" w:rsidR="0017393C" w:rsidRPr="00E0209A" w:rsidRDefault="0017393C" w:rsidP="00A77916">
      <w:pPr>
        <w:pStyle w:val="Normlndobloku"/>
      </w:pPr>
      <w:r w:rsidRPr="00E0209A">
        <w:t xml:space="preserve">Rozrieďte vodou na injekciu, 0,9 % roztokom chloridu sodného na injekciu alebo 0,5 % roztokom </w:t>
      </w:r>
      <w:proofErr w:type="spellStart"/>
      <w:r w:rsidRPr="00E0209A">
        <w:t>lidokaínu</w:t>
      </w:r>
      <w:proofErr w:type="spellEnd"/>
      <w:r w:rsidR="00074623">
        <w:t>,</w:t>
      </w:r>
      <w:r w:rsidRPr="00E0209A">
        <w:t xml:space="preserve"> podľa nižšie uvedenej tabuľky riedenia. Dôkladne pretrepte do úplného rozpustenia.</w:t>
      </w:r>
    </w:p>
    <w:p w14:paraId="5ACCF859" w14:textId="77777777" w:rsidR="002E0FA7" w:rsidRDefault="002E0FA7" w:rsidP="00A77916">
      <w:pPr>
        <w:pStyle w:val="Normlndobloku"/>
      </w:pPr>
      <w:bookmarkStart w:id="1" w:name="_Hlk56462793"/>
      <w:r>
        <w:t>P</w:t>
      </w:r>
      <w:r w:rsidRPr="00E0209A">
        <w:t xml:space="preserve">re podanie deťom mladším ako jeden rok sa </w:t>
      </w:r>
      <w:proofErr w:type="spellStart"/>
      <w:r w:rsidRPr="00E0209A">
        <w:t>cefazolín</w:t>
      </w:r>
      <w:proofErr w:type="spellEnd"/>
      <w:r w:rsidRPr="00E0209A">
        <w:t xml:space="preserve"> </w:t>
      </w:r>
      <w:r w:rsidRPr="00E0209A">
        <w:rPr>
          <w:u w:val="single"/>
        </w:rPr>
        <w:t>nesmie</w:t>
      </w:r>
      <w:r w:rsidRPr="00E0209A">
        <w:t xml:space="preserve"> rozpúšťať v roztoku </w:t>
      </w:r>
      <w:proofErr w:type="spellStart"/>
      <w:r w:rsidRPr="00E0209A">
        <w:t>lidokaínu</w:t>
      </w:r>
      <w:proofErr w:type="spellEnd"/>
      <w:r>
        <w:t>.</w:t>
      </w:r>
      <w:bookmarkEnd w:id="1"/>
    </w:p>
    <w:p w14:paraId="04606639" w14:textId="77777777" w:rsidR="0017393C" w:rsidRPr="00E0209A" w:rsidRDefault="0017393C" w:rsidP="00D42F90">
      <w:pPr>
        <w:pStyle w:val="Normlndobloku"/>
      </w:pPr>
      <w:r w:rsidRPr="00E0209A">
        <w:t>ZEPILEN má byť aplikovaný do veľkého svalu.</w:t>
      </w:r>
    </w:p>
    <w:p w14:paraId="013E3DCD" w14:textId="77777777" w:rsidR="0017393C" w:rsidRPr="00E0209A" w:rsidRDefault="0017393C" w:rsidP="00B7552D">
      <w:pPr>
        <w:pStyle w:val="Normlndobloku"/>
      </w:pPr>
      <w:r w:rsidRPr="00E0209A">
        <w:lastRenderedPageBreak/>
        <w:t xml:space="preserve">Čerstvo rozpustený roztok sa musí ihneď použiť. Ak bol roztok pripravený s vodou na injekciu, </w:t>
      </w:r>
      <w:r w:rsidR="00586ED1">
        <w:t xml:space="preserve">v prípade potreby </w:t>
      </w:r>
      <w:r w:rsidRPr="00E0209A">
        <w:t>je možné ho uchovať po dobu 24 hodín pri 2 °C – 8 °C.</w:t>
      </w:r>
    </w:p>
    <w:p w14:paraId="4BD59194" w14:textId="77777777" w:rsidR="0017393C" w:rsidRPr="00E0209A" w:rsidRDefault="0017393C" w:rsidP="00B7552D">
      <w:pPr>
        <w:pStyle w:val="Normlndobloku"/>
      </w:pPr>
      <w:r w:rsidRPr="00E0209A">
        <w:t>Tabuľka riedenia:</w:t>
      </w:r>
    </w:p>
    <w:tbl>
      <w:tblPr>
        <w:tblpPr w:leftFromText="142" w:rightFromText="142" w:bottom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  <w:gridCol w:w="2321"/>
        <w:gridCol w:w="2321"/>
      </w:tblGrid>
      <w:tr w:rsidR="0017393C" w:rsidRPr="00E0209A" w14:paraId="1A457A35" w14:textId="77777777" w:rsidTr="0017393C">
        <w:tc>
          <w:tcPr>
            <w:tcW w:w="2319" w:type="dxa"/>
            <w:vAlign w:val="center"/>
          </w:tcPr>
          <w:p w14:paraId="5B3EA5C5" w14:textId="2123663D" w:rsidR="0017393C" w:rsidRPr="00E0209A" w:rsidRDefault="0017393C" w:rsidP="00B7552D">
            <w:pPr>
              <w:pStyle w:val="Nadpisuvnittabulky"/>
            </w:pPr>
            <w:r w:rsidRPr="00E0209A">
              <w:t xml:space="preserve">Obsah </w:t>
            </w:r>
            <w:r w:rsidR="00371819">
              <w:t>injekčnej liekovky</w:t>
            </w:r>
            <w:r w:rsidRPr="00E0209A">
              <w:rPr>
                <w:rStyle w:val="shorttext"/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0D6A550E" w14:textId="77777777" w:rsidR="0017393C" w:rsidRPr="00E0209A" w:rsidRDefault="0017393C" w:rsidP="00B7552D">
            <w:pPr>
              <w:pStyle w:val="Nadpisuvnittabulky"/>
            </w:pPr>
            <w:r w:rsidRPr="00E0209A">
              <w:t>Objem rozpúšťadla</w:t>
            </w:r>
          </w:p>
        </w:tc>
        <w:tc>
          <w:tcPr>
            <w:tcW w:w="2321" w:type="dxa"/>
            <w:vAlign w:val="center"/>
          </w:tcPr>
          <w:p w14:paraId="434DAF6F" w14:textId="77777777" w:rsidR="0017393C" w:rsidRPr="00E0209A" w:rsidRDefault="00586ED1" w:rsidP="00B7552D">
            <w:pPr>
              <w:pStyle w:val="Nadpisuvnittabulky"/>
            </w:pPr>
            <w:r>
              <w:t>Priemerná</w:t>
            </w:r>
            <w:r w:rsidRPr="00E0209A">
              <w:t xml:space="preserve"> </w:t>
            </w:r>
            <w:r w:rsidR="0017393C" w:rsidRPr="00E0209A">
              <w:t>výsledná koncentrácia</w:t>
            </w:r>
          </w:p>
        </w:tc>
        <w:tc>
          <w:tcPr>
            <w:tcW w:w="2321" w:type="dxa"/>
            <w:vAlign w:val="center"/>
          </w:tcPr>
          <w:p w14:paraId="16501BC1" w14:textId="77777777" w:rsidR="0017393C" w:rsidRPr="00E0209A" w:rsidRDefault="00586ED1" w:rsidP="00B7552D">
            <w:pPr>
              <w:pStyle w:val="Nadpisuvnittabulky"/>
            </w:pPr>
            <w:r>
              <w:t>Priemerný</w:t>
            </w:r>
            <w:r w:rsidRPr="00E0209A">
              <w:t xml:space="preserve"> </w:t>
            </w:r>
            <w:r w:rsidR="0017393C" w:rsidRPr="00E0209A">
              <w:t>využiteľný objem</w:t>
            </w:r>
          </w:p>
        </w:tc>
      </w:tr>
      <w:tr w:rsidR="0017393C" w:rsidRPr="00E0209A" w14:paraId="04699D2C" w14:textId="77777777" w:rsidTr="0017393C">
        <w:trPr>
          <w:trHeight w:val="504"/>
        </w:trPr>
        <w:tc>
          <w:tcPr>
            <w:tcW w:w="2319" w:type="dxa"/>
            <w:vAlign w:val="center"/>
          </w:tcPr>
          <w:p w14:paraId="766DF47B" w14:textId="77777777" w:rsidR="0017393C" w:rsidRPr="00E0209A" w:rsidRDefault="0017393C" w:rsidP="00A77916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 g</w:t>
            </w:r>
          </w:p>
        </w:tc>
        <w:tc>
          <w:tcPr>
            <w:tcW w:w="2319" w:type="dxa"/>
            <w:vAlign w:val="center"/>
          </w:tcPr>
          <w:p w14:paraId="7348F97B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2,5 ml</w:t>
            </w:r>
          </w:p>
        </w:tc>
        <w:tc>
          <w:tcPr>
            <w:tcW w:w="2321" w:type="dxa"/>
            <w:vAlign w:val="center"/>
          </w:tcPr>
          <w:p w14:paraId="5197EBFA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330 mg/ml</w:t>
            </w:r>
          </w:p>
        </w:tc>
        <w:tc>
          <w:tcPr>
            <w:tcW w:w="2321" w:type="dxa"/>
            <w:vAlign w:val="center"/>
          </w:tcPr>
          <w:p w14:paraId="4C44BF3E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3,0 ml</w:t>
            </w:r>
          </w:p>
        </w:tc>
      </w:tr>
    </w:tbl>
    <w:p w14:paraId="62BF46D2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Intravenózne podanie</w:t>
      </w:r>
    </w:p>
    <w:p w14:paraId="5F0CDC13" w14:textId="77777777" w:rsidR="0017393C" w:rsidRPr="00E0209A" w:rsidRDefault="0017393C" w:rsidP="00A77916">
      <w:pPr>
        <w:pStyle w:val="Normlndobloku"/>
      </w:pPr>
      <w:r w:rsidRPr="00E0209A">
        <w:t xml:space="preserve">ZEPILEN môže byť podaný priamo intravenózne, </w:t>
      </w:r>
      <w:proofErr w:type="spellStart"/>
      <w:r w:rsidRPr="00E0209A">
        <w:t>intermitentnou</w:t>
      </w:r>
      <w:proofErr w:type="spellEnd"/>
      <w:r w:rsidRPr="00E0209A">
        <w:t xml:space="preserve"> infúziou alebo kontinuálnou infúziou. Celková denná dávka je rovnaká ako pre </w:t>
      </w:r>
      <w:proofErr w:type="spellStart"/>
      <w:r w:rsidRPr="00E0209A">
        <w:t>intramuskulárne</w:t>
      </w:r>
      <w:proofErr w:type="spellEnd"/>
      <w:r w:rsidRPr="00E0209A">
        <w:t xml:space="preserve"> podanie.</w:t>
      </w:r>
    </w:p>
    <w:p w14:paraId="2876F4C6" w14:textId="77777777" w:rsidR="00074623" w:rsidRDefault="00074623" w:rsidP="00B7552D">
      <w:pPr>
        <w:pStyle w:val="Styl3"/>
        <w:spacing w:after="0"/>
        <w:jc w:val="left"/>
      </w:pPr>
    </w:p>
    <w:p w14:paraId="0B63B36D" w14:textId="78DBEF44" w:rsidR="0017393C" w:rsidRPr="00E0209A" w:rsidRDefault="0017393C" w:rsidP="00B7552D">
      <w:pPr>
        <w:pStyle w:val="Styl3"/>
        <w:spacing w:after="0"/>
        <w:jc w:val="left"/>
      </w:pPr>
      <w:proofErr w:type="spellStart"/>
      <w:r w:rsidRPr="00E0209A">
        <w:t>Intermitentná</w:t>
      </w:r>
      <w:proofErr w:type="spellEnd"/>
      <w:r w:rsidRPr="00E0209A">
        <w:t xml:space="preserve"> a kontinuálna infúzia</w:t>
      </w:r>
    </w:p>
    <w:p w14:paraId="0AE70D01" w14:textId="77777777" w:rsidR="0017393C" w:rsidRPr="00E0209A" w:rsidRDefault="0017393C" w:rsidP="00A77916">
      <w:pPr>
        <w:pStyle w:val="Normlndobloku"/>
      </w:pPr>
      <w:r w:rsidRPr="00E0209A">
        <w:t>ZEPILEN môže byť podaný v rámci prebiehajúcej intravenóznej liečby, v primárnej alebo sekundárnej intravenóznej fľaši.</w:t>
      </w:r>
    </w:p>
    <w:p w14:paraId="5CEA9FE0" w14:textId="6615F12C" w:rsidR="0017393C" w:rsidRPr="00E0209A" w:rsidRDefault="0017393C" w:rsidP="00A77916">
      <w:pPr>
        <w:pStyle w:val="Normlndobloku"/>
      </w:pPr>
      <w:r w:rsidRPr="00E0209A">
        <w:t xml:space="preserve">500 mg až 2 g </w:t>
      </w:r>
      <w:r w:rsidR="00074623">
        <w:t xml:space="preserve">lieku </w:t>
      </w:r>
      <w:r w:rsidRPr="00E0209A">
        <w:t>ZEPILEN môže byť rozpustené v </w:t>
      </w:r>
      <w:r w:rsidR="006B48B8" w:rsidRPr="00E0209A">
        <w:t xml:space="preserve">50 až 100 ml </w:t>
      </w:r>
      <w:r w:rsidRPr="00E0209A">
        <w:t>nasledovných intravenóznych roztoko</w:t>
      </w:r>
      <w:r w:rsidR="006B48B8">
        <w:t>v</w:t>
      </w:r>
      <w:r w:rsidRPr="00E0209A">
        <w:t>:</w:t>
      </w:r>
    </w:p>
    <w:p w14:paraId="30043D47" w14:textId="77777777" w:rsidR="0017393C" w:rsidRPr="00E0209A" w:rsidRDefault="0017393C" w:rsidP="00A77916">
      <w:pPr>
        <w:pStyle w:val="Normlndoblokusodrkami"/>
      </w:pPr>
      <w:r w:rsidRPr="00E0209A">
        <w:t>0,9 % chlorid sodný</w:t>
      </w:r>
    </w:p>
    <w:p w14:paraId="2DAF8BA9" w14:textId="77777777" w:rsidR="0017393C" w:rsidRPr="00E0209A" w:rsidRDefault="0017393C" w:rsidP="00D42F90">
      <w:pPr>
        <w:pStyle w:val="Normlndoblokusodrkami"/>
      </w:pPr>
      <w:r w:rsidRPr="00E0209A">
        <w:t>0,9% chlorid sodný a 5% roztok glukózy</w:t>
      </w:r>
    </w:p>
    <w:p w14:paraId="428D9515" w14:textId="77777777" w:rsidR="0017393C" w:rsidRPr="00E0209A" w:rsidRDefault="0017393C" w:rsidP="00B7552D">
      <w:pPr>
        <w:pStyle w:val="Normlndoblokusodrkami"/>
      </w:pPr>
      <w:r w:rsidRPr="00E0209A">
        <w:t>Ringerov roztok s laktátom</w:t>
      </w:r>
    </w:p>
    <w:p w14:paraId="4C9D136E" w14:textId="77777777" w:rsidR="0017393C" w:rsidRPr="00E0209A" w:rsidRDefault="0017393C" w:rsidP="00B7552D">
      <w:pPr>
        <w:pStyle w:val="Normlndobloku"/>
      </w:pPr>
      <w:r w:rsidRPr="00E0209A">
        <w:t xml:space="preserve">Čerstvo rozpustený roztok sa </w:t>
      </w:r>
      <w:r w:rsidR="006B48B8">
        <w:t>odporúča</w:t>
      </w:r>
      <w:r w:rsidRPr="00E0209A">
        <w:t xml:space="preserve"> ihneď použiť. Roztok je stabilný 24 hodín pri uchovávaní v chladničke od 2 °C až do 8 °C.</w:t>
      </w:r>
    </w:p>
    <w:p w14:paraId="6038EB3E" w14:textId="77777777" w:rsidR="00074623" w:rsidRDefault="00074623" w:rsidP="00B7552D">
      <w:pPr>
        <w:pStyle w:val="Styl3"/>
        <w:spacing w:after="0"/>
        <w:jc w:val="left"/>
      </w:pPr>
    </w:p>
    <w:p w14:paraId="40FF43C5" w14:textId="4568CACD" w:rsidR="0017393C" w:rsidRPr="00E0209A" w:rsidRDefault="0017393C" w:rsidP="00B7552D">
      <w:pPr>
        <w:pStyle w:val="Styl3"/>
        <w:spacing w:after="0"/>
        <w:jc w:val="left"/>
      </w:pPr>
      <w:r w:rsidRPr="00E0209A">
        <w:t>Priama intravenózna injekcia</w:t>
      </w:r>
    </w:p>
    <w:p w14:paraId="1BD7AA1F" w14:textId="77777777" w:rsidR="0017393C" w:rsidRPr="00E0209A" w:rsidRDefault="0017393C" w:rsidP="00A77916">
      <w:pPr>
        <w:pStyle w:val="Normlndobloku"/>
      </w:pPr>
      <w:r w:rsidRPr="00E0209A">
        <w:t xml:space="preserve">ZEPILEN sa najprv rozpustí v 2,5 ml vody na injekciu (postupom uvedeným vyššie v bode </w:t>
      </w:r>
      <w:proofErr w:type="spellStart"/>
      <w:r w:rsidRPr="00E0209A">
        <w:t>Intramuskulárne</w:t>
      </w:r>
      <w:proofErr w:type="spellEnd"/>
      <w:r w:rsidRPr="00E0209A">
        <w:t xml:space="preserve"> injekcie) a ďalej sa nariedi s vodou na injekciu minimálne na 10 ml. Aplikuje sa pomaly počas troch až piatich minút. V žiadnom prípade neskracujte dobu podávania na menej </w:t>
      </w:r>
      <w:r w:rsidR="006B48B8">
        <w:t>ako</w:t>
      </w:r>
      <w:r w:rsidRPr="00E0209A">
        <w:t xml:space="preserve"> 3</w:t>
      </w:r>
      <w:r w:rsidR="006B48B8">
        <w:t> </w:t>
      </w:r>
      <w:r w:rsidRPr="00E0209A">
        <w:t>minúty. Možno podať priamo do žily alebo do kanýl, ktorými pacient dostáva vyššie uvedené intravenózne roztoky.</w:t>
      </w:r>
    </w:p>
    <w:p w14:paraId="3BA61AAA" w14:textId="77777777" w:rsidR="0017393C" w:rsidRPr="00E0209A" w:rsidRDefault="0017393C" w:rsidP="00A77916">
      <w:pPr>
        <w:pStyle w:val="Normlndobloku"/>
      </w:pPr>
      <w:r w:rsidRPr="00E0209A">
        <w:t xml:space="preserve">Čerstvo rozpustený roztok sa </w:t>
      </w:r>
      <w:r w:rsidR="006B48B8">
        <w:t>odporúča</w:t>
      </w:r>
      <w:r w:rsidRPr="00E0209A">
        <w:t xml:space="preserve"> ihneď použiť. Ak je to </w:t>
      </w:r>
      <w:r w:rsidR="004415CC" w:rsidRPr="00E0209A">
        <w:t>potrebné</w:t>
      </w:r>
      <w:r w:rsidRPr="00E0209A">
        <w:t xml:space="preserve">, roztok je </w:t>
      </w:r>
      <w:r w:rsidR="004415CC" w:rsidRPr="00E0209A">
        <w:t>možné uchovať</w:t>
      </w:r>
      <w:r w:rsidRPr="00E0209A">
        <w:t xml:space="preserve"> 24</w:t>
      </w:r>
      <w:r w:rsidR="006B48B8">
        <w:t> </w:t>
      </w:r>
      <w:r w:rsidRPr="00E0209A">
        <w:t xml:space="preserve">hodín v chladničke </w:t>
      </w:r>
      <w:r w:rsidR="004415CC" w:rsidRPr="00E0209A">
        <w:t>pri teplote 2 °C – 8 °C</w:t>
      </w:r>
      <w:r w:rsidRPr="00E0209A">
        <w:t>.</w:t>
      </w:r>
    </w:p>
    <w:p w14:paraId="6E59B675" w14:textId="77777777" w:rsidR="0017393C" w:rsidRPr="00E0209A" w:rsidRDefault="0017393C" w:rsidP="00D42F90">
      <w:pPr>
        <w:pStyle w:val="Normlndobloku"/>
      </w:pPr>
      <w:r w:rsidRPr="00E0209A">
        <w:t>Poznámka: Jednotlivé dávky väčšie ako 1 g sa majú podať v priebehu 30 až 60 minút.</w:t>
      </w:r>
    </w:p>
    <w:p w14:paraId="02B9AA62" w14:textId="77777777" w:rsidR="0017393C" w:rsidRDefault="0017393C" w:rsidP="00B7552D">
      <w:pPr>
        <w:pStyle w:val="Normlndobloku"/>
      </w:pPr>
      <w:r w:rsidRPr="00E0209A">
        <w:t>Ďalšie pokyny</w:t>
      </w:r>
      <w:r w:rsidR="004415CC" w:rsidRPr="00E0209A">
        <w:t xml:space="preserve"> - </w:t>
      </w:r>
      <w:r w:rsidRPr="00E0209A">
        <w:t>pozri časť 6.6.</w:t>
      </w:r>
    </w:p>
    <w:p w14:paraId="27CA1917" w14:textId="77777777" w:rsidR="00D6224B" w:rsidRPr="00E0209A" w:rsidRDefault="00D6224B" w:rsidP="00B7552D">
      <w:pPr>
        <w:pStyle w:val="Normlndobloku"/>
      </w:pPr>
    </w:p>
    <w:p w14:paraId="0F3156A3" w14:textId="77777777" w:rsidR="0017393C" w:rsidRDefault="0017393C" w:rsidP="00B7552D">
      <w:pPr>
        <w:pStyle w:val="Styl2"/>
        <w:spacing w:before="0" w:after="0"/>
      </w:pPr>
      <w:r w:rsidRPr="00E0209A">
        <w:t>Kontraindikácie</w:t>
      </w:r>
    </w:p>
    <w:p w14:paraId="72D55612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7D53ECD7" w14:textId="77777777" w:rsidR="0017393C" w:rsidRPr="00E0209A" w:rsidRDefault="0017393C" w:rsidP="00A77916">
      <w:pPr>
        <w:pStyle w:val="Normlndoblokusodrkami"/>
      </w:pPr>
      <w:r w:rsidRPr="00E0209A">
        <w:t>precitlivenosť na cefazolín a iné cefalosporínové antibiotiká</w:t>
      </w:r>
    </w:p>
    <w:p w14:paraId="7373057B" w14:textId="33A66306" w:rsidR="007210CD" w:rsidRPr="007210CD" w:rsidRDefault="0017393C" w:rsidP="007210CD">
      <w:pPr>
        <w:pStyle w:val="Normlndoblokusodrkami"/>
      </w:pPr>
      <w:r w:rsidRPr="00E0209A">
        <w:t>predchádzajúca závažná reakcia precitlivenosti na penicilín alebo iný typ beta</w:t>
      </w:r>
      <w:r w:rsidR="00066D2F">
        <w:t>-</w:t>
      </w:r>
      <w:r w:rsidRPr="00E0209A">
        <w:t>laktámového antibiotika</w:t>
      </w:r>
    </w:p>
    <w:p w14:paraId="22F035B0" w14:textId="77777777" w:rsidR="0017393C" w:rsidRPr="00E0209A" w:rsidRDefault="0017393C" w:rsidP="00B7552D">
      <w:pPr>
        <w:pStyle w:val="Normlndoblokusodrkami"/>
      </w:pPr>
      <w:r w:rsidRPr="00E0209A">
        <w:t xml:space="preserve">pre podanie deťom mladším ako jeden rok sa cefazolín </w:t>
      </w:r>
      <w:r w:rsidRPr="00E0209A">
        <w:rPr>
          <w:u w:val="single"/>
        </w:rPr>
        <w:t>nesmie</w:t>
      </w:r>
      <w:r w:rsidRPr="00E0209A">
        <w:t xml:space="preserve"> rozpúšťať v roztoku lidokaínu</w:t>
      </w:r>
    </w:p>
    <w:p w14:paraId="74485E87" w14:textId="77777777" w:rsidR="00D6224B" w:rsidRDefault="0017393C" w:rsidP="00B7552D">
      <w:pPr>
        <w:pStyle w:val="Normlndoblokusodrkami"/>
      </w:pPr>
      <w:r w:rsidRPr="00E0209A">
        <w:t xml:space="preserve">ak je pre riedenie použitý lidokaín, musia byť pred intramuskulárnym podaním vylúčené kontraindikácie </w:t>
      </w:r>
      <w:r w:rsidR="00B476B4">
        <w:t xml:space="preserve">pre </w:t>
      </w:r>
      <w:r w:rsidRPr="00E0209A">
        <w:t>lidokaín</w:t>
      </w:r>
    </w:p>
    <w:p w14:paraId="175F46B9" w14:textId="77777777" w:rsidR="0017393C" w:rsidRPr="00E0209A" w:rsidRDefault="0017393C" w:rsidP="00B7552D">
      <w:pPr>
        <w:pStyle w:val="Normlndoblokusodrkami"/>
        <w:numPr>
          <w:ilvl w:val="0"/>
          <w:numId w:val="0"/>
        </w:numPr>
        <w:ind w:left="720"/>
      </w:pPr>
    </w:p>
    <w:p w14:paraId="3D28ED6A" w14:textId="77777777" w:rsidR="0017393C" w:rsidRDefault="0017393C" w:rsidP="00B7552D">
      <w:pPr>
        <w:pStyle w:val="Styl2"/>
        <w:spacing w:before="0" w:after="0"/>
      </w:pPr>
      <w:r w:rsidRPr="00E0209A">
        <w:t>Osobitné upozornenia a opatrenia pri používaní</w:t>
      </w:r>
    </w:p>
    <w:p w14:paraId="6628DCEA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48AFDBF1" w14:textId="77777777" w:rsidR="0017393C" w:rsidRPr="00E0209A" w:rsidRDefault="0017393C" w:rsidP="00A77916">
      <w:pPr>
        <w:pStyle w:val="Normlndoblokusodrkami"/>
      </w:pPr>
      <w:r w:rsidRPr="00E0209A">
        <w:t xml:space="preserve">Pred začatím liečby cefazolínom je potrebné starostlivo </w:t>
      </w:r>
      <w:r w:rsidR="00B476B4">
        <w:t>preveriť</w:t>
      </w:r>
      <w:r w:rsidRPr="00E0209A">
        <w:t>, či pacient nemal predchádzajúce reakcie precitlivenosti na cefalosporíny a penicilíny. Cefalosporíny sa nemajú používať u pacientov, ktorí po ich podaní v minulosti mali okamžitú reakciu precitlivenosti. V prípade pochybností má byť lekár pri prvom podaní cefazolínu prítomný, aby mohol reagovať na prípadnú anafylaktickú reakciu. Existujú dôkazy o skríženej alergii medzi penicilínmi a cefalosporínmi.</w:t>
      </w:r>
    </w:p>
    <w:p w14:paraId="1D958BB6" w14:textId="77777777" w:rsidR="0017393C" w:rsidRPr="00E0209A" w:rsidRDefault="0017393C" w:rsidP="00D42F90">
      <w:pPr>
        <w:pStyle w:val="Normlndoblokusodrkami"/>
      </w:pPr>
      <w:r w:rsidRPr="00E0209A">
        <w:t>V prípade alergickej reakcie pri užívaní lieku ZEPILEN má byť podávanie tohto lieku ukončené a pacient má dostať vhodnú liečbu.</w:t>
      </w:r>
    </w:p>
    <w:p w14:paraId="0D1D92D2" w14:textId="72D21BF8" w:rsidR="0017393C" w:rsidRPr="00E0209A" w:rsidRDefault="0017393C" w:rsidP="00B7552D">
      <w:pPr>
        <w:pStyle w:val="Normlndoblokusodrkami"/>
      </w:pPr>
      <w:r w:rsidRPr="00E0209A">
        <w:lastRenderedPageBreak/>
        <w:t xml:space="preserve">Hoci cefazolín spôsobuje renálnu dysfunkciu len </w:t>
      </w:r>
      <w:r w:rsidR="00B476B4">
        <w:t>zriedkavo</w:t>
      </w:r>
      <w:r w:rsidRPr="00E0209A">
        <w:t>, je odporúčané skontrolovať funkciu obličiek, predovšetkým u ťažko chorých pacientov, ktorí dostávajú maximálne dávky</w:t>
      </w:r>
      <w:r w:rsidR="006B48B8">
        <w:t>,</w:t>
      </w:r>
      <w:r w:rsidRPr="00E0209A">
        <w:t xml:space="preserve"> a u pacientov sú</w:t>
      </w:r>
      <w:r w:rsidR="0016412F">
        <w:t>bež</w:t>
      </w:r>
      <w:r w:rsidRPr="00E0209A">
        <w:t xml:space="preserve">ne užívajúcich iné potenciálne nefrotoxické látky, ako sú aminoglykozidy alebo silné diuretiká (napr. furosemid alebo etakrynová kyselina). U pacientov s poruchou funkcie obličiek </w:t>
      </w:r>
      <w:r w:rsidR="00B476B4">
        <w:t xml:space="preserve">môže dôjsť k zvýšeniu koncentrácie antibiotík v plazme ako aj k ich spomalenému odbúravaniu. </w:t>
      </w:r>
      <w:r w:rsidRPr="00E0209A">
        <w:t>V tejto súvislosti sa celková denná dávka cefazolínu znižuje (pozri časť 4.2). Toto platí aj pre pacientov s nízkou diurézou v dôsledku zlej funkcie obličiek.</w:t>
      </w:r>
    </w:p>
    <w:p w14:paraId="429643A0" w14:textId="77777777" w:rsidR="0017393C" w:rsidRPr="00E0209A" w:rsidRDefault="0017393C" w:rsidP="00B7552D">
      <w:pPr>
        <w:pStyle w:val="Normlndoblokusodrkami"/>
      </w:pPr>
      <w:r w:rsidRPr="00E0209A">
        <w:t>Pri používaní antibiotík sa môže objaviť pseudomembranózna kolitída. Je dôležité vziať túto diagnózu do úvahy, ak sa u pacientov počas liečby týmito liekmi objavia hnačky. V takom prípade sa majú prijať zodpovedajúce opatrenia. Pozri tiež časť 4.8.</w:t>
      </w:r>
    </w:p>
    <w:p w14:paraId="19AD39F4" w14:textId="77777777" w:rsidR="0017393C" w:rsidRPr="00E0209A" w:rsidRDefault="0017393C" w:rsidP="00B7552D">
      <w:pPr>
        <w:pStyle w:val="Normlndoblokusodrkami"/>
      </w:pPr>
      <w:r w:rsidRPr="00E0209A">
        <w:t>Dlhotrvajúce používanie cefazolínu môže viesť k premnoženiu necitlivých mikroorganizmov. Je preto dôležité pacienta priebežne klinicky sledovať. Ak dôjde v priebehu liečby k superinfekcii, je potrebné urobiť vhodné opatrenia.</w:t>
      </w:r>
    </w:p>
    <w:p w14:paraId="2594FD8A" w14:textId="77777777" w:rsidR="0017393C" w:rsidRPr="00E0209A" w:rsidRDefault="0017393C" w:rsidP="00B7552D">
      <w:pPr>
        <w:pStyle w:val="Normlndoblokusodrkami"/>
      </w:pPr>
      <w:r w:rsidRPr="00E0209A">
        <w:t>Intratekálne podanie sa neodporúča. Po intratekálnom podaní cefazolínu bola hlásená závažná intoxikácia centrálneho nervového systému, vrátane záchvatov.</w:t>
      </w:r>
    </w:p>
    <w:p w14:paraId="5FCF5DF0" w14:textId="77777777" w:rsidR="0017393C" w:rsidRPr="00E0209A" w:rsidRDefault="0017393C" w:rsidP="00B7552D">
      <w:pPr>
        <w:pStyle w:val="Normlndoblokusodrkami"/>
      </w:pPr>
      <w:r w:rsidRPr="00E0209A">
        <w:t xml:space="preserve">Vzhľadom </w:t>
      </w:r>
      <w:r w:rsidR="00525748">
        <w:t>na to</w:t>
      </w:r>
      <w:r w:rsidRPr="00E0209A">
        <w:t>, že bezpečnosť použitia u nedonosených detí a dojčiat mladších ako jeden mesiac nebola stanovená, použitie lieku ZEPILEN sa u týchto pacientov neodporúča (pozri časť 4.2).</w:t>
      </w:r>
    </w:p>
    <w:p w14:paraId="3153B2FB" w14:textId="77777777" w:rsidR="0017393C" w:rsidRDefault="0017393C" w:rsidP="00B7552D">
      <w:pPr>
        <w:pStyle w:val="Normlndoblokusodrkami"/>
      </w:pPr>
      <w:r w:rsidRPr="00E0209A">
        <w:t xml:space="preserve">Vo výnimočných prípadoch sa v priebehu liečby cefazolínom objavujú poruchy zrážanlivosti krvi. Rizikové faktory sú faktory spôsobujúce nedostatok vitamínu K alebo faktory ovplyvňujúce ďalšie koagulačné mechanizmy (parenterálna výživa, nedostatočná výživa, pečeňové a obličkové zlyhanie, trombocytopénia). Zrážanie krvi môže byť tiež narušené v prípade pridružených </w:t>
      </w:r>
      <w:r w:rsidR="00B476B4">
        <w:t>ochorení</w:t>
      </w:r>
      <w:r w:rsidR="00B476B4" w:rsidRPr="00E0209A">
        <w:t xml:space="preserve"> </w:t>
      </w:r>
      <w:r w:rsidRPr="00E0209A">
        <w:t>(napr. hemofília, vredy žalúdka a dvanástnika), ktoré môžu vyvolať alebo zhoršiť krvácanie. Preto sa u týchto pacientov má sledovať protrombínový čas</w:t>
      </w:r>
      <w:r w:rsidRPr="001F0142">
        <w:t xml:space="preserve">. </w:t>
      </w:r>
      <w:r w:rsidR="00DE12AE" w:rsidRPr="001F0142">
        <w:t>Ak je predĺžený, odporúča sa podať vitamín K (10 mg/týždeň).</w:t>
      </w:r>
    </w:p>
    <w:p w14:paraId="73060526" w14:textId="77777777" w:rsidR="00EA0CA6" w:rsidRPr="00321F5F" w:rsidRDefault="00EA0CA6" w:rsidP="00AD0B7E">
      <w:pPr>
        <w:pStyle w:val="Normlndobloku"/>
      </w:pPr>
    </w:p>
    <w:p w14:paraId="490064F6" w14:textId="77777777" w:rsidR="00EA0CA6" w:rsidRDefault="00EA0CA6" w:rsidP="00EA0CA6">
      <w:pPr>
        <w:pStyle w:val="Normlndoblokusodrkami"/>
        <w:numPr>
          <w:ilvl w:val="0"/>
          <w:numId w:val="0"/>
        </w:numPr>
      </w:pPr>
      <w:r>
        <w:rPr>
          <w:noProof w:val="0"/>
        </w:rPr>
        <w:t xml:space="preserve">Tento liek obsahuje </w:t>
      </w:r>
      <w:r w:rsidRPr="00B0750C">
        <w:rPr>
          <w:noProof w:val="0"/>
        </w:rPr>
        <w:t xml:space="preserve">2,1 mmol </w:t>
      </w:r>
      <w:r>
        <w:rPr>
          <w:noProof w:val="0"/>
        </w:rPr>
        <w:t>(48,3 mg) sodíka v jednej injekčnej liekovke čo zodpovedá 2,4 % WHO odporúčaného</w:t>
      </w:r>
      <w:r>
        <w:t xml:space="preserve"> maximálneho denného príjmu 2 g sodíka pre dospelú osobu."</w:t>
      </w:r>
    </w:p>
    <w:p w14:paraId="2F2E0969" w14:textId="77777777" w:rsidR="00EA0CA6" w:rsidRPr="00321F5F" w:rsidRDefault="00EA0CA6" w:rsidP="00AD0B7E">
      <w:pPr>
        <w:pStyle w:val="Normlndobloku"/>
      </w:pPr>
    </w:p>
    <w:p w14:paraId="6E328D1C" w14:textId="77777777" w:rsidR="0017393C" w:rsidRDefault="0017393C" w:rsidP="00B7552D">
      <w:pPr>
        <w:pStyle w:val="Normlndobloku"/>
      </w:pPr>
      <w:r w:rsidRPr="00E0209A">
        <w:t xml:space="preserve">V prípade </w:t>
      </w:r>
      <w:proofErr w:type="spellStart"/>
      <w:r w:rsidRPr="00E0209A">
        <w:t>intramuskulárneho</w:t>
      </w:r>
      <w:proofErr w:type="spellEnd"/>
      <w:r w:rsidRPr="00E0209A">
        <w:t xml:space="preserve"> podania </w:t>
      </w:r>
      <w:proofErr w:type="spellStart"/>
      <w:r w:rsidRPr="00E0209A">
        <w:t>cefazolínu</w:t>
      </w:r>
      <w:proofErr w:type="spellEnd"/>
      <w:r w:rsidRPr="00E0209A">
        <w:t xml:space="preserve"> rekonštituovaného roztokom </w:t>
      </w:r>
      <w:proofErr w:type="spellStart"/>
      <w:r w:rsidRPr="00E0209A">
        <w:t>lidokaínu</w:t>
      </w:r>
      <w:proofErr w:type="spellEnd"/>
      <w:r w:rsidRPr="00E0209A">
        <w:t xml:space="preserve"> je potrebné brať do úvahy aj súhrn charakteristických vlastností lieku pre </w:t>
      </w:r>
      <w:proofErr w:type="spellStart"/>
      <w:r w:rsidRPr="00E0209A">
        <w:t>lidokaín</w:t>
      </w:r>
      <w:proofErr w:type="spellEnd"/>
      <w:r w:rsidRPr="00E0209A">
        <w:t>.</w:t>
      </w:r>
    </w:p>
    <w:p w14:paraId="245C56C5" w14:textId="77777777" w:rsidR="00B0750C" w:rsidRPr="00E0209A" w:rsidRDefault="00B0750C" w:rsidP="00B0750C">
      <w:pPr>
        <w:pStyle w:val="Normlndobloku"/>
      </w:pPr>
    </w:p>
    <w:p w14:paraId="0579971E" w14:textId="77777777" w:rsidR="0017393C" w:rsidRDefault="0017393C" w:rsidP="00B7552D">
      <w:pPr>
        <w:pStyle w:val="Styl2"/>
        <w:spacing w:before="0" w:after="0"/>
      </w:pPr>
      <w:r w:rsidRPr="00E0209A">
        <w:t>Liekové a iné interakcie</w:t>
      </w:r>
    </w:p>
    <w:p w14:paraId="24A6FB52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35042CB7" w14:textId="123DCC79" w:rsidR="0017393C" w:rsidRPr="00E0209A" w:rsidRDefault="00EA5624" w:rsidP="00B7552D">
      <w:pPr>
        <w:pStyle w:val="Styl3"/>
        <w:spacing w:after="0"/>
        <w:jc w:val="left"/>
      </w:pPr>
      <w:r>
        <w:t>Neodporúčané</w:t>
      </w:r>
      <w:r w:rsidR="0017393C" w:rsidRPr="00E0209A">
        <w:t xml:space="preserve"> kombinácie</w:t>
      </w:r>
    </w:p>
    <w:p w14:paraId="7C343D98" w14:textId="77777777" w:rsidR="0017393C" w:rsidRPr="00E0209A" w:rsidRDefault="0017393C" w:rsidP="00A77916">
      <w:pPr>
        <w:pStyle w:val="Normlndobloku"/>
        <w:rPr>
          <w:rStyle w:val="Bacil"/>
        </w:rPr>
      </w:pPr>
      <w:r w:rsidRPr="00E0209A">
        <w:rPr>
          <w:rStyle w:val="Bacil"/>
        </w:rPr>
        <w:t>Antibiotiká</w:t>
      </w:r>
    </w:p>
    <w:p w14:paraId="7B2BFD9B" w14:textId="67D9F5DA" w:rsidR="0017393C" w:rsidRPr="00E0209A" w:rsidRDefault="0017393C" w:rsidP="00A77916">
      <w:pPr>
        <w:pStyle w:val="Normlndobloku"/>
      </w:pPr>
      <w:r w:rsidRPr="00E0209A">
        <w:t>Sú</w:t>
      </w:r>
      <w:r w:rsidR="0016412F">
        <w:t>bež</w:t>
      </w:r>
      <w:r w:rsidRPr="00E0209A">
        <w:t xml:space="preserve">né podávanie </w:t>
      </w:r>
      <w:proofErr w:type="spellStart"/>
      <w:r w:rsidRPr="00E0209A">
        <w:t>bakteriostatických</w:t>
      </w:r>
      <w:proofErr w:type="spellEnd"/>
      <w:r w:rsidRPr="00E0209A">
        <w:t xml:space="preserve"> antibiotík môže viesť k antagonizmu s účinkom </w:t>
      </w:r>
      <w:proofErr w:type="spellStart"/>
      <w:r w:rsidRPr="00E0209A">
        <w:t>cefazolínu</w:t>
      </w:r>
      <w:proofErr w:type="spellEnd"/>
      <w:r w:rsidRPr="00E0209A">
        <w:t>.</w:t>
      </w:r>
    </w:p>
    <w:p w14:paraId="275362EB" w14:textId="77777777" w:rsidR="00074623" w:rsidRDefault="00074623" w:rsidP="00B7552D">
      <w:pPr>
        <w:pStyle w:val="Styl3"/>
        <w:spacing w:after="0"/>
        <w:jc w:val="left"/>
      </w:pPr>
    </w:p>
    <w:p w14:paraId="61AD1A38" w14:textId="02A5A263" w:rsidR="0017393C" w:rsidRPr="00E0209A" w:rsidRDefault="0017393C" w:rsidP="00B7552D">
      <w:pPr>
        <w:pStyle w:val="Styl3"/>
        <w:spacing w:after="0"/>
        <w:jc w:val="left"/>
      </w:pPr>
      <w:r w:rsidRPr="00E0209A">
        <w:t>Neodporúčané kombinácie</w:t>
      </w:r>
    </w:p>
    <w:p w14:paraId="48D3BA5F" w14:textId="77777777" w:rsidR="0017393C" w:rsidRPr="00E0209A" w:rsidRDefault="0017393C" w:rsidP="00A77916">
      <w:pPr>
        <w:pStyle w:val="Normlndobloku"/>
        <w:rPr>
          <w:rStyle w:val="Bacil"/>
        </w:rPr>
      </w:pPr>
      <w:proofErr w:type="spellStart"/>
      <w:r w:rsidRPr="00E0209A">
        <w:rPr>
          <w:rStyle w:val="Bacil"/>
        </w:rPr>
        <w:t>Probenecid</w:t>
      </w:r>
      <w:proofErr w:type="spellEnd"/>
    </w:p>
    <w:p w14:paraId="7DA1BB28" w14:textId="2FB9995E" w:rsidR="0017393C" w:rsidRPr="00E0209A" w:rsidRDefault="0017393C" w:rsidP="00A77916">
      <w:pPr>
        <w:pStyle w:val="Normlndobloku"/>
      </w:pPr>
      <w:r w:rsidRPr="00E0209A">
        <w:t xml:space="preserve">Pri </w:t>
      </w:r>
      <w:r w:rsidR="0016412F" w:rsidRPr="00E0209A">
        <w:t>sú</w:t>
      </w:r>
      <w:r w:rsidR="0016412F">
        <w:t>bež</w:t>
      </w:r>
      <w:r w:rsidR="0016412F" w:rsidRPr="00E0209A">
        <w:t xml:space="preserve">nom </w:t>
      </w:r>
      <w:r w:rsidRPr="00E0209A">
        <w:t xml:space="preserve">podávaní </w:t>
      </w:r>
      <w:proofErr w:type="spellStart"/>
      <w:r w:rsidRPr="00E0209A">
        <w:t>probenecid</w:t>
      </w:r>
      <w:proofErr w:type="spellEnd"/>
      <w:r w:rsidRPr="00E0209A">
        <w:t xml:space="preserve"> znižuje </w:t>
      </w:r>
      <w:proofErr w:type="spellStart"/>
      <w:r w:rsidRPr="00E0209A">
        <w:t>renálny</w:t>
      </w:r>
      <w:proofErr w:type="spellEnd"/>
      <w:r w:rsidRPr="00E0209A">
        <w:t xml:space="preserve"> </w:t>
      </w:r>
      <w:proofErr w:type="spellStart"/>
      <w:r w:rsidRPr="00E0209A">
        <w:t>klírens</w:t>
      </w:r>
      <w:proofErr w:type="spellEnd"/>
      <w:r w:rsidRPr="00E0209A">
        <w:t xml:space="preserve"> </w:t>
      </w:r>
      <w:proofErr w:type="spellStart"/>
      <w:r w:rsidRPr="00E0209A">
        <w:t>cefazolínu</w:t>
      </w:r>
      <w:proofErr w:type="spellEnd"/>
      <w:r w:rsidRPr="00E0209A">
        <w:t>.</w:t>
      </w:r>
    </w:p>
    <w:p w14:paraId="291A3F5E" w14:textId="77777777" w:rsidR="00074623" w:rsidRDefault="00074623" w:rsidP="00B7552D">
      <w:pPr>
        <w:pStyle w:val="Styl3"/>
        <w:spacing w:after="0"/>
        <w:jc w:val="left"/>
      </w:pPr>
    </w:p>
    <w:p w14:paraId="4095D5E8" w14:textId="450698A1" w:rsidR="0017393C" w:rsidRPr="00E0209A" w:rsidRDefault="0017393C" w:rsidP="00B7552D">
      <w:pPr>
        <w:pStyle w:val="Styl3"/>
        <w:spacing w:after="0"/>
        <w:jc w:val="left"/>
      </w:pPr>
      <w:r w:rsidRPr="00E0209A">
        <w:t>Použitie s opatrnosťou</w:t>
      </w:r>
    </w:p>
    <w:p w14:paraId="4F3C002B" w14:textId="77777777" w:rsidR="0017393C" w:rsidRPr="00E0209A" w:rsidRDefault="0017393C" w:rsidP="00A77916">
      <w:pPr>
        <w:pStyle w:val="Normlndobloku"/>
        <w:rPr>
          <w:rStyle w:val="Bacil"/>
        </w:rPr>
      </w:pPr>
      <w:r w:rsidRPr="00E0209A">
        <w:rPr>
          <w:rStyle w:val="Bacil"/>
        </w:rPr>
        <w:t>Vitamín K</w:t>
      </w:r>
      <w:r w:rsidRPr="00E0209A">
        <w:rPr>
          <w:rStyle w:val="Bacil"/>
          <w:vertAlign w:val="subscript"/>
        </w:rPr>
        <w:t>1</w:t>
      </w:r>
    </w:p>
    <w:p w14:paraId="4BDF581F" w14:textId="77777777" w:rsidR="0017393C" w:rsidRPr="00E0209A" w:rsidRDefault="0017393C" w:rsidP="00A77916">
      <w:pPr>
        <w:pStyle w:val="Normlndobloku"/>
      </w:pPr>
      <w:r w:rsidRPr="00E0209A">
        <w:t>Niektoré z </w:t>
      </w:r>
      <w:proofErr w:type="spellStart"/>
      <w:r w:rsidRPr="00E0209A">
        <w:t>cefalosporínov</w:t>
      </w:r>
      <w:proofErr w:type="spellEnd"/>
      <w:r w:rsidRPr="00E0209A">
        <w:t xml:space="preserve">, ako </w:t>
      </w:r>
      <w:proofErr w:type="spellStart"/>
      <w:r w:rsidRPr="00E0209A">
        <w:t>cefamandol</w:t>
      </w:r>
      <w:proofErr w:type="spellEnd"/>
      <w:r w:rsidRPr="00E0209A">
        <w:t xml:space="preserve">, </w:t>
      </w:r>
      <w:proofErr w:type="spellStart"/>
      <w:r w:rsidRPr="00E0209A">
        <w:t>cefazolín</w:t>
      </w:r>
      <w:proofErr w:type="spellEnd"/>
      <w:r w:rsidRPr="00E0209A">
        <w:t xml:space="preserve"> a </w:t>
      </w:r>
      <w:proofErr w:type="spellStart"/>
      <w:r w:rsidRPr="00E0209A">
        <w:t>cefotetan</w:t>
      </w:r>
      <w:proofErr w:type="spellEnd"/>
      <w:r w:rsidRPr="00E0209A">
        <w:t xml:space="preserve">, môžu </w:t>
      </w:r>
      <w:proofErr w:type="spellStart"/>
      <w:r w:rsidRPr="00E0209A">
        <w:t>inhibovať</w:t>
      </w:r>
      <w:proofErr w:type="spellEnd"/>
      <w:r w:rsidRPr="00E0209A">
        <w:t xml:space="preserve"> pečeňový metabolizmus vitamínu K</w:t>
      </w:r>
      <w:r w:rsidRPr="00E0209A">
        <w:rPr>
          <w:vertAlign w:val="subscript"/>
        </w:rPr>
        <w:t>1</w:t>
      </w:r>
      <w:r w:rsidRPr="00E0209A">
        <w:t xml:space="preserve"> a spôsobovať </w:t>
      </w:r>
      <w:proofErr w:type="spellStart"/>
      <w:r w:rsidRPr="00E0209A">
        <w:t>hypotrombinémiu</w:t>
      </w:r>
      <w:proofErr w:type="spellEnd"/>
      <w:r w:rsidRPr="00E0209A">
        <w:t>, najmä v prípade nedostatku vitamínu K</w:t>
      </w:r>
      <w:r w:rsidRPr="00E0209A">
        <w:rPr>
          <w:vertAlign w:val="subscript"/>
        </w:rPr>
        <w:t>1</w:t>
      </w:r>
      <w:r w:rsidRPr="00E0209A">
        <w:t>. Môže byť potrebné zvýšiť dávky vitamínu K</w:t>
      </w:r>
      <w:r w:rsidRPr="00E0209A">
        <w:rPr>
          <w:vertAlign w:val="subscript"/>
        </w:rPr>
        <w:t>1</w:t>
      </w:r>
      <w:r w:rsidRPr="00E0209A">
        <w:t>.</w:t>
      </w:r>
    </w:p>
    <w:p w14:paraId="17160DCE" w14:textId="77777777" w:rsidR="00074623" w:rsidRDefault="00074623" w:rsidP="00D42F90">
      <w:pPr>
        <w:pStyle w:val="Normlndobloku"/>
        <w:rPr>
          <w:rStyle w:val="Bacil"/>
        </w:rPr>
      </w:pPr>
    </w:p>
    <w:p w14:paraId="524489AF" w14:textId="6EFDBBAF" w:rsidR="0017393C" w:rsidRPr="00E0209A" w:rsidRDefault="0017393C" w:rsidP="00D42F90">
      <w:pPr>
        <w:pStyle w:val="Normlndobloku"/>
        <w:rPr>
          <w:rStyle w:val="Bacil"/>
        </w:rPr>
      </w:pPr>
      <w:proofErr w:type="spellStart"/>
      <w:r w:rsidRPr="00E0209A">
        <w:rPr>
          <w:rStyle w:val="Bacil"/>
        </w:rPr>
        <w:t>Antikoagulanciá</w:t>
      </w:r>
      <w:proofErr w:type="spellEnd"/>
    </w:p>
    <w:p w14:paraId="2A62D20C" w14:textId="7E3D7792" w:rsidR="0017393C" w:rsidRPr="00E0209A" w:rsidRDefault="0017393C" w:rsidP="00B7552D">
      <w:pPr>
        <w:pStyle w:val="Normlndobloku"/>
      </w:pPr>
      <w:proofErr w:type="spellStart"/>
      <w:r w:rsidRPr="00E0209A">
        <w:t>Cefalosporíny</w:t>
      </w:r>
      <w:proofErr w:type="spellEnd"/>
      <w:r w:rsidRPr="00E0209A">
        <w:t xml:space="preserve"> môžu veľmi zriedkavo viesť k poruchám zrážanlivosti krvi (pozri časť 4.4). Pri </w:t>
      </w:r>
      <w:r w:rsidR="0016412F" w:rsidRPr="00E0209A">
        <w:t>sú</w:t>
      </w:r>
      <w:r w:rsidR="0016412F">
        <w:t>bež</w:t>
      </w:r>
      <w:r w:rsidR="0016412F" w:rsidRPr="00E0209A">
        <w:t xml:space="preserve">nom </w:t>
      </w:r>
      <w:r w:rsidRPr="00E0209A">
        <w:t xml:space="preserve">užívaní perorálnych </w:t>
      </w:r>
      <w:proofErr w:type="spellStart"/>
      <w:r w:rsidRPr="00E0209A">
        <w:t>antikoagulancií</w:t>
      </w:r>
      <w:proofErr w:type="spellEnd"/>
      <w:r w:rsidRPr="00E0209A">
        <w:t xml:space="preserve"> alebo </w:t>
      </w:r>
      <w:proofErr w:type="spellStart"/>
      <w:r w:rsidRPr="00E0209A">
        <w:t>heparínu</w:t>
      </w:r>
      <w:proofErr w:type="spellEnd"/>
      <w:r w:rsidRPr="00E0209A">
        <w:t xml:space="preserve"> vo vysokých dávkach je potrebné sledovať koagulačné parametre.</w:t>
      </w:r>
    </w:p>
    <w:p w14:paraId="0ECC735B" w14:textId="77777777" w:rsidR="00074623" w:rsidRDefault="00074623" w:rsidP="00B7552D">
      <w:pPr>
        <w:pStyle w:val="Normlndobloku"/>
        <w:rPr>
          <w:rStyle w:val="Bacil"/>
        </w:rPr>
      </w:pPr>
    </w:p>
    <w:p w14:paraId="2C20D72D" w14:textId="441C5A99" w:rsidR="0017393C" w:rsidRPr="00E0209A" w:rsidRDefault="0017393C" w:rsidP="00B7552D">
      <w:pPr>
        <w:pStyle w:val="Normlndobloku"/>
        <w:rPr>
          <w:rStyle w:val="Bacil"/>
        </w:rPr>
      </w:pPr>
      <w:proofErr w:type="spellStart"/>
      <w:r w:rsidRPr="00E0209A">
        <w:rPr>
          <w:rStyle w:val="Bacil"/>
        </w:rPr>
        <w:t>Nefrotoxické</w:t>
      </w:r>
      <w:proofErr w:type="spellEnd"/>
      <w:r w:rsidRPr="00E0209A">
        <w:rPr>
          <w:rStyle w:val="Bacil"/>
        </w:rPr>
        <w:t xml:space="preserve"> látky</w:t>
      </w:r>
    </w:p>
    <w:p w14:paraId="02EB9166" w14:textId="172126BC" w:rsidR="0017393C" w:rsidRPr="00E0209A" w:rsidRDefault="0017393C" w:rsidP="00B7552D">
      <w:pPr>
        <w:pStyle w:val="Normlndobloku"/>
      </w:pPr>
      <w:r w:rsidRPr="00E0209A">
        <w:lastRenderedPageBreak/>
        <w:t xml:space="preserve">Pravdepodobnosť </w:t>
      </w:r>
      <w:proofErr w:type="spellStart"/>
      <w:r w:rsidRPr="00E0209A">
        <w:t>nefrotoxických</w:t>
      </w:r>
      <w:proofErr w:type="spellEnd"/>
      <w:r w:rsidRPr="00E0209A">
        <w:t xml:space="preserve"> javov je vyšši</w:t>
      </w:r>
      <w:r w:rsidR="00E30677">
        <w:t>a</w:t>
      </w:r>
      <w:r w:rsidRPr="00E0209A">
        <w:t xml:space="preserve"> pri </w:t>
      </w:r>
      <w:r w:rsidR="0016412F" w:rsidRPr="00E0209A">
        <w:t>sú</w:t>
      </w:r>
      <w:r w:rsidR="0016412F">
        <w:t>bež</w:t>
      </w:r>
      <w:r w:rsidR="0016412F" w:rsidRPr="00E0209A">
        <w:t xml:space="preserve">nom </w:t>
      </w:r>
      <w:r w:rsidRPr="00E0209A">
        <w:t xml:space="preserve">podávaní </w:t>
      </w:r>
      <w:proofErr w:type="spellStart"/>
      <w:r w:rsidRPr="00E0209A">
        <w:t>nefrotoxických</w:t>
      </w:r>
      <w:proofErr w:type="spellEnd"/>
      <w:r w:rsidRPr="00E0209A">
        <w:t xml:space="preserve"> látok, ako sú </w:t>
      </w:r>
      <w:proofErr w:type="spellStart"/>
      <w:r w:rsidRPr="00E0209A">
        <w:t>aminoglykozidy</w:t>
      </w:r>
      <w:proofErr w:type="spellEnd"/>
      <w:r w:rsidRPr="00E0209A">
        <w:t xml:space="preserve"> (napr. </w:t>
      </w:r>
      <w:proofErr w:type="spellStart"/>
      <w:r w:rsidRPr="00E0209A">
        <w:t>gentamicín</w:t>
      </w:r>
      <w:proofErr w:type="spellEnd"/>
      <w:r w:rsidRPr="00E0209A">
        <w:t xml:space="preserve">), </w:t>
      </w:r>
      <w:proofErr w:type="spellStart"/>
      <w:r w:rsidRPr="00E0209A">
        <w:t>polymyxíny</w:t>
      </w:r>
      <w:proofErr w:type="spellEnd"/>
      <w:r w:rsidRPr="00E0209A">
        <w:t xml:space="preserve">, </w:t>
      </w:r>
      <w:proofErr w:type="spellStart"/>
      <w:r w:rsidRPr="00E0209A">
        <w:t>etakrynová</w:t>
      </w:r>
      <w:proofErr w:type="spellEnd"/>
      <w:r w:rsidRPr="00E0209A">
        <w:t xml:space="preserve"> kyselina, </w:t>
      </w:r>
      <w:proofErr w:type="spellStart"/>
      <w:r w:rsidRPr="00E0209A">
        <w:t>furosemid</w:t>
      </w:r>
      <w:proofErr w:type="spellEnd"/>
      <w:r w:rsidRPr="00E0209A">
        <w:t xml:space="preserve"> a silné diuretiká. V týchto prípadoch je potrebné sledovať </w:t>
      </w:r>
      <w:proofErr w:type="spellStart"/>
      <w:r w:rsidRPr="00E0209A">
        <w:t>renálne</w:t>
      </w:r>
      <w:proofErr w:type="spellEnd"/>
      <w:r w:rsidRPr="00E0209A">
        <w:t xml:space="preserve"> funkcie.</w:t>
      </w:r>
    </w:p>
    <w:p w14:paraId="39511D87" w14:textId="77777777" w:rsidR="00074623" w:rsidRDefault="00074623" w:rsidP="00B7552D">
      <w:pPr>
        <w:pStyle w:val="Normlndobloku"/>
        <w:rPr>
          <w:rStyle w:val="Bacil"/>
        </w:rPr>
      </w:pPr>
    </w:p>
    <w:p w14:paraId="2235A470" w14:textId="54722061" w:rsidR="0017393C" w:rsidRPr="00E0209A" w:rsidRDefault="0017393C" w:rsidP="00B7552D">
      <w:pPr>
        <w:pStyle w:val="Normlndobloku"/>
        <w:rPr>
          <w:rStyle w:val="Bacil"/>
        </w:rPr>
      </w:pPr>
      <w:r w:rsidRPr="00E0209A">
        <w:rPr>
          <w:rStyle w:val="Bacil"/>
        </w:rPr>
        <w:t>Laboratórne testy</w:t>
      </w:r>
    </w:p>
    <w:p w14:paraId="7EF220DF" w14:textId="77777777" w:rsidR="0017393C" w:rsidRPr="00E0209A" w:rsidRDefault="0017393C" w:rsidP="00B7552D">
      <w:pPr>
        <w:pStyle w:val="Normlndobloku"/>
      </w:pPr>
      <w:r w:rsidRPr="00E0209A">
        <w:t xml:space="preserve">Počas liečby </w:t>
      </w:r>
      <w:proofErr w:type="spellStart"/>
      <w:r w:rsidRPr="00E0209A">
        <w:t>cefalosporínmi</w:t>
      </w:r>
      <w:proofErr w:type="spellEnd"/>
      <w:r w:rsidRPr="00E0209A">
        <w:t xml:space="preserve"> bol hlásený pozitívny </w:t>
      </w:r>
      <w:proofErr w:type="spellStart"/>
      <w:r w:rsidRPr="00E0209A">
        <w:t>Coombsov</w:t>
      </w:r>
      <w:proofErr w:type="spellEnd"/>
      <w:r w:rsidRPr="00E0209A">
        <w:t xml:space="preserve"> test. To platí aj pre pacientov liečených </w:t>
      </w:r>
      <w:proofErr w:type="spellStart"/>
      <w:r w:rsidRPr="00E0209A">
        <w:t>cefazolínom</w:t>
      </w:r>
      <w:proofErr w:type="spellEnd"/>
      <w:r w:rsidRPr="00E0209A">
        <w:t>.</w:t>
      </w:r>
    </w:p>
    <w:p w14:paraId="53F6220B" w14:textId="77777777" w:rsidR="009B1DA3" w:rsidRDefault="009B1DA3" w:rsidP="00B7552D">
      <w:pPr>
        <w:pStyle w:val="Normlndobloku"/>
        <w:rPr>
          <w:rStyle w:val="Bacil"/>
        </w:rPr>
      </w:pPr>
    </w:p>
    <w:p w14:paraId="29E40718" w14:textId="2FD41014" w:rsidR="0017393C" w:rsidRPr="00E0209A" w:rsidRDefault="0017393C" w:rsidP="00B7552D">
      <w:pPr>
        <w:pStyle w:val="Normlndobloku"/>
        <w:rPr>
          <w:rStyle w:val="Bacil"/>
        </w:rPr>
      </w:pPr>
      <w:r w:rsidRPr="00E0209A">
        <w:rPr>
          <w:rStyle w:val="Bacil"/>
        </w:rPr>
        <w:t xml:space="preserve">Perorálne </w:t>
      </w:r>
      <w:proofErr w:type="spellStart"/>
      <w:r w:rsidRPr="00E0209A">
        <w:rPr>
          <w:rStyle w:val="Bacil"/>
        </w:rPr>
        <w:t>kontraceptíva</w:t>
      </w:r>
      <w:proofErr w:type="spellEnd"/>
    </w:p>
    <w:p w14:paraId="2BF0F5C4" w14:textId="59DAB2DC" w:rsidR="0017393C" w:rsidRDefault="0017393C" w:rsidP="00B7552D">
      <w:pPr>
        <w:pStyle w:val="Normlndobloku"/>
      </w:pPr>
      <w:proofErr w:type="spellStart"/>
      <w:r w:rsidRPr="00E0209A">
        <w:t>Cefazolín</w:t>
      </w:r>
      <w:proofErr w:type="spellEnd"/>
      <w:r w:rsidRPr="00E0209A">
        <w:t xml:space="preserve"> môže negatívne ovplyvniť účinnosť hormonálnej antikoncepcie. Je preto vhodné používať ďalšiu nehormonálnu antikoncepciu.</w:t>
      </w:r>
    </w:p>
    <w:p w14:paraId="56113612" w14:textId="77777777" w:rsidR="00D6224B" w:rsidRPr="00E0209A" w:rsidRDefault="00D6224B" w:rsidP="00B7552D">
      <w:pPr>
        <w:pStyle w:val="Normlndobloku"/>
      </w:pPr>
    </w:p>
    <w:p w14:paraId="6D543085" w14:textId="77777777" w:rsidR="0017393C" w:rsidRDefault="0017393C" w:rsidP="00B7552D">
      <w:pPr>
        <w:pStyle w:val="Styl2"/>
        <w:spacing w:before="0" w:after="0"/>
      </w:pPr>
      <w:proofErr w:type="spellStart"/>
      <w:r w:rsidRPr="00E0209A">
        <w:t>Fertilita</w:t>
      </w:r>
      <w:proofErr w:type="spellEnd"/>
      <w:r w:rsidRPr="00E0209A">
        <w:t>, gravidita a</w:t>
      </w:r>
      <w:r w:rsidR="00D6224B">
        <w:t> </w:t>
      </w:r>
      <w:r w:rsidRPr="00E0209A">
        <w:t>laktácia</w:t>
      </w:r>
    </w:p>
    <w:p w14:paraId="51D6524E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26205B12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Gravidita</w:t>
      </w:r>
    </w:p>
    <w:p w14:paraId="4252881F" w14:textId="77777777" w:rsidR="0017393C" w:rsidRPr="00E0209A" w:rsidRDefault="0017393C" w:rsidP="00A77916">
      <w:pPr>
        <w:pStyle w:val="Normlndobloku"/>
      </w:pPr>
      <w:r w:rsidRPr="00E0209A">
        <w:t xml:space="preserve">Bohaté skúsenosti s používaním prvej generácie </w:t>
      </w:r>
      <w:proofErr w:type="spellStart"/>
      <w:r w:rsidRPr="00E0209A">
        <w:t>cefalosporínov</w:t>
      </w:r>
      <w:proofErr w:type="spellEnd"/>
      <w:r w:rsidRPr="00E0209A">
        <w:t xml:space="preserve"> v tehotenstve nenaznačujú nepriaznivé účinky na tehotenstvo alebo na zdravie plodu/novorodenca. Neexistujú dostatočné údaje o použití </w:t>
      </w:r>
      <w:proofErr w:type="spellStart"/>
      <w:r w:rsidRPr="00E0209A">
        <w:t>cefazolínu</w:t>
      </w:r>
      <w:proofErr w:type="spellEnd"/>
      <w:r w:rsidRPr="00E0209A">
        <w:t xml:space="preserve"> počas tehotenstva, aby bolo možné posúdiť jeho možnú škodlivosť. </w:t>
      </w:r>
      <w:proofErr w:type="spellStart"/>
      <w:r w:rsidRPr="00E0209A">
        <w:t>Cefazolín</w:t>
      </w:r>
      <w:proofErr w:type="spellEnd"/>
      <w:r w:rsidRPr="00E0209A">
        <w:t xml:space="preserve"> prechádza placentou. Štúdie na zvieratách nepreukázali </w:t>
      </w:r>
      <w:proofErr w:type="spellStart"/>
      <w:r w:rsidRPr="00E0209A">
        <w:t>teratogenitu</w:t>
      </w:r>
      <w:proofErr w:type="spellEnd"/>
      <w:r w:rsidRPr="00E0209A">
        <w:t xml:space="preserve"> ani reprodukčnú toxicitu (pozri časť 5.3).</w:t>
      </w:r>
    </w:p>
    <w:p w14:paraId="733CEB25" w14:textId="77777777" w:rsidR="0017393C" w:rsidRDefault="0017393C" w:rsidP="00A77916">
      <w:pPr>
        <w:pStyle w:val="Normlndobloku"/>
      </w:pPr>
      <w:bookmarkStart w:id="2" w:name="_Hlk56458621"/>
      <w:r w:rsidRPr="00E0209A">
        <w:t>Ako preventívne opatrenie sa použitie lieku ZEPILEN počas tehotenstva neodporúča, pokiaľ to nie je nevyhnutné.</w:t>
      </w:r>
    </w:p>
    <w:bookmarkEnd w:id="2"/>
    <w:p w14:paraId="0315DB23" w14:textId="77777777" w:rsidR="00EA0CA6" w:rsidRPr="00E0209A" w:rsidRDefault="00EA0CA6" w:rsidP="00A77916">
      <w:pPr>
        <w:pStyle w:val="Normlndobloku"/>
      </w:pPr>
    </w:p>
    <w:p w14:paraId="78848861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Dojčenie</w:t>
      </w:r>
    </w:p>
    <w:p w14:paraId="0F70FA10" w14:textId="77777777" w:rsidR="0017393C" w:rsidRDefault="0017393C" w:rsidP="00A77916">
      <w:pPr>
        <w:pStyle w:val="Normlndobloku"/>
      </w:pPr>
      <w:proofErr w:type="spellStart"/>
      <w:r w:rsidRPr="00E0209A">
        <w:t>Cefazolín</w:t>
      </w:r>
      <w:proofErr w:type="spellEnd"/>
      <w:r w:rsidRPr="00E0209A">
        <w:t xml:space="preserve"> prechádza do materského mlieka vo veľmi nízkych koncentráciách. V terapeutických dávkach nemožno žiadne účinky na novorodenca očakávať. ZEPILEN je možné používať počas dojčenia.</w:t>
      </w:r>
    </w:p>
    <w:p w14:paraId="7C35F5ED" w14:textId="77777777" w:rsidR="00EA0CA6" w:rsidRPr="00E0209A" w:rsidRDefault="00EA0CA6" w:rsidP="00A77916">
      <w:pPr>
        <w:pStyle w:val="Normlndobloku"/>
      </w:pPr>
    </w:p>
    <w:p w14:paraId="3D287531" w14:textId="77777777" w:rsidR="0017393C" w:rsidRDefault="0017393C" w:rsidP="00B7552D">
      <w:pPr>
        <w:pStyle w:val="Styl2"/>
        <w:spacing w:before="0" w:after="0"/>
      </w:pPr>
      <w:r w:rsidRPr="00E0209A">
        <w:t>Ovplyvnenie schopnosti viesť vozidlá a obsluhovať stroje</w:t>
      </w:r>
    </w:p>
    <w:p w14:paraId="5424A873" w14:textId="77777777" w:rsidR="00D6224B" w:rsidRPr="00E0209A" w:rsidRDefault="00D6224B" w:rsidP="00B7552D">
      <w:pPr>
        <w:pStyle w:val="Styl2"/>
        <w:numPr>
          <w:ilvl w:val="0"/>
          <w:numId w:val="0"/>
        </w:numPr>
        <w:spacing w:before="0" w:after="0"/>
      </w:pPr>
    </w:p>
    <w:p w14:paraId="1D5F20D7" w14:textId="06B09424" w:rsidR="0017393C" w:rsidRDefault="008A7B27" w:rsidP="00A77916">
      <w:pPr>
        <w:pStyle w:val="Normlndobloku"/>
      </w:pPr>
      <w:proofErr w:type="spellStart"/>
      <w:r>
        <w:t>Cefazolín</w:t>
      </w:r>
      <w:proofErr w:type="spellEnd"/>
      <w:r>
        <w:t xml:space="preserve"> môže zriedkavo spôsobiť </w:t>
      </w:r>
      <w:proofErr w:type="spellStart"/>
      <w:r>
        <w:t>vertigo</w:t>
      </w:r>
      <w:proofErr w:type="spellEnd"/>
      <w:r>
        <w:t>, čo môže nepriaznivo ovplyvniť schopnosť viesť vozidlá a obsluhovať stroje (pozri časť 4.8)</w:t>
      </w:r>
    </w:p>
    <w:p w14:paraId="657BA282" w14:textId="77777777" w:rsidR="00D6224B" w:rsidRPr="00E0209A" w:rsidRDefault="00D6224B" w:rsidP="00A77916">
      <w:pPr>
        <w:pStyle w:val="Normlndobloku"/>
      </w:pPr>
    </w:p>
    <w:p w14:paraId="53163D3A" w14:textId="77777777" w:rsidR="0017393C" w:rsidRDefault="0017393C" w:rsidP="00B7552D">
      <w:pPr>
        <w:pStyle w:val="Styl2"/>
        <w:spacing w:before="0" w:after="0"/>
      </w:pPr>
      <w:r w:rsidRPr="00E0209A">
        <w:t>Nežiaduce účinky</w:t>
      </w:r>
    </w:p>
    <w:p w14:paraId="1737B868" w14:textId="77777777" w:rsidR="00D6224B" w:rsidRPr="00E0209A" w:rsidRDefault="00D6224B" w:rsidP="00A77916">
      <w:pPr>
        <w:pStyle w:val="Styl2"/>
        <w:numPr>
          <w:ilvl w:val="0"/>
          <w:numId w:val="0"/>
        </w:numPr>
        <w:spacing w:before="0" w:after="0"/>
      </w:pPr>
    </w:p>
    <w:p w14:paraId="4FAA3B8E" w14:textId="77777777" w:rsidR="0017393C" w:rsidRPr="00E0209A" w:rsidRDefault="0017393C" w:rsidP="00A77916">
      <w:pPr>
        <w:pStyle w:val="Normlndobloku"/>
      </w:pPr>
      <w:r w:rsidRPr="00E0209A">
        <w:t xml:space="preserve">Počas používania </w:t>
      </w:r>
      <w:proofErr w:type="spellStart"/>
      <w:r w:rsidRPr="00E0209A">
        <w:t>cefazolínu</w:t>
      </w:r>
      <w:proofErr w:type="spellEnd"/>
      <w:r w:rsidRPr="00E0209A">
        <w:t xml:space="preserve"> boli hlásené nasledujúce nežiaduce účinky. Frekvencia nežiaducich účinkov sú rozdelené do kategórií takto:</w:t>
      </w:r>
    </w:p>
    <w:p w14:paraId="50BBA541" w14:textId="77777777" w:rsidR="0017393C" w:rsidRPr="00E0209A" w:rsidRDefault="0017393C" w:rsidP="00D42F90">
      <w:pPr>
        <w:pStyle w:val="Normlndobloku"/>
      </w:pPr>
      <w:r w:rsidRPr="00E0209A">
        <w:rPr>
          <w:szCs w:val="22"/>
        </w:rPr>
        <w:t>Veľ</w:t>
      </w:r>
      <w:r w:rsidRPr="00E0209A">
        <w:t>mi časté (</w:t>
      </w:r>
      <w:r w:rsidRPr="00E0209A">
        <w:sym w:font="Symbol" w:char="F0B3"/>
      </w:r>
      <w:r w:rsidRPr="00E0209A">
        <w:t>1/10)</w:t>
      </w:r>
    </w:p>
    <w:p w14:paraId="49BF9351" w14:textId="77777777" w:rsidR="0017393C" w:rsidRPr="00E0209A" w:rsidRDefault="0017393C" w:rsidP="00B7552D">
      <w:pPr>
        <w:pStyle w:val="Normlndobloku"/>
      </w:pPr>
      <w:r w:rsidRPr="00E0209A">
        <w:t>Časté (</w:t>
      </w:r>
      <w:r w:rsidRPr="00E0209A">
        <w:sym w:font="Symbol" w:char="F0B3"/>
      </w:r>
      <w:r w:rsidRPr="00E0209A">
        <w:t>1/100 až &lt;1/10)</w:t>
      </w:r>
    </w:p>
    <w:p w14:paraId="5583690F" w14:textId="77777777" w:rsidR="0017393C" w:rsidRPr="00E0209A" w:rsidRDefault="0017393C" w:rsidP="00B7552D">
      <w:pPr>
        <w:pStyle w:val="Normlndobloku"/>
      </w:pPr>
      <w:r w:rsidRPr="00E0209A">
        <w:t>Menej časté (</w:t>
      </w:r>
      <w:r w:rsidRPr="00E0209A">
        <w:sym w:font="Symbol" w:char="F0B3"/>
      </w:r>
      <w:r w:rsidRPr="00E0209A">
        <w:t>1/1000 až &lt;1/1 00)</w:t>
      </w:r>
    </w:p>
    <w:p w14:paraId="2D624E19" w14:textId="77777777" w:rsidR="0017393C" w:rsidRPr="00E0209A" w:rsidRDefault="0017393C" w:rsidP="00B7552D">
      <w:pPr>
        <w:pStyle w:val="Normlndobloku"/>
      </w:pPr>
      <w:r w:rsidRPr="00E0209A">
        <w:t>Zriedkavé (</w:t>
      </w:r>
      <w:r w:rsidRPr="00E0209A">
        <w:sym w:font="Symbol" w:char="F0B3"/>
      </w:r>
      <w:r w:rsidRPr="00E0209A">
        <w:t>1/10000 až &lt; 1/1 000)</w:t>
      </w:r>
    </w:p>
    <w:p w14:paraId="2F5AF345" w14:textId="77777777" w:rsidR="003B7F66" w:rsidRDefault="0017393C" w:rsidP="00B7552D">
      <w:pPr>
        <w:pStyle w:val="Normlndobloku"/>
      </w:pPr>
      <w:r w:rsidRPr="00E0209A">
        <w:rPr>
          <w:szCs w:val="22"/>
        </w:rPr>
        <w:t>Veľ</w:t>
      </w:r>
      <w:r w:rsidRPr="00E0209A">
        <w:t>mi zriedkavé (&lt;1/10 000)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67"/>
        <w:gridCol w:w="6575"/>
        <w:gridCol w:w="23"/>
      </w:tblGrid>
      <w:tr w:rsidR="003B7F66" w:rsidRPr="00E0209A" w14:paraId="53A31CC6" w14:textId="77777777" w:rsidTr="00371819">
        <w:trPr>
          <w:gridAfter w:val="1"/>
          <w:wAfter w:w="24" w:type="dxa"/>
          <w:tblHeader/>
        </w:trPr>
        <w:tc>
          <w:tcPr>
            <w:tcW w:w="1316" w:type="dxa"/>
          </w:tcPr>
          <w:p w14:paraId="4F335DE8" w14:textId="77777777" w:rsidR="003B7F66" w:rsidRPr="00E0209A" w:rsidRDefault="003B7F66" w:rsidP="00371819">
            <w:pPr>
              <w:pStyle w:val="Nadpisuvnittabulky"/>
            </w:pPr>
            <w:r w:rsidRPr="00E0209A">
              <w:t xml:space="preserve">Triedy orgánových systémov podľa databázy </w:t>
            </w:r>
            <w:proofErr w:type="spellStart"/>
            <w:r w:rsidRPr="00E0209A">
              <w:t>MedDRA</w:t>
            </w:r>
            <w:proofErr w:type="spellEnd"/>
          </w:p>
        </w:tc>
        <w:tc>
          <w:tcPr>
            <w:tcW w:w="1267" w:type="dxa"/>
          </w:tcPr>
          <w:p w14:paraId="00A65DD5" w14:textId="77777777" w:rsidR="003B7F66" w:rsidRPr="00E0209A" w:rsidRDefault="003B7F66" w:rsidP="00371819">
            <w:pPr>
              <w:pStyle w:val="Nadpisuvnittabulky"/>
            </w:pPr>
            <w:r w:rsidRPr="00E0209A">
              <w:t>Frekvencia</w:t>
            </w:r>
          </w:p>
        </w:tc>
        <w:tc>
          <w:tcPr>
            <w:tcW w:w="0" w:type="auto"/>
          </w:tcPr>
          <w:p w14:paraId="096A71F9" w14:textId="3F2FEFF6" w:rsidR="003B7F66" w:rsidRPr="00E0209A" w:rsidRDefault="007E7465" w:rsidP="00371819">
            <w:pPr>
              <w:pStyle w:val="Nadpisuvnittabulky"/>
            </w:pPr>
            <w:r>
              <w:t>Zo</w:t>
            </w:r>
            <w:r w:rsidR="003B7F66" w:rsidRPr="00E0209A">
              <w:t>dpovedajúce nežiaduce účinky</w:t>
            </w:r>
          </w:p>
        </w:tc>
      </w:tr>
      <w:tr w:rsidR="003B7F66" w:rsidRPr="00E0209A" w14:paraId="42DCE25D" w14:textId="77777777" w:rsidTr="00371819">
        <w:trPr>
          <w:gridAfter w:val="1"/>
          <w:wAfter w:w="24" w:type="dxa"/>
        </w:trPr>
        <w:tc>
          <w:tcPr>
            <w:tcW w:w="9157" w:type="dxa"/>
            <w:gridSpan w:val="3"/>
          </w:tcPr>
          <w:p w14:paraId="3393A991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Infekcie a nákazy</w:t>
            </w:r>
          </w:p>
        </w:tc>
      </w:tr>
      <w:tr w:rsidR="003B7F66" w:rsidRPr="00E0209A" w14:paraId="717C2A71" w14:textId="77777777" w:rsidTr="00371819">
        <w:trPr>
          <w:gridAfter w:val="1"/>
          <w:wAfter w:w="24" w:type="dxa"/>
        </w:trPr>
        <w:tc>
          <w:tcPr>
            <w:tcW w:w="1316" w:type="dxa"/>
          </w:tcPr>
          <w:p w14:paraId="2EE4D697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</w:p>
        </w:tc>
        <w:tc>
          <w:tcPr>
            <w:tcW w:w="1267" w:type="dxa"/>
          </w:tcPr>
          <w:p w14:paraId="1C09194D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  <w:r w:rsidRPr="00E0209A">
              <w:rPr>
                <w:b w:val="0"/>
              </w:rPr>
              <w:t>Menej časté</w:t>
            </w:r>
          </w:p>
        </w:tc>
        <w:tc>
          <w:tcPr>
            <w:tcW w:w="0" w:type="auto"/>
          </w:tcPr>
          <w:p w14:paraId="241C6C87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  <w:r w:rsidRPr="00E0209A">
              <w:rPr>
                <w:b w:val="0"/>
              </w:rPr>
              <w:t>Orálna kandidóza (pri dlhodobom používaní)</w:t>
            </w:r>
          </w:p>
        </w:tc>
      </w:tr>
      <w:tr w:rsidR="003B7F66" w:rsidRPr="00E0209A" w14:paraId="2E941ACE" w14:textId="77777777" w:rsidTr="00371819">
        <w:trPr>
          <w:gridAfter w:val="1"/>
          <w:wAfter w:w="24" w:type="dxa"/>
        </w:trPr>
        <w:tc>
          <w:tcPr>
            <w:tcW w:w="1316" w:type="dxa"/>
          </w:tcPr>
          <w:p w14:paraId="4375221E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</w:p>
        </w:tc>
        <w:tc>
          <w:tcPr>
            <w:tcW w:w="1267" w:type="dxa"/>
          </w:tcPr>
          <w:p w14:paraId="7FAAB67B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  <w:r w:rsidRPr="00E0209A">
              <w:rPr>
                <w:b w:val="0"/>
              </w:rPr>
              <w:t>Zriedkavé</w:t>
            </w:r>
          </w:p>
        </w:tc>
        <w:tc>
          <w:tcPr>
            <w:tcW w:w="0" w:type="auto"/>
          </w:tcPr>
          <w:p w14:paraId="532787DD" w14:textId="77777777" w:rsidR="003B7F66" w:rsidRPr="00E0209A" w:rsidRDefault="003B7F66" w:rsidP="00371819">
            <w:pPr>
              <w:pStyle w:val="Nadpisuvnittabulky"/>
              <w:rPr>
                <w:b w:val="0"/>
              </w:rPr>
            </w:pPr>
            <w:proofErr w:type="spellStart"/>
            <w:r>
              <w:rPr>
                <w:b w:val="0"/>
              </w:rPr>
              <w:t>V</w:t>
            </w:r>
            <w:r w:rsidRPr="00E0209A">
              <w:rPr>
                <w:b w:val="0"/>
              </w:rPr>
              <w:t>aginitída</w:t>
            </w:r>
            <w:proofErr w:type="spellEnd"/>
            <w:r w:rsidRPr="00E0209A">
              <w:rPr>
                <w:b w:val="0"/>
              </w:rPr>
              <w:t xml:space="preserve">, genitálna </w:t>
            </w:r>
            <w:proofErr w:type="spellStart"/>
            <w:r w:rsidRPr="00E0209A">
              <w:rPr>
                <w:b w:val="0"/>
              </w:rPr>
              <w:t>kandidóza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moniliáza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3B7F66" w:rsidRPr="00E0209A" w14:paraId="42245673" w14:textId="77777777" w:rsidTr="00371819">
        <w:tc>
          <w:tcPr>
            <w:tcW w:w="9181" w:type="dxa"/>
            <w:gridSpan w:val="4"/>
          </w:tcPr>
          <w:p w14:paraId="02D50B6F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b/>
              </w:rPr>
            </w:pPr>
            <w:r w:rsidRPr="00E0209A">
              <w:rPr>
                <w:rStyle w:val="Bacil"/>
              </w:rPr>
              <w:t>Poruchy krvi a lymfatického systému</w:t>
            </w:r>
          </w:p>
        </w:tc>
      </w:tr>
      <w:tr w:rsidR="003B7F66" w:rsidRPr="00E0209A" w14:paraId="24E8F0FC" w14:textId="77777777" w:rsidTr="00371819">
        <w:tc>
          <w:tcPr>
            <w:tcW w:w="1316" w:type="dxa"/>
          </w:tcPr>
          <w:p w14:paraId="07154B4E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56F6AB6D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501B685C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Leukocytóza, </w:t>
            </w:r>
            <w:proofErr w:type="spellStart"/>
            <w:r w:rsidRPr="00E0209A">
              <w:t>granulocytóza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monocytóza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lymfocytopénia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bazofília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lastRenderedPageBreak/>
              <w:t>eozinofília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granulocytopénia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neutropénia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leukopénia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trombocytopénia</w:t>
            </w:r>
            <w:proofErr w:type="spellEnd"/>
          </w:p>
          <w:p w14:paraId="467F839D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Tieto účinky sú reverzibilné.</w:t>
            </w:r>
          </w:p>
        </w:tc>
      </w:tr>
      <w:tr w:rsidR="003B7F66" w:rsidRPr="00E0209A" w14:paraId="7491E3FC" w14:textId="77777777" w:rsidTr="00371819">
        <w:tc>
          <w:tcPr>
            <w:tcW w:w="1316" w:type="dxa"/>
          </w:tcPr>
          <w:p w14:paraId="1771A9F3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</w:p>
        </w:tc>
        <w:tc>
          <w:tcPr>
            <w:tcW w:w="1267" w:type="dxa"/>
          </w:tcPr>
          <w:p w14:paraId="7E917DCE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rPr>
                <w:szCs w:val="22"/>
              </w:rPr>
              <w:t>Veľ</w:t>
            </w:r>
            <w:r w:rsidRPr="00E0209A">
              <w:t>mi zriedkavé</w:t>
            </w:r>
          </w:p>
        </w:tc>
        <w:tc>
          <w:tcPr>
            <w:tcW w:w="0" w:type="auto"/>
            <w:gridSpan w:val="2"/>
          </w:tcPr>
          <w:p w14:paraId="2E944052" w14:textId="77777777" w:rsidR="003B7F66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Poruchy krvnej zrážanlivosti a v dôsledku toho krvácanie. </w:t>
            </w:r>
          </w:p>
          <w:p w14:paraId="087466A1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>
              <w:t>Pozri časť 4.4.</w:t>
            </w:r>
          </w:p>
        </w:tc>
      </w:tr>
      <w:tr w:rsidR="003B7F66" w:rsidRPr="00E0209A" w14:paraId="1BE87DEF" w14:textId="77777777" w:rsidTr="00371819">
        <w:tc>
          <w:tcPr>
            <w:tcW w:w="9181" w:type="dxa"/>
            <w:gridSpan w:val="4"/>
          </w:tcPr>
          <w:p w14:paraId="1BE42EEA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Poruchy imunitného systému</w:t>
            </w:r>
          </w:p>
        </w:tc>
      </w:tr>
      <w:tr w:rsidR="003B7F66" w:rsidRPr="00E0209A" w14:paraId="50CEE4E8" w14:textId="77777777" w:rsidTr="00371819">
        <w:tc>
          <w:tcPr>
            <w:tcW w:w="1316" w:type="dxa"/>
          </w:tcPr>
          <w:p w14:paraId="4133F2C5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00F54B35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Menej časté</w:t>
            </w:r>
          </w:p>
        </w:tc>
        <w:tc>
          <w:tcPr>
            <w:tcW w:w="0" w:type="auto"/>
            <w:gridSpan w:val="2"/>
          </w:tcPr>
          <w:p w14:paraId="5D52E959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Exantém, </w:t>
            </w:r>
            <w:proofErr w:type="spellStart"/>
            <w:r w:rsidRPr="00E0209A">
              <w:t>erytém</w:t>
            </w:r>
            <w:proofErr w:type="spellEnd"/>
            <w:r w:rsidRPr="00E0209A">
              <w:t xml:space="preserve">, exsudatívny </w:t>
            </w:r>
            <w:proofErr w:type="spellStart"/>
            <w:r w:rsidRPr="00E0209A">
              <w:t>multiformný</w:t>
            </w:r>
            <w:proofErr w:type="spellEnd"/>
            <w:r w:rsidRPr="00E0209A">
              <w:t xml:space="preserve"> </w:t>
            </w:r>
            <w:proofErr w:type="spellStart"/>
            <w:r w:rsidRPr="00E0209A">
              <w:t>erytém</w:t>
            </w:r>
            <w:proofErr w:type="spellEnd"/>
            <w:r w:rsidRPr="00E0209A">
              <w:t>, žihľavka, reverzibilná lokálna priepustnosť krvných ciev, slizníc a kĺbov (</w:t>
            </w:r>
            <w:proofErr w:type="spellStart"/>
            <w:r w:rsidRPr="00E0209A">
              <w:t>angioedém</w:t>
            </w:r>
            <w:proofErr w:type="spellEnd"/>
            <w:r w:rsidRPr="00E0209A">
              <w:t xml:space="preserve">), lieková horúčka, </w:t>
            </w:r>
            <w:proofErr w:type="spellStart"/>
            <w:r w:rsidRPr="00E0209A">
              <w:t>intersticiálna</w:t>
            </w:r>
            <w:proofErr w:type="spellEnd"/>
            <w:r w:rsidRPr="00E0209A">
              <w:t xml:space="preserve"> pneumónia alebo </w:t>
            </w:r>
            <w:proofErr w:type="spellStart"/>
            <w:r w:rsidRPr="00E0209A">
              <w:t>pneumonitída</w:t>
            </w:r>
            <w:proofErr w:type="spellEnd"/>
          </w:p>
        </w:tc>
      </w:tr>
      <w:tr w:rsidR="003B7F66" w:rsidRPr="00E0209A" w14:paraId="1501A623" w14:textId="77777777" w:rsidTr="00371819">
        <w:tc>
          <w:tcPr>
            <w:tcW w:w="1316" w:type="dxa"/>
          </w:tcPr>
          <w:p w14:paraId="2C307AF7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5AEA11AC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szCs w:val="22"/>
              </w:rPr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60B4D94F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proofErr w:type="spellStart"/>
            <w:r w:rsidRPr="00E0209A">
              <w:t>Stevens-Johnsonov</w:t>
            </w:r>
            <w:proofErr w:type="spellEnd"/>
            <w:r w:rsidRPr="00E0209A">
              <w:t xml:space="preserve"> syndróm, toxická </w:t>
            </w:r>
            <w:proofErr w:type="spellStart"/>
            <w:r w:rsidRPr="00E0209A">
              <w:t>epidermálna</w:t>
            </w:r>
            <w:proofErr w:type="spellEnd"/>
            <w:r w:rsidRPr="00E0209A">
              <w:t xml:space="preserve"> </w:t>
            </w:r>
            <w:proofErr w:type="spellStart"/>
            <w:r w:rsidRPr="00E0209A">
              <w:t>nekrolýza</w:t>
            </w:r>
            <w:proofErr w:type="spellEnd"/>
            <w:r w:rsidRPr="00E0209A">
              <w:t xml:space="preserve"> </w:t>
            </w:r>
          </w:p>
        </w:tc>
      </w:tr>
      <w:tr w:rsidR="003B7F66" w:rsidRPr="00E0209A" w14:paraId="0CDACFE1" w14:textId="77777777" w:rsidTr="00371819">
        <w:tc>
          <w:tcPr>
            <w:tcW w:w="1316" w:type="dxa"/>
          </w:tcPr>
          <w:p w14:paraId="7B4F388B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293936AA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rPr>
                <w:szCs w:val="22"/>
              </w:rPr>
              <w:t>Veľ</w:t>
            </w:r>
            <w:r w:rsidRPr="00E0209A">
              <w:t>mi zriedkavé</w:t>
            </w:r>
          </w:p>
        </w:tc>
        <w:tc>
          <w:tcPr>
            <w:tcW w:w="0" w:type="auto"/>
            <w:gridSpan w:val="2"/>
          </w:tcPr>
          <w:p w14:paraId="12F2EF80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proofErr w:type="spellStart"/>
            <w:r w:rsidRPr="00E0209A">
              <w:t>Pruritus</w:t>
            </w:r>
            <w:proofErr w:type="spellEnd"/>
            <w:r w:rsidRPr="00E0209A">
              <w:t xml:space="preserve"> ani, genitálny </w:t>
            </w:r>
            <w:proofErr w:type="spellStart"/>
            <w:r w:rsidRPr="00E0209A">
              <w:t>pruritus</w:t>
            </w:r>
            <w:proofErr w:type="spellEnd"/>
            <w:r w:rsidRPr="00E0209A">
              <w:t xml:space="preserve">, opuch tváre, opuch jazyka, opuch hrtana so zúžením dýchacích ciest, zvýšená </w:t>
            </w:r>
            <w:r>
              <w:t>pulzová</w:t>
            </w:r>
            <w:r w:rsidRPr="00E0209A">
              <w:t xml:space="preserve"> frekvencia, dýchavičnosť, hypotenzia, </w:t>
            </w:r>
            <w:proofErr w:type="spellStart"/>
            <w:r w:rsidRPr="00E0209A">
              <w:t>anafylaktický</w:t>
            </w:r>
            <w:proofErr w:type="spellEnd"/>
            <w:r w:rsidRPr="00E0209A">
              <w:t xml:space="preserve"> šok</w:t>
            </w:r>
          </w:p>
        </w:tc>
      </w:tr>
      <w:tr w:rsidR="003B7F66" w:rsidRPr="00E0209A" w14:paraId="726DB5E9" w14:textId="77777777" w:rsidTr="00371819">
        <w:tc>
          <w:tcPr>
            <w:tcW w:w="9181" w:type="dxa"/>
            <w:gridSpan w:val="4"/>
          </w:tcPr>
          <w:p w14:paraId="41659E10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b/>
              </w:rPr>
            </w:pPr>
            <w:r w:rsidRPr="00E0209A">
              <w:rPr>
                <w:rStyle w:val="Bacil"/>
              </w:rPr>
              <w:t>Poruchy nervového systému</w:t>
            </w:r>
          </w:p>
        </w:tc>
      </w:tr>
      <w:tr w:rsidR="003B7F66" w:rsidRPr="00E0209A" w14:paraId="667E95F2" w14:textId="77777777" w:rsidTr="00371819">
        <w:tc>
          <w:tcPr>
            <w:tcW w:w="1316" w:type="dxa"/>
          </w:tcPr>
          <w:p w14:paraId="75E88D46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7580AA57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Menej časté</w:t>
            </w:r>
          </w:p>
        </w:tc>
        <w:tc>
          <w:tcPr>
            <w:tcW w:w="0" w:type="auto"/>
            <w:gridSpan w:val="2"/>
          </w:tcPr>
          <w:p w14:paraId="6413CBCE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Kŕče (u pacientov s poruchou funkcie obličiek, ktorí boli liečení s neprimerane vysokými dávkami)</w:t>
            </w:r>
          </w:p>
        </w:tc>
      </w:tr>
      <w:tr w:rsidR="003B7F66" w:rsidRPr="00E0209A" w14:paraId="29AE7F03" w14:textId="77777777" w:rsidTr="00371819">
        <w:tc>
          <w:tcPr>
            <w:tcW w:w="1316" w:type="dxa"/>
          </w:tcPr>
          <w:p w14:paraId="214B4546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5FAD5888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182A4BE6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proofErr w:type="spellStart"/>
            <w:r w:rsidRPr="00E0209A">
              <w:t>Vertigo</w:t>
            </w:r>
            <w:proofErr w:type="spellEnd"/>
            <w:r w:rsidRPr="00E0209A">
              <w:t>, malátnosť, únava</w:t>
            </w:r>
          </w:p>
        </w:tc>
      </w:tr>
      <w:tr w:rsidR="003B7F66" w:rsidRPr="00E0209A" w14:paraId="3509868B" w14:textId="77777777" w:rsidTr="00371819">
        <w:tc>
          <w:tcPr>
            <w:tcW w:w="9181" w:type="dxa"/>
            <w:gridSpan w:val="4"/>
          </w:tcPr>
          <w:p w14:paraId="264B625E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Poruchy gastrointestinálneho traktu</w:t>
            </w:r>
          </w:p>
        </w:tc>
      </w:tr>
      <w:tr w:rsidR="003B7F66" w:rsidRPr="00E0209A" w14:paraId="08DC0E47" w14:textId="77777777" w:rsidTr="00371819">
        <w:tc>
          <w:tcPr>
            <w:tcW w:w="1316" w:type="dxa"/>
          </w:tcPr>
          <w:p w14:paraId="497B4688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</w:p>
        </w:tc>
        <w:tc>
          <w:tcPr>
            <w:tcW w:w="1267" w:type="dxa"/>
          </w:tcPr>
          <w:p w14:paraId="194DA68D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52FB2C37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Hnačka, nauzea, </w:t>
            </w:r>
            <w:proofErr w:type="spellStart"/>
            <w:r w:rsidRPr="00E0209A">
              <w:t>anorexia</w:t>
            </w:r>
            <w:proofErr w:type="spellEnd"/>
            <w:r w:rsidRPr="00E0209A">
              <w:t>, vracanie (tieto príznaky často vymiznú počas liečby alebo po jej ukončení)</w:t>
            </w:r>
          </w:p>
        </w:tc>
      </w:tr>
      <w:tr w:rsidR="003B7F66" w:rsidRPr="00E0209A" w14:paraId="48958AD9" w14:textId="77777777" w:rsidTr="00371819">
        <w:tc>
          <w:tcPr>
            <w:tcW w:w="9181" w:type="dxa"/>
            <w:gridSpan w:val="4"/>
          </w:tcPr>
          <w:p w14:paraId="7D1C7A87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Poruchy pečene a žlčových ciest</w:t>
            </w:r>
          </w:p>
        </w:tc>
      </w:tr>
      <w:tr w:rsidR="003B7F66" w:rsidRPr="00E0209A" w14:paraId="6CD25C86" w14:textId="77777777" w:rsidTr="00371819">
        <w:tc>
          <w:tcPr>
            <w:tcW w:w="1316" w:type="dxa"/>
          </w:tcPr>
          <w:p w14:paraId="2BFC7FC6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10BE99B6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7B1B993B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Prechodné zvýšenie sérovej koncentrácie AST, ALT, gama-GT, bilirubínu a/alebo LDH a alkalickej </w:t>
            </w:r>
            <w:proofErr w:type="spellStart"/>
            <w:r w:rsidRPr="00E0209A">
              <w:t>fosfatázy</w:t>
            </w:r>
            <w:proofErr w:type="spellEnd"/>
            <w:r w:rsidRPr="00E0209A">
              <w:t xml:space="preserve">, prechodné hepatitídy, prechodná </w:t>
            </w:r>
            <w:proofErr w:type="spellStart"/>
            <w:r w:rsidRPr="00E0209A">
              <w:t>cholestatická</w:t>
            </w:r>
            <w:proofErr w:type="spellEnd"/>
            <w:r w:rsidRPr="00E0209A">
              <w:t xml:space="preserve"> žltačka</w:t>
            </w:r>
          </w:p>
        </w:tc>
      </w:tr>
      <w:tr w:rsidR="003B7F66" w:rsidRPr="00E0209A" w14:paraId="40BA4170" w14:textId="77777777" w:rsidTr="00371819">
        <w:tc>
          <w:tcPr>
            <w:tcW w:w="9181" w:type="dxa"/>
            <w:gridSpan w:val="4"/>
          </w:tcPr>
          <w:p w14:paraId="5D3476B1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Poruchy obličiek a močových ciest</w:t>
            </w:r>
          </w:p>
        </w:tc>
      </w:tr>
      <w:tr w:rsidR="003B7F66" w:rsidRPr="00E0209A" w14:paraId="41868A53" w14:textId="77777777" w:rsidTr="00371819">
        <w:tc>
          <w:tcPr>
            <w:tcW w:w="1316" w:type="dxa"/>
          </w:tcPr>
          <w:p w14:paraId="446D370F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2CE61E55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13265B3A" w14:textId="2D1583C4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Prechodné zvýšenie dusíka močoviny v krvi (BUN), </w:t>
            </w:r>
            <w:proofErr w:type="spellStart"/>
            <w:r w:rsidRPr="00E0209A">
              <w:t>proteinúria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intersticiálna</w:t>
            </w:r>
            <w:proofErr w:type="spellEnd"/>
            <w:r w:rsidRPr="00E0209A">
              <w:t xml:space="preserve"> </w:t>
            </w:r>
            <w:proofErr w:type="spellStart"/>
            <w:r w:rsidRPr="00E0209A">
              <w:t>nefritída</w:t>
            </w:r>
            <w:proofErr w:type="spellEnd"/>
            <w:r w:rsidRPr="00E0209A">
              <w:t xml:space="preserve">, nedefinovaná </w:t>
            </w:r>
            <w:proofErr w:type="spellStart"/>
            <w:r w:rsidRPr="00E0209A">
              <w:t>nefropatia</w:t>
            </w:r>
            <w:proofErr w:type="spellEnd"/>
            <w:r w:rsidRPr="00E0209A">
              <w:t xml:space="preserve">, </w:t>
            </w:r>
            <w:proofErr w:type="spellStart"/>
            <w:r w:rsidRPr="00E0209A">
              <w:t>nefrotoxicita</w:t>
            </w:r>
            <w:proofErr w:type="spellEnd"/>
            <w:r w:rsidRPr="00E0209A">
              <w:t xml:space="preserve">, predovšetkým u pacientov liečených </w:t>
            </w:r>
            <w:r w:rsidR="00D35332" w:rsidRPr="00E0209A">
              <w:t>sú</w:t>
            </w:r>
            <w:r w:rsidR="00D35332">
              <w:t>bež</w:t>
            </w:r>
            <w:r w:rsidR="00D35332" w:rsidRPr="00E0209A">
              <w:t xml:space="preserve">ne </w:t>
            </w:r>
            <w:r w:rsidRPr="00E0209A">
              <w:t xml:space="preserve">inými potenciálne </w:t>
            </w:r>
            <w:proofErr w:type="spellStart"/>
            <w:r w:rsidRPr="00E0209A">
              <w:t>nefrotoxickými</w:t>
            </w:r>
            <w:proofErr w:type="spellEnd"/>
            <w:r w:rsidRPr="00E0209A">
              <w:t xml:space="preserve"> liekmi.</w:t>
            </w:r>
          </w:p>
        </w:tc>
      </w:tr>
      <w:tr w:rsidR="003B7F66" w:rsidRPr="00E0209A" w14:paraId="70C5608E" w14:textId="77777777" w:rsidTr="00371819">
        <w:tc>
          <w:tcPr>
            <w:tcW w:w="9181" w:type="dxa"/>
            <w:gridSpan w:val="4"/>
          </w:tcPr>
          <w:p w14:paraId="61756C37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Celkové poruchy a reakcie v mieste podania</w:t>
            </w:r>
          </w:p>
        </w:tc>
      </w:tr>
      <w:tr w:rsidR="003B7F66" w:rsidRPr="00E0209A" w14:paraId="10364007" w14:textId="77777777" w:rsidTr="00371819">
        <w:tc>
          <w:tcPr>
            <w:tcW w:w="1316" w:type="dxa"/>
          </w:tcPr>
          <w:p w14:paraId="5F161AF9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6E15B82B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highlight w:val="yellow"/>
              </w:rPr>
            </w:pPr>
            <w:r w:rsidRPr="00E0209A">
              <w:t>Časté</w:t>
            </w:r>
          </w:p>
        </w:tc>
        <w:tc>
          <w:tcPr>
            <w:tcW w:w="0" w:type="auto"/>
            <w:gridSpan w:val="2"/>
          </w:tcPr>
          <w:p w14:paraId="5247312C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Bolesť v mieste vpichu </w:t>
            </w:r>
            <w:proofErr w:type="spellStart"/>
            <w:r w:rsidRPr="00E0209A">
              <w:t>intramuskulárnej</w:t>
            </w:r>
            <w:proofErr w:type="spellEnd"/>
            <w:r w:rsidRPr="00E0209A">
              <w:t xml:space="preserve"> injekcie, niekedy so zatvrdnutím</w:t>
            </w:r>
          </w:p>
        </w:tc>
      </w:tr>
      <w:tr w:rsidR="003B7F66" w:rsidRPr="00E0209A" w14:paraId="25D1F3DE" w14:textId="77777777" w:rsidTr="00371819">
        <w:tc>
          <w:tcPr>
            <w:tcW w:w="1316" w:type="dxa"/>
          </w:tcPr>
          <w:p w14:paraId="0C42F442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7FA145CA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highlight w:val="yellow"/>
              </w:rPr>
            </w:pPr>
            <w:r w:rsidRPr="00E0209A">
              <w:t>Menej časté</w:t>
            </w:r>
          </w:p>
        </w:tc>
        <w:tc>
          <w:tcPr>
            <w:tcW w:w="0" w:type="auto"/>
            <w:gridSpan w:val="2"/>
          </w:tcPr>
          <w:p w14:paraId="68FF50F7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Pri intravenóznom podaní sa môže objaviť tromboflebitída </w:t>
            </w:r>
          </w:p>
        </w:tc>
      </w:tr>
      <w:tr w:rsidR="003B7F66" w:rsidRPr="00E0209A" w14:paraId="4D159D52" w14:textId="77777777" w:rsidTr="00371819">
        <w:tc>
          <w:tcPr>
            <w:tcW w:w="9181" w:type="dxa"/>
            <w:gridSpan w:val="4"/>
          </w:tcPr>
          <w:p w14:paraId="028540DA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  <w:rPr>
                <w:rStyle w:val="Bacil"/>
              </w:rPr>
            </w:pPr>
            <w:r w:rsidRPr="00E0209A">
              <w:rPr>
                <w:rStyle w:val="Bacil"/>
              </w:rPr>
              <w:t>Ďalšie nežiaduce účinky</w:t>
            </w:r>
          </w:p>
        </w:tc>
      </w:tr>
      <w:tr w:rsidR="003B7F66" w:rsidRPr="00E0209A" w14:paraId="5473E4E9" w14:textId="77777777" w:rsidTr="00371819">
        <w:tc>
          <w:tcPr>
            <w:tcW w:w="1316" w:type="dxa"/>
          </w:tcPr>
          <w:p w14:paraId="5141407C" w14:textId="77777777" w:rsidR="003B7F66" w:rsidRPr="00E0209A" w:rsidRDefault="003B7F66" w:rsidP="00371819">
            <w:pPr>
              <w:pStyle w:val="Styl4"/>
            </w:pPr>
          </w:p>
        </w:tc>
        <w:tc>
          <w:tcPr>
            <w:tcW w:w="1267" w:type="dxa"/>
          </w:tcPr>
          <w:p w14:paraId="4F53C2E4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Zriedkavé</w:t>
            </w:r>
          </w:p>
        </w:tc>
        <w:tc>
          <w:tcPr>
            <w:tcW w:w="0" w:type="auto"/>
            <w:gridSpan w:val="2"/>
          </w:tcPr>
          <w:p w14:paraId="5B68899B" w14:textId="77777777" w:rsidR="003B7F66" w:rsidRPr="00E0209A" w:rsidRDefault="003B7F66" w:rsidP="00371819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 xml:space="preserve">Bolesť na hrudi, </w:t>
            </w:r>
            <w:proofErr w:type="spellStart"/>
            <w:r w:rsidRPr="00E0209A">
              <w:t>pleurálny</w:t>
            </w:r>
            <w:proofErr w:type="spellEnd"/>
            <w:r w:rsidRPr="00E0209A">
              <w:t xml:space="preserve"> výpotok, dýchavičnosť alebo dychová tieseň, kašeľ, nádcha, zvýšenie alebo zníženie koncentrácie glukózy v</w:t>
            </w:r>
            <w:r w:rsidR="00B60E86">
              <w:t> </w:t>
            </w:r>
            <w:r w:rsidRPr="00E0209A">
              <w:t>krvi</w:t>
            </w:r>
          </w:p>
        </w:tc>
      </w:tr>
    </w:tbl>
    <w:p w14:paraId="7D21A42B" w14:textId="77777777" w:rsidR="003B7F66" w:rsidRDefault="003B7F66" w:rsidP="00B7552D">
      <w:pPr>
        <w:pStyle w:val="Normlndobloku"/>
      </w:pPr>
    </w:p>
    <w:p w14:paraId="0EA40A8C" w14:textId="3DAA9EE4" w:rsidR="0017393C" w:rsidRDefault="0017393C" w:rsidP="00A77916">
      <w:pPr>
        <w:pStyle w:val="Normlndobloku"/>
      </w:pPr>
      <w:r w:rsidRPr="00E0209A">
        <w:t xml:space="preserve">V prípade </w:t>
      </w:r>
      <w:r w:rsidR="006F2A66">
        <w:t>závažn</w:t>
      </w:r>
      <w:r w:rsidR="006F2A66" w:rsidRPr="00E0209A">
        <w:t xml:space="preserve">ej </w:t>
      </w:r>
      <w:r w:rsidRPr="00E0209A">
        <w:t xml:space="preserve">a pretrvávajúcej hnačky v priebehu alebo po ukončení liečby </w:t>
      </w:r>
      <w:proofErr w:type="spellStart"/>
      <w:r w:rsidRPr="00E0209A">
        <w:t>cefazolínom</w:t>
      </w:r>
      <w:proofErr w:type="spellEnd"/>
      <w:r w:rsidRPr="00E0209A">
        <w:t xml:space="preserve"> sa má pacient poradiť s lekárom. Hnačka môže byť príznakom závažného ochorenia (</w:t>
      </w:r>
      <w:proofErr w:type="spellStart"/>
      <w:r w:rsidRPr="00E0209A">
        <w:t>pseudomembranózna</w:t>
      </w:r>
      <w:proofErr w:type="spellEnd"/>
      <w:r w:rsidRPr="00E0209A">
        <w:t xml:space="preserve"> </w:t>
      </w:r>
      <w:proofErr w:type="spellStart"/>
      <w:r w:rsidRPr="00E0209A">
        <w:t>kolitída</w:t>
      </w:r>
      <w:proofErr w:type="spellEnd"/>
      <w:r w:rsidRPr="00E0209A">
        <w:t xml:space="preserve">), ktorá vyžaduje okamžitú liečbu. Pacient má byť poučený, aby nepoužíval samoliečbu, ktorá blokuje črevnú peristaltiku. Dlhodobé používanie </w:t>
      </w:r>
      <w:proofErr w:type="spellStart"/>
      <w:r w:rsidRPr="00E0209A">
        <w:t>cefalosporínov</w:t>
      </w:r>
      <w:proofErr w:type="spellEnd"/>
      <w:r w:rsidRPr="00E0209A">
        <w:t xml:space="preserve"> môže viesť k </w:t>
      </w:r>
      <w:r w:rsidR="004C6575" w:rsidRPr="00E0209A">
        <w:t>pre</w:t>
      </w:r>
      <w:r w:rsidR="004C6575">
        <w:t>množen</w:t>
      </w:r>
      <w:r w:rsidR="004C6575" w:rsidRPr="00E0209A">
        <w:t xml:space="preserve">iu </w:t>
      </w:r>
      <w:r w:rsidRPr="00E0209A">
        <w:t>necitlivých mikroorganizmov, najmä rodu</w:t>
      </w:r>
      <w:r w:rsidRPr="00E0209A">
        <w:rPr>
          <w:i/>
        </w:rPr>
        <w:t xml:space="preserve"> </w:t>
      </w:r>
      <w:proofErr w:type="spellStart"/>
      <w:r w:rsidRPr="00E0209A">
        <w:rPr>
          <w:i/>
        </w:rPr>
        <w:t>Enterobacter</w:t>
      </w:r>
      <w:proofErr w:type="spellEnd"/>
      <w:r w:rsidRPr="00E0209A">
        <w:rPr>
          <w:i/>
        </w:rPr>
        <w:t xml:space="preserve">, </w:t>
      </w:r>
      <w:proofErr w:type="spellStart"/>
      <w:r w:rsidRPr="00E0209A">
        <w:rPr>
          <w:i/>
        </w:rPr>
        <w:t>Citrobacter</w:t>
      </w:r>
      <w:proofErr w:type="spellEnd"/>
      <w:r w:rsidRPr="00E0209A">
        <w:rPr>
          <w:i/>
        </w:rPr>
        <w:t xml:space="preserve">, </w:t>
      </w:r>
      <w:proofErr w:type="spellStart"/>
      <w:r w:rsidRPr="00E0209A">
        <w:rPr>
          <w:i/>
        </w:rPr>
        <w:t>Pseudomonas</w:t>
      </w:r>
      <w:proofErr w:type="spellEnd"/>
      <w:r w:rsidRPr="00E0209A">
        <w:rPr>
          <w:i/>
        </w:rPr>
        <w:t xml:space="preserve">, </w:t>
      </w:r>
      <w:proofErr w:type="spellStart"/>
      <w:r w:rsidRPr="00FD27AC">
        <w:t>enterokok</w:t>
      </w:r>
      <w:r w:rsidR="00FD27AC">
        <w:t>ov</w:t>
      </w:r>
      <w:proofErr w:type="spellEnd"/>
      <w:r w:rsidRPr="00E0209A">
        <w:t xml:space="preserve"> a</w:t>
      </w:r>
      <w:r w:rsidR="00FD27AC">
        <w:t>lebo</w:t>
      </w:r>
      <w:r w:rsidRPr="00E0209A">
        <w:t> </w:t>
      </w:r>
      <w:r w:rsidR="00FD27AC">
        <w:t xml:space="preserve">rodu </w:t>
      </w:r>
      <w:proofErr w:type="spellStart"/>
      <w:r w:rsidRPr="00E0209A">
        <w:rPr>
          <w:i/>
        </w:rPr>
        <w:t>Candida</w:t>
      </w:r>
      <w:proofErr w:type="spellEnd"/>
      <w:r w:rsidRPr="00E0209A">
        <w:t>.</w:t>
      </w:r>
    </w:p>
    <w:p w14:paraId="46355954" w14:textId="77777777" w:rsidR="003B7F66" w:rsidRDefault="003B7F66" w:rsidP="00A77916">
      <w:pPr>
        <w:pStyle w:val="Normlndobloku"/>
      </w:pPr>
    </w:p>
    <w:p w14:paraId="4B67475B" w14:textId="77777777" w:rsidR="00B35788" w:rsidRDefault="00B35788" w:rsidP="00A77916">
      <w:pPr>
        <w:pStyle w:val="Normlndobloku"/>
      </w:pPr>
    </w:p>
    <w:p w14:paraId="5429389D" w14:textId="77777777" w:rsidR="00B35788" w:rsidRPr="00E0209A" w:rsidRDefault="00B35788" w:rsidP="00A77916">
      <w:pPr>
        <w:pStyle w:val="Normlndobloku"/>
      </w:pPr>
    </w:p>
    <w:p w14:paraId="07B0B566" w14:textId="389D1D3C" w:rsidR="0017393C" w:rsidRPr="00E0209A" w:rsidRDefault="001C5341" w:rsidP="00B7552D">
      <w:pPr>
        <w:pStyle w:val="Styl3"/>
        <w:spacing w:after="0"/>
        <w:jc w:val="left"/>
      </w:pPr>
      <w:r>
        <w:lastRenderedPageBreak/>
        <w:t>Vplyv na výsledky laboratórnych v</w:t>
      </w:r>
      <w:r w:rsidR="0017393C" w:rsidRPr="00E0209A">
        <w:t>yšetren</w:t>
      </w:r>
      <w:r>
        <w:t>í</w:t>
      </w:r>
    </w:p>
    <w:p w14:paraId="212BC147" w14:textId="7E775A1D" w:rsidR="0017393C" w:rsidRPr="00E0209A" w:rsidRDefault="003D336B" w:rsidP="00A77916">
      <w:pPr>
        <w:pStyle w:val="Normlndoblokusodrkami"/>
      </w:pPr>
      <w:r>
        <w:t>p</w:t>
      </w:r>
      <w:r w:rsidR="0017393C" w:rsidRPr="00E0209A">
        <w:t>rechodné zvýšenie AST, ALT, krvnej močoviny a alkalickej fosfatázy bez klinických príznakov poškodenia funkcie o</w:t>
      </w:r>
      <w:r w:rsidR="00FD27AC">
        <w:t>bličiek alebo poškodenia pečene</w:t>
      </w:r>
    </w:p>
    <w:p w14:paraId="26A2959D" w14:textId="43C90A23" w:rsidR="0017393C" w:rsidRDefault="0017393C" w:rsidP="00D42F90">
      <w:pPr>
        <w:pStyle w:val="Normlndobloku"/>
      </w:pPr>
      <w:r w:rsidRPr="00E0209A">
        <w:t xml:space="preserve">Údaje na zvieratách ukázali, že </w:t>
      </w:r>
      <w:proofErr w:type="spellStart"/>
      <w:r w:rsidRPr="00E0209A">
        <w:t>cefazolín</w:t>
      </w:r>
      <w:proofErr w:type="spellEnd"/>
      <w:r w:rsidRPr="00E0209A">
        <w:t xml:space="preserve"> je potenciálne </w:t>
      </w:r>
      <w:proofErr w:type="spellStart"/>
      <w:r w:rsidRPr="00E0209A">
        <w:t>nefrotoxický</w:t>
      </w:r>
      <w:proofErr w:type="spellEnd"/>
      <w:r w:rsidRPr="00E0209A">
        <w:t xml:space="preserve">. Aj keď tento jav nebol preukázaný u ľudí, je potrebné túto možnosť vziať do úvahy, a to najmä u pacientov, ktorým sú podávané vysoké dávky počas dlhšej doby. Zriedkavo bola zaznamenaná </w:t>
      </w:r>
      <w:proofErr w:type="spellStart"/>
      <w:r w:rsidRPr="00E0209A">
        <w:t>intersticiálna</w:t>
      </w:r>
      <w:proofErr w:type="spellEnd"/>
      <w:r w:rsidRPr="00E0209A">
        <w:t xml:space="preserve"> </w:t>
      </w:r>
      <w:proofErr w:type="spellStart"/>
      <w:r w:rsidRPr="00E0209A">
        <w:t>nefritída</w:t>
      </w:r>
      <w:proofErr w:type="spellEnd"/>
      <w:r w:rsidRPr="00E0209A">
        <w:t xml:space="preserve"> a nedefinovaná </w:t>
      </w:r>
      <w:proofErr w:type="spellStart"/>
      <w:r w:rsidRPr="00E0209A">
        <w:t>nefropatia</w:t>
      </w:r>
      <w:proofErr w:type="spellEnd"/>
      <w:r w:rsidRPr="00E0209A">
        <w:t xml:space="preserve">. Pacienti, u ktorých sa tieto ťažkosti vyskytli, boli závažne chorí a užívali </w:t>
      </w:r>
      <w:r w:rsidR="00FD27AC">
        <w:t xml:space="preserve">niekoľko </w:t>
      </w:r>
      <w:r w:rsidRPr="00E0209A">
        <w:t>rôzn</w:t>
      </w:r>
      <w:r w:rsidR="00FD27AC">
        <w:t>ych</w:t>
      </w:r>
      <w:r w:rsidRPr="00E0209A">
        <w:t xml:space="preserve"> liek</w:t>
      </w:r>
      <w:r w:rsidR="00FD27AC">
        <w:t>ov</w:t>
      </w:r>
      <w:r w:rsidRPr="00E0209A">
        <w:t xml:space="preserve">. Úloha </w:t>
      </w:r>
      <w:proofErr w:type="spellStart"/>
      <w:r w:rsidRPr="00E0209A">
        <w:t>cefazolínu</w:t>
      </w:r>
      <w:proofErr w:type="spellEnd"/>
      <w:r w:rsidRPr="00E0209A">
        <w:t xml:space="preserve"> v rozvoji </w:t>
      </w:r>
      <w:proofErr w:type="spellStart"/>
      <w:r w:rsidRPr="00E0209A">
        <w:t>intersticiálnej</w:t>
      </w:r>
      <w:proofErr w:type="spellEnd"/>
      <w:r w:rsidRPr="00E0209A">
        <w:t xml:space="preserve"> </w:t>
      </w:r>
      <w:proofErr w:type="spellStart"/>
      <w:r w:rsidRPr="00E0209A">
        <w:t>nefritídy</w:t>
      </w:r>
      <w:proofErr w:type="spellEnd"/>
      <w:r w:rsidRPr="00E0209A">
        <w:t xml:space="preserve"> a iných </w:t>
      </w:r>
      <w:proofErr w:type="spellStart"/>
      <w:r w:rsidRPr="00E0209A">
        <w:t>nefropat</w:t>
      </w:r>
      <w:r w:rsidR="001218EA">
        <w:t>i</w:t>
      </w:r>
      <w:r w:rsidRPr="00E0209A">
        <w:t>í</w:t>
      </w:r>
      <w:proofErr w:type="spellEnd"/>
      <w:r w:rsidRPr="00E0209A">
        <w:t xml:space="preserve"> nebola stanovená.</w:t>
      </w:r>
    </w:p>
    <w:p w14:paraId="46527330" w14:textId="77777777" w:rsidR="003B7F66" w:rsidRPr="00E0209A" w:rsidRDefault="003B7F66" w:rsidP="00D42F90">
      <w:pPr>
        <w:pStyle w:val="Normlndobloku"/>
      </w:pPr>
    </w:p>
    <w:p w14:paraId="6419D965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 xml:space="preserve">V zriedkavých prípadoch boli u niektorých </w:t>
      </w:r>
      <w:proofErr w:type="spellStart"/>
      <w:r w:rsidRPr="00E0209A">
        <w:t>cefalosporínov</w:t>
      </w:r>
      <w:proofErr w:type="spellEnd"/>
      <w:r w:rsidRPr="00E0209A">
        <w:t xml:space="preserve"> hlásené</w:t>
      </w:r>
    </w:p>
    <w:p w14:paraId="4EB5D32E" w14:textId="77777777" w:rsidR="0017393C" w:rsidRDefault="0017393C" w:rsidP="00A77916">
      <w:pPr>
        <w:pStyle w:val="Normlndobloku"/>
      </w:pPr>
      <w:r w:rsidRPr="00E0209A">
        <w:t xml:space="preserve">Znížený obsah hemoglobínu a/alebo </w:t>
      </w:r>
      <w:proofErr w:type="spellStart"/>
      <w:r w:rsidRPr="00E0209A">
        <w:t>hematokritu</w:t>
      </w:r>
      <w:proofErr w:type="spellEnd"/>
      <w:r w:rsidRPr="00E0209A">
        <w:t xml:space="preserve">, anémia, </w:t>
      </w:r>
      <w:proofErr w:type="spellStart"/>
      <w:r w:rsidRPr="00E0209A">
        <w:t>agranulocytóza</w:t>
      </w:r>
      <w:proofErr w:type="spellEnd"/>
      <w:r w:rsidRPr="00E0209A">
        <w:t xml:space="preserve">, </w:t>
      </w:r>
      <w:proofErr w:type="spellStart"/>
      <w:r w:rsidRPr="00E0209A">
        <w:t>aplastická</w:t>
      </w:r>
      <w:proofErr w:type="spellEnd"/>
      <w:r w:rsidRPr="00E0209A">
        <w:t xml:space="preserve"> anémia, </w:t>
      </w:r>
      <w:proofErr w:type="spellStart"/>
      <w:r w:rsidRPr="00E0209A">
        <w:t>pancytopénia</w:t>
      </w:r>
      <w:proofErr w:type="spellEnd"/>
      <w:r w:rsidRPr="00E0209A">
        <w:t xml:space="preserve">, </w:t>
      </w:r>
      <w:proofErr w:type="spellStart"/>
      <w:r w:rsidRPr="00E0209A">
        <w:t>hemolytická</w:t>
      </w:r>
      <w:proofErr w:type="spellEnd"/>
      <w:r w:rsidRPr="00E0209A">
        <w:t xml:space="preserve"> anémia.</w:t>
      </w:r>
    </w:p>
    <w:p w14:paraId="30735D3C" w14:textId="77777777" w:rsidR="003B7F66" w:rsidRPr="00E0209A" w:rsidRDefault="003B7F66" w:rsidP="00A77916">
      <w:pPr>
        <w:pStyle w:val="Normlndobloku"/>
      </w:pPr>
    </w:p>
    <w:p w14:paraId="54CC9240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 xml:space="preserve">Tieto účinky boli hlásené pri liečbe niektorými </w:t>
      </w:r>
      <w:proofErr w:type="spellStart"/>
      <w:r w:rsidRPr="00E0209A">
        <w:t>cefalosporínmi</w:t>
      </w:r>
      <w:proofErr w:type="spellEnd"/>
    </w:p>
    <w:p w14:paraId="471377B8" w14:textId="77777777" w:rsidR="0017393C" w:rsidRDefault="0017393C" w:rsidP="00A77916">
      <w:pPr>
        <w:pStyle w:val="Normlndobloku"/>
      </w:pPr>
      <w:r w:rsidRPr="00E0209A">
        <w:t xml:space="preserve">Nočné mory, závraty, hyperaktivita, nervozita alebo úzkosť, nespavosť, ospalosť, slabosť, návaly tepla, poruchy farebného videnia, zmätenosť, </w:t>
      </w:r>
      <w:proofErr w:type="spellStart"/>
      <w:r w:rsidRPr="00E0209A">
        <w:t>epileptogénna</w:t>
      </w:r>
      <w:proofErr w:type="spellEnd"/>
      <w:r w:rsidRPr="00E0209A">
        <w:t xml:space="preserve"> aktivita.</w:t>
      </w:r>
    </w:p>
    <w:p w14:paraId="50E498D9" w14:textId="77777777" w:rsidR="003B7F66" w:rsidRPr="00E0209A" w:rsidRDefault="003B7F66" w:rsidP="00A77916">
      <w:pPr>
        <w:pStyle w:val="Normlndobloku"/>
      </w:pPr>
    </w:p>
    <w:p w14:paraId="6CC88FDA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Hlásenie podozrení na nežiaduce reakcie</w:t>
      </w:r>
    </w:p>
    <w:p w14:paraId="654381EC" w14:textId="77777777" w:rsidR="0017393C" w:rsidRDefault="0017393C" w:rsidP="00A77916">
      <w:pPr>
        <w:pStyle w:val="Normlndobloku"/>
      </w:pPr>
      <w:r w:rsidRPr="00E0209A"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D6224B">
        <w:t>na</w:t>
      </w:r>
      <w:r w:rsidR="00D6224B" w:rsidRPr="00E0209A">
        <w:t xml:space="preserve"> </w:t>
      </w:r>
      <w:r w:rsidRPr="00E0209A">
        <w:rPr>
          <w:highlight w:val="lightGray"/>
        </w:rPr>
        <w:t xml:space="preserve">národné </w:t>
      </w:r>
      <w:r w:rsidR="00D6224B">
        <w:rPr>
          <w:highlight w:val="lightGray"/>
        </w:rPr>
        <w:t>centrum</w:t>
      </w:r>
      <w:r w:rsidRPr="00E0209A">
        <w:rPr>
          <w:highlight w:val="lightGray"/>
        </w:rPr>
        <w:t xml:space="preserve"> hlásenia uvedené v </w:t>
      </w:r>
      <w:hyperlink r:id="rId7" w:history="1">
        <w:r w:rsidRPr="00E0209A">
          <w:rPr>
            <w:highlight w:val="lightGray"/>
          </w:rPr>
          <w:t>Prílohe V</w:t>
        </w:r>
      </w:hyperlink>
      <w:r w:rsidRPr="00E0209A">
        <w:rPr>
          <w:highlight w:val="lightGray"/>
        </w:rPr>
        <w:t>.</w:t>
      </w:r>
    </w:p>
    <w:p w14:paraId="69DC31F1" w14:textId="77777777" w:rsidR="00762AD1" w:rsidRPr="00E0209A" w:rsidRDefault="00762AD1" w:rsidP="00A77916">
      <w:pPr>
        <w:pStyle w:val="Normlndobloku"/>
      </w:pPr>
    </w:p>
    <w:p w14:paraId="3F74EA61" w14:textId="77777777" w:rsidR="0017393C" w:rsidRDefault="0017393C" w:rsidP="00B7552D">
      <w:pPr>
        <w:pStyle w:val="Styl2"/>
        <w:spacing w:before="0" w:after="0"/>
      </w:pPr>
      <w:r w:rsidRPr="00E0209A">
        <w:t>Predávkovanie</w:t>
      </w:r>
    </w:p>
    <w:p w14:paraId="03506070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3D9049F5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Príznaky</w:t>
      </w:r>
    </w:p>
    <w:p w14:paraId="6372085B" w14:textId="77777777" w:rsidR="0017393C" w:rsidRDefault="0017393C" w:rsidP="00A77916">
      <w:pPr>
        <w:pStyle w:val="Normlndobloku"/>
      </w:pPr>
      <w:r w:rsidRPr="00E0209A">
        <w:t xml:space="preserve">Príznaky môžu zahŕňať bolesť, </w:t>
      </w:r>
      <w:proofErr w:type="spellStart"/>
      <w:r w:rsidRPr="00E0209A">
        <w:t>flebitídu</w:t>
      </w:r>
      <w:proofErr w:type="spellEnd"/>
      <w:r w:rsidRPr="00E0209A">
        <w:t xml:space="preserve"> a zápal v mieste aplikácie. Po </w:t>
      </w:r>
      <w:proofErr w:type="spellStart"/>
      <w:r w:rsidRPr="00E0209A">
        <w:t>parenterálnej</w:t>
      </w:r>
      <w:proofErr w:type="spellEnd"/>
      <w:r w:rsidRPr="00E0209A">
        <w:t xml:space="preserve"> aplikácii nezvyčajne vysokých dávok </w:t>
      </w:r>
      <w:proofErr w:type="spellStart"/>
      <w:r w:rsidRPr="00E0209A">
        <w:t>cefalosporínov</w:t>
      </w:r>
      <w:proofErr w:type="spellEnd"/>
      <w:r w:rsidRPr="00E0209A">
        <w:t xml:space="preserve"> sa môžu objaviť závraty, bolesť hlavy, </w:t>
      </w:r>
      <w:proofErr w:type="spellStart"/>
      <w:r w:rsidRPr="00E0209A">
        <w:t>parestézia</w:t>
      </w:r>
      <w:proofErr w:type="spellEnd"/>
      <w:r w:rsidRPr="00E0209A">
        <w:t xml:space="preserve">. Po predávkovaní niektorými </w:t>
      </w:r>
      <w:proofErr w:type="spellStart"/>
      <w:r w:rsidRPr="00E0209A">
        <w:t>cefalosporínmi</w:t>
      </w:r>
      <w:proofErr w:type="spellEnd"/>
      <w:r w:rsidRPr="00E0209A">
        <w:t xml:space="preserve"> sa môžu objaviť kŕče, najmä u pacientov s poruchou funkcie obličiek, u ktorých môže ľahšie dôjsť k akumulácii. Výsledky laboratórnych testov po predávkovaní môžu ukázať vyššie hodnoty bilirubínu, BUN, kreatinínu, pečeňových enzýmov, pozitívny </w:t>
      </w:r>
      <w:proofErr w:type="spellStart"/>
      <w:r w:rsidRPr="00E0209A">
        <w:t>Coombsov</w:t>
      </w:r>
      <w:proofErr w:type="spellEnd"/>
      <w:r w:rsidRPr="00E0209A">
        <w:t xml:space="preserve"> test a </w:t>
      </w:r>
      <w:proofErr w:type="spellStart"/>
      <w:r w:rsidRPr="00E0209A">
        <w:t>eozinofíliu</w:t>
      </w:r>
      <w:proofErr w:type="spellEnd"/>
      <w:r w:rsidRPr="00E0209A">
        <w:t xml:space="preserve">, </w:t>
      </w:r>
      <w:proofErr w:type="spellStart"/>
      <w:r w:rsidRPr="00E0209A">
        <w:t>leukopéniu</w:t>
      </w:r>
      <w:proofErr w:type="spellEnd"/>
      <w:r w:rsidRPr="00E0209A">
        <w:t xml:space="preserve">, </w:t>
      </w:r>
      <w:proofErr w:type="spellStart"/>
      <w:r w:rsidRPr="00E0209A">
        <w:t>trombocytopéniu</w:t>
      </w:r>
      <w:proofErr w:type="spellEnd"/>
      <w:r w:rsidRPr="00E0209A">
        <w:t xml:space="preserve"> a predĺženie </w:t>
      </w:r>
      <w:proofErr w:type="spellStart"/>
      <w:r w:rsidRPr="00E0209A">
        <w:t>protrombínového</w:t>
      </w:r>
      <w:proofErr w:type="spellEnd"/>
      <w:r w:rsidRPr="00E0209A">
        <w:t xml:space="preserve"> času.</w:t>
      </w:r>
    </w:p>
    <w:p w14:paraId="28B77F6D" w14:textId="77777777" w:rsidR="003B7F66" w:rsidRPr="00E0209A" w:rsidRDefault="003B7F66" w:rsidP="00A77916">
      <w:pPr>
        <w:pStyle w:val="Normlndobloku"/>
      </w:pPr>
    </w:p>
    <w:p w14:paraId="22A02F73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Liečba</w:t>
      </w:r>
    </w:p>
    <w:p w14:paraId="764900C0" w14:textId="77777777" w:rsidR="0017393C" w:rsidRDefault="0017393C" w:rsidP="00A77916">
      <w:pPr>
        <w:pStyle w:val="Normlndobloku"/>
      </w:pPr>
      <w:r w:rsidRPr="00E0209A">
        <w:t xml:space="preserve">Pri výskyte kŕčov sa musí okamžite ukončiť podávanie </w:t>
      </w:r>
      <w:r w:rsidR="00FD27AC">
        <w:t xml:space="preserve">ZEPILENU. Musí byť ihneď k dispozícii </w:t>
      </w:r>
      <w:proofErr w:type="spellStart"/>
      <w:r w:rsidRPr="00E0209A">
        <w:t>antikonvulzívna</w:t>
      </w:r>
      <w:proofErr w:type="spellEnd"/>
      <w:r w:rsidRPr="00E0209A">
        <w:t xml:space="preserve"> liečba </w:t>
      </w:r>
      <w:r w:rsidR="00FD27AC">
        <w:t>a</w:t>
      </w:r>
      <w:r w:rsidR="009965D9">
        <w:t xml:space="preserve"> má sa </w:t>
      </w:r>
      <w:r w:rsidRPr="00E0209A">
        <w:t>podporiť ventiláci</w:t>
      </w:r>
      <w:r w:rsidR="009965D9">
        <w:t>a</w:t>
      </w:r>
      <w:r w:rsidRPr="00E0209A">
        <w:t xml:space="preserve"> a </w:t>
      </w:r>
      <w:proofErr w:type="spellStart"/>
      <w:r w:rsidRPr="00E0209A">
        <w:t>perfúzi</w:t>
      </w:r>
      <w:r w:rsidR="009965D9">
        <w:t>a</w:t>
      </w:r>
      <w:proofErr w:type="spellEnd"/>
      <w:r w:rsidRPr="00E0209A">
        <w:t xml:space="preserve">. Je potrebné </w:t>
      </w:r>
      <w:r w:rsidR="009965D9">
        <w:t xml:space="preserve">starostlivo </w:t>
      </w:r>
      <w:r w:rsidRPr="00E0209A">
        <w:t>monitorovať životné funkcie. Kombinovaná hemodialýza a </w:t>
      </w:r>
      <w:proofErr w:type="spellStart"/>
      <w:r w:rsidRPr="00E0209A">
        <w:t>hemoperfúzia</w:t>
      </w:r>
      <w:proofErr w:type="spellEnd"/>
      <w:r w:rsidRPr="00E0209A">
        <w:t xml:space="preserve"> môže byť zvážená v prípade závažného predávkovania, najmä u pacientov s poruchou funkcie obličiek, ak je odpoveď na konzervatívnejšiu liečbu nedostatočná. Údaje podporujúce túto terapiu však nie sú dostupné.</w:t>
      </w:r>
    </w:p>
    <w:p w14:paraId="69AECBDF" w14:textId="77777777" w:rsidR="00441F1F" w:rsidRDefault="00441F1F" w:rsidP="00A77916">
      <w:pPr>
        <w:pStyle w:val="Normlndobloku"/>
      </w:pPr>
    </w:p>
    <w:p w14:paraId="71D0093E" w14:textId="77777777" w:rsidR="00A77916" w:rsidRPr="00E0209A" w:rsidRDefault="00A77916" w:rsidP="00D42F90">
      <w:pPr>
        <w:pStyle w:val="Normlndobloku"/>
      </w:pPr>
    </w:p>
    <w:p w14:paraId="54FF8A8E" w14:textId="77777777" w:rsidR="0017393C" w:rsidRDefault="0017393C" w:rsidP="00B7552D">
      <w:pPr>
        <w:pStyle w:val="Styl1"/>
        <w:spacing w:before="0" w:after="0"/>
      </w:pPr>
      <w:r w:rsidRPr="00E0209A">
        <w:t>Farmakologické vlastnosti</w:t>
      </w:r>
    </w:p>
    <w:p w14:paraId="6A734D50" w14:textId="77777777" w:rsidR="00762AD1" w:rsidRPr="00E0209A" w:rsidRDefault="00762AD1" w:rsidP="00A77916">
      <w:pPr>
        <w:pStyle w:val="Styl1"/>
        <w:numPr>
          <w:ilvl w:val="0"/>
          <w:numId w:val="0"/>
        </w:numPr>
        <w:spacing w:before="0" w:after="0"/>
      </w:pPr>
    </w:p>
    <w:p w14:paraId="6469ED32" w14:textId="77777777" w:rsidR="0017393C" w:rsidRDefault="0017393C" w:rsidP="00B7552D">
      <w:pPr>
        <w:pStyle w:val="Styl2"/>
        <w:spacing w:before="0" w:after="0"/>
      </w:pPr>
      <w:proofErr w:type="spellStart"/>
      <w:r w:rsidRPr="00E0209A">
        <w:t>Farmakodynamické</w:t>
      </w:r>
      <w:proofErr w:type="spellEnd"/>
      <w:r w:rsidRPr="00E0209A">
        <w:t xml:space="preserve"> vlastnosti</w:t>
      </w:r>
    </w:p>
    <w:p w14:paraId="4EBD9006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594B0F7E" w14:textId="77777777" w:rsidR="0017393C" w:rsidRPr="00E0209A" w:rsidRDefault="0017393C" w:rsidP="00A77916">
      <w:pPr>
        <w:pStyle w:val="Normlndobloku"/>
      </w:pPr>
      <w:proofErr w:type="spellStart"/>
      <w:r w:rsidRPr="00E0209A">
        <w:t>Farmakoterapeutická</w:t>
      </w:r>
      <w:proofErr w:type="spellEnd"/>
      <w:r w:rsidRPr="00E0209A">
        <w:t xml:space="preserve"> skupina: iné beta-</w:t>
      </w:r>
      <w:proofErr w:type="spellStart"/>
      <w:r w:rsidRPr="00E0209A">
        <w:t>laktámové</w:t>
      </w:r>
      <w:proofErr w:type="spellEnd"/>
      <w:r w:rsidRPr="00E0209A">
        <w:t xml:space="preserve"> antibiotiká, I. generácia </w:t>
      </w:r>
      <w:proofErr w:type="spellStart"/>
      <w:r w:rsidRPr="00E0209A">
        <w:t>cefalosporínov</w:t>
      </w:r>
      <w:proofErr w:type="spellEnd"/>
    </w:p>
    <w:p w14:paraId="2F9E4265" w14:textId="77777777" w:rsidR="0017393C" w:rsidRDefault="0017393C" w:rsidP="00A77916">
      <w:pPr>
        <w:pStyle w:val="Normlndobloku"/>
      </w:pPr>
      <w:r w:rsidRPr="00E0209A">
        <w:t>ATC kód: J01DB04</w:t>
      </w:r>
    </w:p>
    <w:p w14:paraId="6565EC90" w14:textId="77777777" w:rsidR="003B7F66" w:rsidRPr="00E0209A" w:rsidRDefault="003B7F66" w:rsidP="00A77916">
      <w:pPr>
        <w:pStyle w:val="Normlndobloku"/>
      </w:pPr>
    </w:p>
    <w:p w14:paraId="12314248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Mechanizmus účinku</w:t>
      </w:r>
    </w:p>
    <w:p w14:paraId="06C88233" w14:textId="1296C772" w:rsidR="0017393C" w:rsidRDefault="0017393C" w:rsidP="00A77916">
      <w:pPr>
        <w:pStyle w:val="Normlndobloku"/>
      </w:pPr>
      <w:r w:rsidRPr="00E0209A">
        <w:t xml:space="preserve">Všetky </w:t>
      </w:r>
      <w:proofErr w:type="spellStart"/>
      <w:r w:rsidRPr="00E0209A">
        <w:t>cefalosporíny</w:t>
      </w:r>
      <w:proofErr w:type="spellEnd"/>
      <w:r w:rsidRPr="00E0209A">
        <w:t xml:space="preserve"> (beta-</w:t>
      </w:r>
      <w:proofErr w:type="spellStart"/>
      <w:r w:rsidRPr="00E0209A">
        <w:t>laktámové</w:t>
      </w:r>
      <w:proofErr w:type="spellEnd"/>
      <w:r w:rsidRPr="00E0209A">
        <w:t xml:space="preserve"> antibiotiká) </w:t>
      </w:r>
      <w:proofErr w:type="spellStart"/>
      <w:r w:rsidRPr="00E0209A">
        <w:t>inhibujú</w:t>
      </w:r>
      <w:proofErr w:type="spellEnd"/>
      <w:r w:rsidRPr="00E0209A">
        <w:t xml:space="preserve"> tvorbu bunkovej steny a sú selektívnymi inhibítormi syntézy </w:t>
      </w:r>
      <w:proofErr w:type="spellStart"/>
      <w:r w:rsidRPr="00E0209A">
        <w:t>peptidoglykánu</w:t>
      </w:r>
      <w:proofErr w:type="spellEnd"/>
      <w:r w:rsidRPr="00E0209A">
        <w:t>. Prvým krokom mechanizmu je väzba látky na bunkové receptory (penicilín-</w:t>
      </w:r>
      <w:r w:rsidR="00FF4174">
        <w:t>viažuce</w:t>
      </w:r>
      <w:r w:rsidR="00FF4174" w:rsidRPr="00E0209A">
        <w:t xml:space="preserve"> </w:t>
      </w:r>
      <w:r w:rsidRPr="00E0209A">
        <w:t xml:space="preserve">proteíny). Po vytvorení tejto väzby je </w:t>
      </w:r>
      <w:proofErr w:type="spellStart"/>
      <w:r w:rsidRPr="00E0209A">
        <w:t>transpeptidačná</w:t>
      </w:r>
      <w:proofErr w:type="spellEnd"/>
      <w:r w:rsidRPr="00E0209A">
        <w:t xml:space="preserve"> reakcia </w:t>
      </w:r>
      <w:proofErr w:type="spellStart"/>
      <w:r w:rsidRPr="00E0209A">
        <w:t>inhibovaná</w:t>
      </w:r>
      <w:proofErr w:type="spellEnd"/>
      <w:r w:rsidRPr="00E0209A">
        <w:t xml:space="preserve"> a tým dôjde k blokáde syntézy </w:t>
      </w:r>
      <w:proofErr w:type="spellStart"/>
      <w:r w:rsidRPr="00E0209A">
        <w:t>peptidoglykánu</w:t>
      </w:r>
      <w:proofErr w:type="spellEnd"/>
      <w:r w:rsidRPr="00E0209A">
        <w:t>. Konečným výsledkom je deštrukcia baktérie.</w:t>
      </w:r>
    </w:p>
    <w:p w14:paraId="5537A14A" w14:textId="77777777" w:rsidR="003B7F66" w:rsidRDefault="003B7F66" w:rsidP="00A77916">
      <w:pPr>
        <w:pStyle w:val="Normlndobloku"/>
      </w:pPr>
    </w:p>
    <w:p w14:paraId="4C6DAE9C" w14:textId="77777777" w:rsidR="00B35788" w:rsidRPr="00E0209A" w:rsidRDefault="00B35788" w:rsidP="00A77916">
      <w:pPr>
        <w:pStyle w:val="Normlndobloku"/>
      </w:pPr>
    </w:p>
    <w:p w14:paraId="523367A7" w14:textId="77777777" w:rsidR="0017393C" w:rsidRPr="00E0209A" w:rsidRDefault="0017393C" w:rsidP="00B7552D">
      <w:pPr>
        <w:pStyle w:val="Styl3"/>
        <w:spacing w:after="0"/>
        <w:jc w:val="left"/>
      </w:pPr>
      <w:r w:rsidRPr="00E0209A">
        <w:lastRenderedPageBreak/>
        <w:t>Mechanizmy rezistencie</w:t>
      </w:r>
    </w:p>
    <w:p w14:paraId="191C4E5B" w14:textId="4329018F" w:rsidR="0017393C" w:rsidRPr="00E0209A" w:rsidRDefault="0017393C" w:rsidP="00A77916">
      <w:pPr>
        <w:pStyle w:val="Normlndobloku"/>
      </w:pPr>
      <w:r w:rsidRPr="00E0209A">
        <w:t>Beta-</w:t>
      </w:r>
      <w:proofErr w:type="spellStart"/>
      <w:r w:rsidRPr="00E0209A">
        <w:t>laktámové</w:t>
      </w:r>
      <w:proofErr w:type="spellEnd"/>
      <w:r w:rsidRPr="00E0209A">
        <w:t xml:space="preserve"> antibiotiká obsahujú tzv. beta-</w:t>
      </w:r>
      <w:proofErr w:type="spellStart"/>
      <w:r w:rsidRPr="00E0209A">
        <w:t>laktámový</w:t>
      </w:r>
      <w:proofErr w:type="spellEnd"/>
      <w:r w:rsidRPr="00E0209A">
        <w:t xml:space="preserve"> kruh, ktorý je nevyhnutný pre </w:t>
      </w:r>
      <w:proofErr w:type="spellStart"/>
      <w:r w:rsidRPr="00E0209A">
        <w:t>antimikrobiálnu</w:t>
      </w:r>
      <w:proofErr w:type="spellEnd"/>
      <w:r w:rsidRPr="00E0209A">
        <w:t xml:space="preserve"> aktivitu. Pokiaľ je tento kruh otvorený, antibiotiká strácajú svoju účinnosť. Niektoré baktérie majú enzýmy (beta-</w:t>
      </w:r>
      <w:proofErr w:type="spellStart"/>
      <w:r w:rsidRPr="00E0209A">
        <w:t>laktamázy</w:t>
      </w:r>
      <w:proofErr w:type="spellEnd"/>
      <w:r w:rsidRPr="00E0209A">
        <w:t xml:space="preserve">), ktoré sú schopné kruh otvoriť a  tak </w:t>
      </w:r>
      <w:r w:rsidR="00BC6D85">
        <w:t xml:space="preserve">získavajú </w:t>
      </w:r>
      <w:r w:rsidRPr="00E0209A">
        <w:t>odoln</w:t>
      </w:r>
      <w:r w:rsidR="00BC6D85">
        <w:t>osť</w:t>
      </w:r>
      <w:r w:rsidRPr="00E0209A">
        <w:t xml:space="preserve"> proti tomuto typu antibiotík.</w:t>
      </w:r>
    </w:p>
    <w:p w14:paraId="6DF6C6FB" w14:textId="431FE660" w:rsidR="0017393C" w:rsidRDefault="0017393C" w:rsidP="00A77916">
      <w:pPr>
        <w:pStyle w:val="Normlndobloku"/>
        <w:rPr>
          <w:i/>
        </w:rPr>
      </w:pPr>
      <w:r w:rsidRPr="00E0209A">
        <w:t xml:space="preserve">Tak ako u iných </w:t>
      </w:r>
      <w:proofErr w:type="spellStart"/>
      <w:r w:rsidRPr="00E0209A">
        <w:t>cefalosporínov</w:t>
      </w:r>
      <w:proofErr w:type="spellEnd"/>
      <w:r w:rsidRPr="00E0209A">
        <w:t xml:space="preserve"> a iných beta-</w:t>
      </w:r>
      <w:proofErr w:type="spellStart"/>
      <w:r w:rsidRPr="00E0209A">
        <w:t>laktámových</w:t>
      </w:r>
      <w:proofErr w:type="spellEnd"/>
      <w:r w:rsidRPr="00E0209A">
        <w:t xml:space="preserve"> antibiotík sa získané mechanizmy rezistencie líšia podľa skupiny baktérií. Zahŕňajú zmeny v cieľovej časti bakteriálnej bunky (penicilín-</w:t>
      </w:r>
      <w:r w:rsidR="0003380D">
        <w:t>viažuce</w:t>
      </w:r>
      <w:r w:rsidR="0003380D" w:rsidRPr="00E0209A">
        <w:t xml:space="preserve"> </w:t>
      </w:r>
      <w:r w:rsidR="0003380D">
        <w:t>proteíny</w:t>
      </w:r>
      <w:r w:rsidRPr="00E0209A">
        <w:t>, PBP), enzymatickú degradáciu beta-</w:t>
      </w:r>
      <w:proofErr w:type="spellStart"/>
      <w:r w:rsidRPr="00E0209A">
        <w:t>laktamáz</w:t>
      </w:r>
      <w:r w:rsidR="0003380D">
        <w:t>ami</w:t>
      </w:r>
      <w:proofErr w:type="spellEnd"/>
      <w:r w:rsidRPr="00E0209A">
        <w:t xml:space="preserve"> a zmenenú prístupnosť cieľového miesta. Existuje skrížená rezistencia medzi </w:t>
      </w:r>
      <w:proofErr w:type="spellStart"/>
      <w:r w:rsidRPr="00E0209A">
        <w:t>cefalosporínmi</w:t>
      </w:r>
      <w:proofErr w:type="spellEnd"/>
      <w:r w:rsidRPr="00E0209A">
        <w:t xml:space="preserve"> a penicilínmi. </w:t>
      </w:r>
      <w:proofErr w:type="spellStart"/>
      <w:r w:rsidRPr="00E0209A">
        <w:t>Gramnegatívne</w:t>
      </w:r>
      <w:proofErr w:type="spellEnd"/>
      <w:r w:rsidRPr="00E0209A">
        <w:t xml:space="preserve"> mikroorganizmy, ktoré obsahujú </w:t>
      </w:r>
      <w:proofErr w:type="spellStart"/>
      <w:r w:rsidRPr="00E0209A">
        <w:t>inducibilné</w:t>
      </w:r>
      <w:proofErr w:type="spellEnd"/>
      <w:r w:rsidRPr="00E0209A">
        <w:t xml:space="preserve"> </w:t>
      </w:r>
      <w:proofErr w:type="spellStart"/>
      <w:r w:rsidRPr="00E0209A">
        <w:t>chromozomálne</w:t>
      </w:r>
      <w:proofErr w:type="spellEnd"/>
      <w:r w:rsidRPr="00E0209A">
        <w:t xml:space="preserve"> </w:t>
      </w:r>
      <w:r w:rsidR="0003380D" w:rsidRPr="00E0209A">
        <w:t xml:space="preserve">viazané </w:t>
      </w:r>
      <w:r w:rsidRPr="00E0209A">
        <w:t xml:space="preserve">beta- </w:t>
      </w:r>
      <w:proofErr w:type="spellStart"/>
      <w:r w:rsidRPr="00E0209A">
        <w:t>laktamázy</w:t>
      </w:r>
      <w:proofErr w:type="spellEnd"/>
      <w:r w:rsidRPr="00E0209A">
        <w:t xml:space="preserve">, ako je </w:t>
      </w:r>
      <w:proofErr w:type="spellStart"/>
      <w:r w:rsidRPr="00E0209A">
        <w:rPr>
          <w:i/>
        </w:rPr>
        <w:t>Enterobacter</w:t>
      </w:r>
      <w:proofErr w:type="spellEnd"/>
      <w:r w:rsidRPr="00E0209A">
        <w:rPr>
          <w:i/>
        </w:rPr>
        <w:t xml:space="preserve"> </w:t>
      </w:r>
      <w:proofErr w:type="spellStart"/>
      <w:r w:rsidRPr="00066D2F">
        <w:t>spp</w:t>
      </w:r>
      <w:proofErr w:type="spellEnd"/>
      <w:r w:rsidRPr="00066D2F">
        <w:t>.,</w:t>
      </w:r>
      <w:r w:rsidRPr="00E0209A">
        <w:rPr>
          <w:i/>
        </w:rPr>
        <w:t xml:space="preserve"> </w:t>
      </w:r>
      <w:proofErr w:type="spellStart"/>
      <w:r w:rsidRPr="00E0209A">
        <w:rPr>
          <w:i/>
        </w:rPr>
        <w:t>Serratia</w:t>
      </w:r>
      <w:proofErr w:type="spellEnd"/>
      <w:r w:rsidRPr="00E0209A">
        <w:rPr>
          <w:i/>
        </w:rPr>
        <w:t xml:space="preserve"> </w:t>
      </w:r>
      <w:proofErr w:type="spellStart"/>
      <w:r w:rsidRPr="00066D2F">
        <w:t>spp</w:t>
      </w:r>
      <w:proofErr w:type="spellEnd"/>
      <w:r w:rsidRPr="00066D2F">
        <w:t>.,</w:t>
      </w:r>
      <w:r w:rsidRPr="00E0209A">
        <w:rPr>
          <w:i/>
        </w:rPr>
        <w:t xml:space="preserve"> </w:t>
      </w:r>
      <w:proofErr w:type="spellStart"/>
      <w:r w:rsidRPr="00E0209A">
        <w:rPr>
          <w:i/>
        </w:rPr>
        <w:t>Citrobacter</w:t>
      </w:r>
      <w:proofErr w:type="spellEnd"/>
      <w:r w:rsidRPr="00E0209A">
        <w:rPr>
          <w:i/>
        </w:rPr>
        <w:t xml:space="preserve"> </w:t>
      </w:r>
      <w:proofErr w:type="spellStart"/>
      <w:r w:rsidRPr="00066D2F">
        <w:t>spp</w:t>
      </w:r>
      <w:proofErr w:type="spellEnd"/>
      <w:r w:rsidRPr="00E0209A">
        <w:rPr>
          <w:i/>
        </w:rPr>
        <w:t xml:space="preserve">. </w:t>
      </w:r>
      <w:r w:rsidRPr="00E0209A">
        <w:t>a</w:t>
      </w:r>
      <w:r w:rsidRPr="00E0209A">
        <w:rPr>
          <w:i/>
        </w:rPr>
        <w:t> </w:t>
      </w:r>
      <w:proofErr w:type="spellStart"/>
      <w:r w:rsidRPr="00E0209A">
        <w:rPr>
          <w:i/>
        </w:rPr>
        <w:t>Providentia</w:t>
      </w:r>
      <w:proofErr w:type="spellEnd"/>
      <w:r w:rsidRPr="00E0209A">
        <w:rPr>
          <w:i/>
        </w:rPr>
        <w:t xml:space="preserve"> </w:t>
      </w:r>
      <w:proofErr w:type="spellStart"/>
      <w:r w:rsidRPr="00066D2F">
        <w:t>spp</w:t>
      </w:r>
      <w:proofErr w:type="spellEnd"/>
      <w:r w:rsidRPr="00066D2F">
        <w:t>.</w:t>
      </w:r>
      <w:r w:rsidRPr="00E0209A">
        <w:t xml:space="preserve"> </w:t>
      </w:r>
      <w:r w:rsidR="00104575">
        <w:t>musia byť</w:t>
      </w:r>
      <w:r w:rsidRPr="00E0209A">
        <w:t xml:space="preserve"> považované za rezistentné na </w:t>
      </w:r>
      <w:proofErr w:type="spellStart"/>
      <w:r w:rsidRPr="00E0209A">
        <w:t>cefazolín</w:t>
      </w:r>
      <w:proofErr w:type="spellEnd"/>
      <w:r w:rsidRPr="00E0209A">
        <w:t xml:space="preserve"> </w:t>
      </w:r>
      <w:r w:rsidR="00104575">
        <w:t>napriek ich citlivosti</w:t>
      </w:r>
      <w:r w:rsidRPr="00E0209A">
        <w:t xml:space="preserve"> </w:t>
      </w:r>
      <w:r w:rsidRPr="00E0209A">
        <w:rPr>
          <w:i/>
        </w:rPr>
        <w:t>in vitro.</w:t>
      </w:r>
    </w:p>
    <w:p w14:paraId="2F3C87CA" w14:textId="77777777" w:rsidR="003B7F66" w:rsidRPr="003B7F66" w:rsidRDefault="003B7F66" w:rsidP="00A77916">
      <w:pPr>
        <w:pStyle w:val="Normlndobloku"/>
      </w:pPr>
    </w:p>
    <w:p w14:paraId="40322CEB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Hraničné hodnoty testovania citlivosti (</w:t>
      </w:r>
      <w:proofErr w:type="spellStart"/>
      <w:r w:rsidRPr="00E0209A">
        <w:t>breakpoints</w:t>
      </w:r>
      <w:proofErr w:type="spellEnd"/>
      <w:r w:rsidRPr="00E0209A">
        <w:t>)</w:t>
      </w:r>
    </w:p>
    <w:p w14:paraId="5FF219B9" w14:textId="77777777" w:rsidR="0017393C" w:rsidRPr="00E0209A" w:rsidRDefault="0017393C" w:rsidP="00A77916">
      <w:pPr>
        <w:pStyle w:val="Normlndobloku"/>
      </w:pPr>
      <w:r w:rsidRPr="00E0209A">
        <w:t xml:space="preserve">Minimálne inhibičné koncentrácie (MIC) pre </w:t>
      </w:r>
      <w:proofErr w:type="spellStart"/>
      <w:r w:rsidRPr="00E0209A">
        <w:t>cefazolín</w:t>
      </w:r>
      <w:proofErr w:type="spellEnd"/>
      <w:r w:rsidRPr="00E0209A">
        <w:t xml:space="preserve"> podľa EUCAST sú nasledovné:</w:t>
      </w:r>
    </w:p>
    <w:p w14:paraId="65D1ACB1" w14:textId="39D5BAAE" w:rsidR="0017393C" w:rsidRPr="00E0209A" w:rsidRDefault="0017393C" w:rsidP="00A77916">
      <w:pPr>
        <w:pStyle w:val="Normlndobloku"/>
      </w:pPr>
      <w:r w:rsidRPr="00E0209A">
        <w:t xml:space="preserve">Druhovo </w:t>
      </w:r>
      <w:r w:rsidR="00431669">
        <w:t>nešpecifické</w:t>
      </w:r>
      <w:r w:rsidR="00431669" w:rsidRPr="00E0209A">
        <w:t xml:space="preserve"> </w:t>
      </w:r>
      <w:r w:rsidRPr="00E0209A">
        <w:t>hraničné hodnoty: S ≤ 1 </w:t>
      </w:r>
      <w:proofErr w:type="spellStart"/>
      <w:r w:rsidRPr="00E0209A">
        <w:t>μg</w:t>
      </w:r>
      <w:proofErr w:type="spellEnd"/>
      <w:r w:rsidRPr="00E0209A">
        <w:t>/ml, R: &gt; 2 </w:t>
      </w:r>
      <w:proofErr w:type="spellStart"/>
      <w:r w:rsidRPr="00E0209A">
        <w:t>μg</w:t>
      </w:r>
      <w:proofErr w:type="spellEnd"/>
      <w:r w:rsidRPr="00E0209A">
        <w:t>/ml.</w:t>
      </w:r>
    </w:p>
    <w:p w14:paraId="37DADE04" w14:textId="77777777" w:rsidR="0017393C" w:rsidRPr="00E0209A" w:rsidRDefault="0017393C" w:rsidP="00D42F90">
      <w:pPr>
        <w:pStyle w:val="Normlndobloku"/>
      </w:pPr>
      <w:r w:rsidRPr="00E0209A">
        <w:t>Prevalencia rezistencie sa pre vybrané mikroorganizmy môže líšiť geograficky a v čase. Miestna informácia o rezistencii je cenná najmä pri liečbe závažných infekcií. V prípade potreby sa má vyhľadať odborné poradenstvo, a to najmä</w:t>
      </w:r>
      <w:r w:rsidR="00066D2F">
        <w:t xml:space="preserve"> </w:t>
      </w:r>
      <w:r w:rsidRPr="00E0209A">
        <w:t>keď je lokálna prevalencia rezistencie taká, že použitie liečiva je prinajmenšom u niektorých typov infekcií otázne.</w:t>
      </w:r>
    </w:p>
    <w:p w14:paraId="6283FF84" w14:textId="77777777" w:rsidR="0017393C" w:rsidRDefault="0017393C" w:rsidP="00B7552D">
      <w:pPr>
        <w:pStyle w:val="Normlndobloku"/>
      </w:pPr>
      <w:r w:rsidRPr="00E0209A">
        <w:t xml:space="preserve">Citlivosť pre </w:t>
      </w:r>
      <w:proofErr w:type="spellStart"/>
      <w:r w:rsidRPr="00E0209A">
        <w:rPr>
          <w:i/>
        </w:rPr>
        <w:t>Staphylococcus</w:t>
      </w:r>
      <w:proofErr w:type="spellEnd"/>
      <w:r w:rsidRPr="00E0209A">
        <w:t xml:space="preserve"> je odvodená od citlivosti na </w:t>
      </w:r>
      <w:proofErr w:type="spellStart"/>
      <w:r w:rsidRPr="00E0209A">
        <w:t>meticilín</w:t>
      </w:r>
      <w:proofErr w:type="spellEnd"/>
      <w:r w:rsidRPr="00E0209A">
        <w:t>.</w:t>
      </w:r>
    </w:p>
    <w:p w14:paraId="7CEE5067" w14:textId="77777777" w:rsidR="003B7F66" w:rsidRPr="00E0209A" w:rsidRDefault="003B7F66" w:rsidP="00B7552D">
      <w:pPr>
        <w:pStyle w:val="Normlndobloku"/>
      </w:pPr>
    </w:p>
    <w:p w14:paraId="5D8F7D5F" w14:textId="77777777" w:rsidR="0017393C" w:rsidRPr="00E0209A" w:rsidRDefault="0017393C" w:rsidP="00B7552D">
      <w:pPr>
        <w:pStyle w:val="Styl2-2"/>
      </w:pPr>
      <w:r w:rsidRPr="00E0209A">
        <w:t>Citlivé druhy</w:t>
      </w:r>
    </w:p>
    <w:p w14:paraId="64C98C63" w14:textId="77777777" w:rsidR="0017393C" w:rsidRPr="00E0209A" w:rsidRDefault="0017393C" w:rsidP="00B7552D">
      <w:pPr>
        <w:pStyle w:val="Styl3"/>
        <w:spacing w:after="0"/>
        <w:jc w:val="left"/>
      </w:pPr>
      <w:proofErr w:type="spellStart"/>
      <w:r w:rsidRPr="00E0209A">
        <w:t>Grampozitívne</w:t>
      </w:r>
      <w:proofErr w:type="spellEnd"/>
    </w:p>
    <w:p w14:paraId="231B9ADE" w14:textId="77777777" w:rsidR="0017393C" w:rsidRPr="00525748" w:rsidRDefault="0017393C" w:rsidP="00A77916">
      <w:pPr>
        <w:rPr>
          <w:rStyle w:val="Bacil"/>
          <w:i w:val="0"/>
        </w:rPr>
      </w:pPr>
      <w:proofErr w:type="spellStart"/>
      <w:r w:rsidRPr="00E0209A">
        <w:rPr>
          <w:rStyle w:val="Bacil"/>
        </w:rPr>
        <w:t>Staphylococcus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aureus</w:t>
      </w:r>
      <w:proofErr w:type="spellEnd"/>
      <w:r w:rsidRPr="00E0209A">
        <w:rPr>
          <w:rStyle w:val="Bacil"/>
        </w:rPr>
        <w:t xml:space="preserve"> </w:t>
      </w:r>
      <w:r w:rsidRPr="00525748">
        <w:rPr>
          <w:rStyle w:val="Bacil"/>
          <w:i w:val="0"/>
        </w:rPr>
        <w:t xml:space="preserve">(citlivý na </w:t>
      </w:r>
      <w:proofErr w:type="spellStart"/>
      <w:r w:rsidRPr="00525748">
        <w:rPr>
          <w:rStyle w:val="Bacil"/>
          <w:i w:val="0"/>
        </w:rPr>
        <w:t>meticilín</w:t>
      </w:r>
      <w:proofErr w:type="spellEnd"/>
      <w:r w:rsidRPr="00525748">
        <w:rPr>
          <w:rStyle w:val="Bacil"/>
          <w:i w:val="0"/>
        </w:rPr>
        <w:t>)</w:t>
      </w:r>
    </w:p>
    <w:p w14:paraId="7510F583" w14:textId="77777777" w:rsidR="0017393C" w:rsidRPr="00E0209A" w:rsidRDefault="0017393C" w:rsidP="00A77916">
      <w:pPr>
        <w:rPr>
          <w:rStyle w:val="Bacil"/>
        </w:rPr>
      </w:pPr>
      <w:proofErr w:type="spellStart"/>
      <w:r w:rsidRPr="00E0209A">
        <w:rPr>
          <w:rStyle w:val="Bacil"/>
        </w:rPr>
        <w:t>Staphylococcus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epidermidis</w:t>
      </w:r>
      <w:proofErr w:type="spellEnd"/>
      <w:r w:rsidRPr="00E0209A">
        <w:rPr>
          <w:rStyle w:val="Bacil"/>
        </w:rPr>
        <w:t xml:space="preserve"> </w:t>
      </w:r>
      <w:r w:rsidRPr="00525748">
        <w:rPr>
          <w:rStyle w:val="Bacil"/>
          <w:i w:val="0"/>
        </w:rPr>
        <w:t xml:space="preserve">(citlivý na </w:t>
      </w:r>
      <w:proofErr w:type="spellStart"/>
      <w:r w:rsidRPr="00525748">
        <w:rPr>
          <w:rStyle w:val="Bacil"/>
          <w:i w:val="0"/>
        </w:rPr>
        <w:t>meticilín</w:t>
      </w:r>
      <w:proofErr w:type="spellEnd"/>
      <w:r w:rsidRPr="00525748">
        <w:rPr>
          <w:rStyle w:val="Bacil"/>
          <w:i w:val="0"/>
        </w:rPr>
        <w:t>)</w:t>
      </w:r>
    </w:p>
    <w:p w14:paraId="049CEC5E" w14:textId="77777777" w:rsidR="003D336B" w:rsidRDefault="003D336B" w:rsidP="00B7552D">
      <w:pPr>
        <w:pStyle w:val="Styl2-2"/>
      </w:pPr>
    </w:p>
    <w:p w14:paraId="26A78BA4" w14:textId="5A22D046" w:rsidR="0017393C" w:rsidRPr="00E0209A" w:rsidRDefault="0017393C" w:rsidP="00B7552D">
      <w:pPr>
        <w:pStyle w:val="Styl2-2"/>
      </w:pPr>
      <w:r w:rsidRPr="00E0209A">
        <w:t>Druhy, pri ktorých získaná rezistencia môže predstavovať problém</w:t>
      </w:r>
    </w:p>
    <w:p w14:paraId="04A4DF89" w14:textId="77777777" w:rsidR="0017393C" w:rsidRPr="00E0209A" w:rsidRDefault="0017393C" w:rsidP="00A77916">
      <w:pPr>
        <w:rPr>
          <w:rStyle w:val="Bacil"/>
        </w:rPr>
      </w:pPr>
      <w:proofErr w:type="spellStart"/>
      <w:r w:rsidRPr="00E0209A">
        <w:rPr>
          <w:rStyle w:val="Bacil"/>
        </w:rPr>
        <w:t>Haemophilus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influenzae</w:t>
      </w:r>
      <w:proofErr w:type="spellEnd"/>
    </w:p>
    <w:p w14:paraId="44202CC9" w14:textId="77777777" w:rsidR="0017393C" w:rsidRPr="00E0209A" w:rsidRDefault="0017393C" w:rsidP="00A77916">
      <w:pPr>
        <w:rPr>
          <w:rStyle w:val="Bacil"/>
        </w:rPr>
      </w:pPr>
      <w:proofErr w:type="spellStart"/>
      <w:r w:rsidRPr="00E0209A">
        <w:rPr>
          <w:rStyle w:val="Bacil"/>
        </w:rPr>
        <w:t>Neisseria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gonorrhoeae</w:t>
      </w:r>
      <w:proofErr w:type="spellEnd"/>
    </w:p>
    <w:p w14:paraId="216306B2" w14:textId="77777777" w:rsidR="0017393C" w:rsidRPr="00E0209A" w:rsidRDefault="0017393C" w:rsidP="00D42F90">
      <w:pPr>
        <w:rPr>
          <w:rStyle w:val="Bacil"/>
          <w:i w:val="0"/>
        </w:rPr>
      </w:pPr>
      <w:r w:rsidRPr="00E0209A">
        <w:rPr>
          <w:rStyle w:val="Bacil"/>
          <w:i w:val="0"/>
        </w:rPr>
        <w:t>Beta-hemolytické streptokoky skupiny A, B, C a G</w:t>
      </w:r>
    </w:p>
    <w:p w14:paraId="6F048ED0" w14:textId="53E10315" w:rsidR="0017393C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Streptococcus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pneumonia</w:t>
      </w:r>
      <w:r w:rsidR="0068750A">
        <w:rPr>
          <w:rStyle w:val="Bacil"/>
        </w:rPr>
        <w:t>e</w:t>
      </w:r>
      <w:proofErr w:type="spellEnd"/>
    </w:p>
    <w:p w14:paraId="1CE7AB97" w14:textId="77777777" w:rsidR="003B7F66" w:rsidRPr="00E0209A" w:rsidRDefault="003B7F66" w:rsidP="00B7552D">
      <w:pPr>
        <w:rPr>
          <w:rStyle w:val="Bacil"/>
        </w:rPr>
      </w:pPr>
    </w:p>
    <w:p w14:paraId="7EAE743A" w14:textId="77777777" w:rsidR="0017393C" w:rsidRPr="00E0209A" w:rsidRDefault="0017393C" w:rsidP="00B7552D">
      <w:pPr>
        <w:pStyle w:val="Styl2-2"/>
      </w:pPr>
      <w:r w:rsidRPr="00E0209A">
        <w:t>Mikroorganizmy s prirodzenou rezistenciou</w:t>
      </w:r>
    </w:p>
    <w:p w14:paraId="05ADD401" w14:textId="77777777" w:rsidR="0017393C" w:rsidRPr="00E0209A" w:rsidRDefault="0017393C" w:rsidP="00A77916">
      <w:pPr>
        <w:rPr>
          <w:rStyle w:val="Bacil"/>
        </w:rPr>
      </w:pPr>
      <w:proofErr w:type="spellStart"/>
      <w:r w:rsidRPr="00E0209A">
        <w:rPr>
          <w:rStyle w:val="Bacil"/>
        </w:rPr>
        <w:t>Citrobacter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  <w:i w:val="0"/>
        </w:rPr>
        <w:t>spp</w:t>
      </w:r>
      <w:proofErr w:type="spellEnd"/>
      <w:r w:rsidRPr="00E0209A">
        <w:rPr>
          <w:rStyle w:val="Bacil"/>
        </w:rPr>
        <w:t>.</w:t>
      </w:r>
    </w:p>
    <w:p w14:paraId="78AAD272" w14:textId="77777777" w:rsidR="0017393C" w:rsidRPr="00E0209A" w:rsidRDefault="0017393C" w:rsidP="00A77916">
      <w:pPr>
        <w:rPr>
          <w:rStyle w:val="Bacil"/>
        </w:rPr>
      </w:pPr>
      <w:proofErr w:type="spellStart"/>
      <w:r w:rsidRPr="00E0209A">
        <w:rPr>
          <w:rStyle w:val="Bacil"/>
        </w:rPr>
        <w:t>Enterobacter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  <w:i w:val="0"/>
        </w:rPr>
        <w:t>spp</w:t>
      </w:r>
      <w:proofErr w:type="spellEnd"/>
      <w:r w:rsidRPr="00E0209A">
        <w:rPr>
          <w:rStyle w:val="Bacil"/>
        </w:rPr>
        <w:t>. (</w:t>
      </w:r>
      <w:proofErr w:type="spellStart"/>
      <w:r w:rsidRPr="00E0209A">
        <w:rPr>
          <w:rStyle w:val="Bacil"/>
        </w:rPr>
        <w:t>Enterobacter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cloacae</w:t>
      </w:r>
      <w:proofErr w:type="spellEnd"/>
      <w:r w:rsidRPr="00E0209A">
        <w:rPr>
          <w:rStyle w:val="Bacil"/>
        </w:rPr>
        <w:t xml:space="preserve">, </w:t>
      </w:r>
      <w:proofErr w:type="spellStart"/>
      <w:r w:rsidRPr="00E0209A">
        <w:rPr>
          <w:rStyle w:val="Bacil"/>
        </w:rPr>
        <w:t>Enterobacter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aerogenes</w:t>
      </w:r>
      <w:proofErr w:type="spellEnd"/>
      <w:r w:rsidRPr="00E0209A">
        <w:rPr>
          <w:rStyle w:val="Bacil"/>
        </w:rPr>
        <w:t>)</w:t>
      </w:r>
    </w:p>
    <w:p w14:paraId="4C58666F" w14:textId="77777777" w:rsidR="0017393C" w:rsidRPr="00E0209A" w:rsidRDefault="0017393C" w:rsidP="00D42F90">
      <w:pPr>
        <w:rPr>
          <w:rStyle w:val="Bacil"/>
        </w:rPr>
      </w:pPr>
      <w:proofErr w:type="spellStart"/>
      <w:r w:rsidRPr="00E0209A">
        <w:rPr>
          <w:rStyle w:val="Bacil"/>
        </w:rPr>
        <w:t>Morganella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morganii</w:t>
      </w:r>
      <w:proofErr w:type="spellEnd"/>
    </w:p>
    <w:p w14:paraId="765E9673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Proteus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stuartii</w:t>
      </w:r>
      <w:proofErr w:type="spellEnd"/>
    </w:p>
    <w:p w14:paraId="25BEA9B9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Proteus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vulgaris</w:t>
      </w:r>
      <w:proofErr w:type="spellEnd"/>
    </w:p>
    <w:p w14:paraId="1E81E012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Pseudomonas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aeruginosa</w:t>
      </w:r>
      <w:proofErr w:type="spellEnd"/>
    </w:p>
    <w:p w14:paraId="777DDF6A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Serratia</w:t>
      </w:r>
      <w:proofErr w:type="spellEnd"/>
    </w:p>
    <w:p w14:paraId="32F0CD49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Staphylococcus</w:t>
      </w:r>
      <w:proofErr w:type="spellEnd"/>
      <w:r w:rsidRPr="00E0209A">
        <w:rPr>
          <w:rStyle w:val="Bacil"/>
        </w:rPr>
        <w:t xml:space="preserve"> </w:t>
      </w:r>
      <w:r w:rsidRPr="00E0209A">
        <w:rPr>
          <w:rStyle w:val="Bacil"/>
          <w:i w:val="0"/>
        </w:rPr>
        <w:t xml:space="preserve">(rezistentný na </w:t>
      </w:r>
      <w:proofErr w:type="spellStart"/>
      <w:r w:rsidRPr="00E0209A">
        <w:rPr>
          <w:rStyle w:val="Bacil"/>
          <w:i w:val="0"/>
        </w:rPr>
        <w:t>meticilín</w:t>
      </w:r>
      <w:proofErr w:type="spellEnd"/>
      <w:r w:rsidRPr="00E0209A">
        <w:rPr>
          <w:rStyle w:val="Bacil"/>
          <w:i w:val="0"/>
        </w:rPr>
        <w:t>)</w:t>
      </w:r>
    </w:p>
    <w:p w14:paraId="5B003306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Indol</w:t>
      </w:r>
      <w:proofErr w:type="spellEnd"/>
      <w:r w:rsidRPr="00E0209A">
        <w:rPr>
          <w:rStyle w:val="Bacil"/>
        </w:rPr>
        <w:t xml:space="preserve"> pozitívne kmene </w:t>
      </w:r>
      <w:proofErr w:type="spellStart"/>
      <w:r w:rsidRPr="00E0209A">
        <w:rPr>
          <w:rStyle w:val="Bacil"/>
        </w:rPr>
        <w:t>Proteus</w:t>
      </w:r>
      <w:proofErr w:type="spellEnd"/>
    </w:p>
    <w:p w14:paraId="31B24E4A" w14:textId="77777777" w:rsidR="0017393C" w:rsidRPr="00E0209A" w:rsidRDefault="0017393C" w:rsidP="00B7552D">
      <w:pPr>
        <w:rPr>
          <w:rStyle w:val="Bacil"/>
        </w:rPr>
      </w:pPr>
      <w:proofErr w:type="spellStart"/>
      <w:r w:rsidRPr="00E0209A">
        <w:rPr>
          <w:rStyle w:val="Bacil"/>
        </w:rPr>
        <w:t>Enterobacteriaceae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  <w:i w:val="0"/>
        </w:rPr>
        <w:t>spp</w:t>
      </w:r>
      <w:proofErr w:type="spellEnd"/>
      <w:r w:rsidRPr="00E0209A">
        <w:rPr>
          <w:rStyle w:val="Bacil"/>
          <w:i w:val="0"/>
        </w:rPr>
        <w:t>.</w:t>
      </w:r>
      <w:r w:rsidRPr="00E0209A">
        <w:rPr>
          <w:rStyle w:val="Bacil"/>
        </w:rPr>
        <w:t xml:space="preserve"> (</w:t>
      </w:r>
      <w:proofErr w:type="spellStart"/>
      <w:r w:rsidRPr="00E0209A">
        <w:rPr>
          <w:rStyle w:val="Bacil"/>
        </w:rPr>
        <w:t>Klebsiella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pneumoniae</w:t>
      </w:r>
      <w:proofErr w:type="spellEnd"/>
      <w:r w:rsidRPr="00E0209A">
        <w:rPr>
          <w:rStyle w:val="Bacil"/>
        </w:rPr>
        <w:t>)</w:t>
      </w:r>
    </w:p>
    <w:p w14:paraId="20722FF2" w14:textId="77777777" w:rsidR="0017393C" w:rsidRPr="00E0209A" w:rsidRDefault="0017393C" w:rsidP="00B7552D">
      <w:pPr>
        <w:pStyle w:val="Normlndobloku"/>
        <w:rPr>
          <w:rStyle w:val="Bacil"/>
        </w:rPr>
      </w:pPr>
      <w:proofErr w:type="spellStart"/>
      <w:r w:rsidRPr="00E0209A">
        <w:rPr>
          <w:rStyle w:val="Bacil"/>
        </w:rPr>
        <w:t>Enterobacteriaceae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  <w:i w:val="0"/>
        </w:rPr>
        <w:t>spp</w:t>
      </w:r>
      <w:proofErr w:type="spellEnd"/>
      <w:r w:rsidRPr="00E0209A">
        <w:rPr>
          <w:rStyle w:val="Bacil"/>
          <w:i w:val="0"/>
        </w:rPr>
        <w:t>.</w:t>
      </w:r>
      <w:r w:rsidRPr="00E0209A">
        <w:rPr>
          <w:rStyle w:val="Bacil"/>
        </w:rPr>
        <w:t xml:space="preserve"> (</w:t>
      </w:r>
      <w:proofErr w:type="spellStart"/>
      <w:r w:rsidRPr="00E0209A">
        <w:rPr>
          <w:rStyle w:val="Bacil"/>
        </w:rPr>
        <w:t>Proteus</w:t>
      </w:r>
      <w:proofErr w:type="spellEnd"/>
      <w:r w:rsidRPr="00E0209A">
        <w:rPr>
          <w:rStyle w:val="Bacil"/>
        </w:rPr>
        <w:t xml:space="preserve"> </w:t>
      </w:r>
      <w:proofErr w:type="spellStart"/>
      <w:r w:rsidRPr="00E0209A">
        <w:rPr>
          <w:rStyle w:val="Bacil"/>
        </w:rPr>
        <w:t>mirabilis</w:t>
      </w:r>
      <w:proofErr w:type="spellEnd"/>
      <w:r w:rsidRPr="00E0209A">
        <w:rPr>
          <w:rStyle w:val="Bacil"/>
        </w:rPr>
        <w:t>)</w:t>
      </w:r>
    </w:p>
    <w:p w14:paraId="7BF3339D" w14:textId="77777777" w:rsidR="003D336B" w:rsidRDefault="003D336B" w:rsidP="00B7552D">
      <w:pPr>
        <w:pStyle w:val="Normlndobloku"/>
      </w:pPr>
    </w:p>
    <w:p w14:paraId="57A62031" w14:textId="13248AF2" w:rsidR="0017393C" w:rsidRDefault="0017393C" w:rsidP="00B7552D">
      <w:pPr>
        <w:pStyle w:val="Normlndobloku"/>
      </w:pPr>
      <w:r w:rsidRPr="00E0209A">
        <w:t xml:space="preserve">Niekedy baktérie uvedených druhov môžu byť viac alebo menej citlivé na </w:t>
      </w:r>
      <w:proofErr w:type="spellStart"/>
      <w:r w:rsidRPr="00E0209A">
        <w:t>cefazolín</w:t>
      </w:r>
      <w:proofErr w:type="spellEnd"/>
      <w:r w:rsidRPr="00E0209A">
        <w:t>, ako je uvedené pre väčšinu týchto baktérií. Preto sa odporúča vykonať skúšky citlivosti.</w:t>
      </w:r>
    </w:p>
    <w:p w14:paraId="1B2DEA5E" w14:textId="77777777" w:rsidR="00762AD1" w:rsidRPr="00E0209A" w:rsidRDefault="00762AD1" w:rsidP="00B7552D">
      <w:pPr>
        <w:pStyle w:val="Normlndobloku"/>
      </w:pPr>
    </w:p>
    <w:p w14:paraId="4B84E792" w14:textId="77777777" w:rsidR="0017393C" w:rsidRDefault="0017393C" w:rsidP="00B7552D">
      <w:pPr>
        <w:pStyle w:val="Styl2"/>
        <w:spacing w:before="0" w:after="0"/>
      </w:pPr>
      <w:proofErr w:type="spellStart"/>
      <w:r w:rsidRPr="00E0209A">
        <w:t>Farmakokinetické</w:t>
      </w:r>
      <w:proofErr w:type="spellEnd"/>
      <w:r w:rsidRPr="00E0209A">
        <w:t xml:space="preserve"> vlastnosti</w:t>
      </w:r>
    </w:p>
    <w:p w14:paraId="44B4BA8F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6465D6B7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Absorpcia</w:t>
      </w:r>
    </w:p>
    <w:p w14:paraId="31EB115C" w14:textId="38064CF5" w:rsidR="0017393C" w:rsidRPr="00E0209A" w:rsidRDefault="0017393C" w:rsidP="00A77916">
      <w:pPr>
        <w:pStyle w:val="Normlndobloku"/>
      </w:pPr>
      <w:r w:rsidRPr="00E0209A">
        <w:t xml:space="preserve">Po </w:t>
      </w:r>
      <w:proofErr w:type="spellStart"/>
      <w:r w:rsidRPr="00E0209A">
        <w:t>intramuskulárnom</w:t>
      </w:r>
      <w:proofErr w:type="spellEnd"/>
      <w:r w:rsidRPr="00E0209A">
        <w:t xml:space="preserve"> podaní 500 mg </w:t>
      </w:r>
      <w:proofErr w:type="spellStart"/>
      <w:r w:rsidRPr="00E0209A">
        <w:t>cefazolínu</w:t>
      </w:r>
      <w:proofErr w:type="spellEnd"/>
      <w:r w:rsidRPr="00E0209A">
        <w:t xml:space="preserve"> je maximálna sérová hladina 20 – 40 </w:t>
      </w:r>
      <w:proofErr w:type="spellStart"/>
      <w:r w:rsidRPr="00E0209A">
        <w:t>μg</w:t>
      </w:r>
      <w:proofErr w:type="spellEnd"/>
      <w:r w:rsidRPr="00E0209A">
        <w:t>/ml dosiahnutá približne po jednej hodine. Po podaní 1 g boli získané maximálne hladiny 37 – 63 </w:t>
      </w:r>
      <w:proofErr w:type="spellStart"/>
      <w:r w:rsidRPr="00E0209A">
        <w:t>μg</w:t>
      </w:r>
      <w:proofErr w:type="spellEnd"/>
      <w:r w:rsidRPr="00E0209A">
        <w:t xml:space="preserve">/ml. V štúdii (u zdravých dospelých) s kontinuálnou intravenóznou infúziou </w:t>
      </w:r>
      <w:proofErr w:type="spellStart"/>
      <w:r w:rsidRPr="00E0209A">
        <w:t>cefazolínu</w:t>
      </w:r>
      <w:proofErr w:type="spellEnd"/>
      <w:r w:rsidRPr="00E0209A">
        <w:t xml:space="preserve"> v dávke 3,5 mg/kg</w:t>
      </w:r>
      <w:r w:rsidR="00935081">
        <w:t xml:space="preserve"> </w:t>
      </w:r>
      <w:r w:rsidR="00935081">
        <w:lastRenderedPageBreak/>
        <w:t>počas 1 hodiny</w:t>
      </w:r>
      <w:r w:rsidRPr="00E0209A">
        <w:t xml:space="preserve"> (celkovo približne 250 mg), nasledované 1,5 mg/kg</w:t>
      </w:r>
      <w:r w:rsidR="00935081">
        <w:t xml:space="preserve"> počas </w:t>
      </w:r>
      <w:r w:rsidRPr="00E0209A">
        <w:t>2 hod</w:t>
      </w:r>
      <w:r w:rsidR="00935081">
        <w:t>ín</w:t>
      </w:r>
      <w:r w:rsidRPr="00E0209A">
        <w:t xml:space="preserve"> (celkovo približne 100 mg) bola po</w:t>
      </w:r>
      <w:r w:rsidR="00935081">
        <w:t>čas</w:t>
      </w:r>
      <w:r w:rsidRPr="00E0209A">
        <w:t xml:space="preserve"> tretej hodin</w:t>
      </w:r>
      <w:r w:rsidR="00935081">
        <w:t>y</w:t>
      </w:r>
      <w:r w:rsidRPr="00E0209A">
        <w:t xml:space="preserve"> podávania preukázaná stabilná sérová koncentrácia 28 </w:t>
      </w:r>
      <w:proofErr w:type="spellStart"/>
      <w:r w:rsidRPr="00E0209A">
        <w:t>m</w:t>
      </w:r>
      <w:r w:rsidR="0068750A">
        <w:t>ikrogramov</w:t>
      </w:r>
      <w:proofErr w:type="spellEnd"/>
      <w:r w:rsidRPr="00E0209A">
        <w:t xml:space="preserve">/ml. Nasledujúca tabuľka ukazuje priemerné sérové koncentrácie </w:t>
      </w:r>
      <w:proofErr w:type="spellStart"/>
      <w:r w:rsidRPr="00E0209A">
        <w:t>cefazolínu</w:t>
      </w:r>
      <w:proofErr w:type="spellEnd"/>
      <w:r w:rsidRPr="00E0209A">
        <w:t xml:space="preserve"> po intravenóznej injekcii jednej 1 g dávky.</w:t>
      </w:r>
    </w:p>
    <w:p w14:paraId="2205B8F6" w14:textId="77777777" w:rsidR="0017393C" w:rsidRPr="00E0209A" w:rsidRDefault="0017393C" w:rsidP="00A77916">
      <w:pPr>
        <w:pStyle w:val="Normlndobloku"/>
      </w:pPr>
      <w:r w:rsidRPr="00E0209A">
        <w:t>Sérové koncentrácie po intravenóznom podaní l g (µg/ml).</w:t>
      </w:r>
    </w:p>
    <w:tbl>
      <w:tblPr>
        <w:tblpPr w:leftFromText="142" w:rightFromText="142" w:bottom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44"/>
        <w:gridCol w:w="1486"/>
        <w:gridCol w:w="1260"/>
        <w:gridCol w:w="1350"/>
        <w:gridCol w:w="1710"/>
      </w:tblGrid>
      <w:tr w:rsidR="0017393C" w:rsidRPr="00E0209A" w14:paraId="1C23DCD2" w14:textId="77777777" w:rsidTr="0017393C">
        <w:tc>
          <w:tcPr>
            <w:tcW w:w="1440" w:type="dxa"/>
            <w:vAlign w:val="center"/>
          </w:tcPr>
          <w:p w14:paraId="5095743B" w14:textId="77777777" w:rsidR="0017393C" w:rsidRPr="00E0209A" w:rsidRDefault="0017393C" w:rsidP="00A77916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5 min</w:t>
            </w:r>
          </w:p>
        </w:tc>
        <w:tc>
          <w:tcPr>
            <w:tcW w:w="1844" w:type="dxa"/>
            <w:vAlign w:val="center"/>
          </w:tcPr>
          <w:p w14:paraId="1098E47C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15 min</w:t>
            </w:r>
          </w:p>
        </w:tc>
        <w:tc>
          <w:tcPr>
            <w:tcW w:w="1486" w:type="dxa"/>
            <w:vAlign w:val="center"/>
          </w:tcPr>
          <w:p w14:paraId="548235D9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30 min</w:t>
            </w:r>
          </w:p>
        </w:tc>
        <w:tc>
          <w:tcPr>
            <w:tcW w:w="1260" w:type="dxa"/>
            <w:vAlign w:val="center"/>
          </w:tcPr>
          <w:p w14:paraId="2258A6A4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 hodina</w:t>
            </w:r>
          </w:p>
        </w:tc>
        <w:tc>
          <w:tcPr>
            <w:tcW w:w="1350" w:type="dxa"/>
            <w:vAlign w:val="center"/>
          </w:tcPr>
          <w:p w14:paraId="3DFDAF21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2 hodiny</w:t>
            </w:r>
          </w:p>
        </w:tc>
        <w:tc>
          <w:tcPr>
            <w:tcW w:w="1710" w:type="dxa"/>
            <w:vAlign w:val="center"/>
          </w:tcPr>
          <w:p w14:paraId="48345EC1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4 hodiny</w:t>
            </w:r>
          </w:p>
        </w:tc>
      </w:tr>
      <w:tr w:rsidR="0017393C" w:rsidRPr="00E0209A" w14:paraId="12546208" w14:textId="77777777" w:rsidTr="0017393C">
        <w:tc>
          <w:tcPr>
            <w:tcW w:w="1440" w:type="dxa"/>
            <w:vAlign w:val="center"/>
          </w:tcPr>
          <w:p w14:paraId="26DB1B70" w14:textId="77777777" w:rsidR="0017393C" w:rsidRPr="00E0209A" w:rsidRDefault="0017393C" w:rsidP="00A77916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188,4</w:t>
            </w:r>
          </w:p>
        </w:tc>
        <w:tc>
          <w:tcPr>
            <w:tcW w:w="1844" w:type="dxa"/>
            <w:vAlign w:val="center"/>
          </w:tcPr>
          <w:p w14:paraId="3EB8658A" w14:textId="77777777" w:rsidR="0017393C" w:rsidRPr="00E0209A" w:rsidRDefault="0017393C" w:rsidP="00D42F90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135,8</w:t>
            </w:r>
          </w:p>
        </w:tc>
        <w:tc>
          <w:tcPr>
            <w:tcW w:w="1486" w:type="dxa"/>
            <w:vAlign w:val="center"/>
          </w:tcPr>
          <w:p w14:paraId="431C2E68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106,8</w:t>
            </w:r>
          </w:p>
        </w:tc>
        <w:tc>
          <w:tcPr>
            <w:tcW w:w="1260" w:type="dxa"/>
            <w:vAlign w:val="center"/>
          </w:tcPr>
          <w:p w14:paraId="2B2D2C5E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73,7</w:t>
            </w:r>
          </w:p>
        </w:tc>
        <w:tc>
          <w:tcPr>
            <w:tcW w:w="1350" w:type="dxa"/>
            <w:vAlign w:val="center"/>
          </w:tcPr>
          <w:p w14:paraId="7F0BCACA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45,6</w:t>
            </w:r>
          </w:p>
        </w:tc>
        <w:tc>
          <w:tcPr>
            <w:tcW w:w="1710" w:type="dxa"/>
            <w:vAlign w:val="center"/>
          </w:tcPr>
          <w:p w14:paraId="026FB3E1" w14:textId="77777777" w:rsidR="0017393C" w:rsidRPr="00E0209A" w:rsidRDefault="0017393C" w:rsidP="00B7552D">
            <w:pPr>
              <w:pStyle w:val="Tabulkynormlndoblokuzarovnndoleva"/>
              <w:framePr w:hSpace="0" w:wrap="auto" w:vAnchor="margin" w:yAlign="inline"/>
              <w:suppressOverlap w:val="0"/>
            </w:pPr>
            <w:r w:rsidRPr="00E0209A">
              <w:t>16,5</w:t>
            </w:r>
          </w:p>
        </w:tc>
      </w:tr>
    </w:tbl>
    <w:p w14:paraId="4A419597" w14:textId="77777777" w:rsidR="00B5255E" w:rsidRDefault="00B5255E" w:rsidP="00B7552D">
      <w:pPr>
        <w:pStyle w:val="Styl3"/>
        <w:spacing w:after="0"/>
        <w:jc w:val="left"/>
      </w:pPr>
    </w:p>
    <w:p w14:paraId="511493AD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Distribúcia</w:t>
      </w:r>
    </w:p>
    <w:p w14:paraId="1D723B2D" w14:textId="64C31DC8" w:rsidR="0017393C" w:rsidRDefault="0017393C" w:rsidP="00A77916">
      <w:pPr>
        <w:pStyle w:val="Normlndobloku"/>
      </w:pPr>
      <w:r w:rsidRPr="00E0209A">
        <w:t xml:space="preserve">70 – 86 % </w:t>
      </w:r>
      <w:proofErr w:type="spellStart"/>
      <w:r w:rsidRPr="00E0209A">
        <w:t>cefazolínu</w:t>
      </w:r>
      <w:proofErr w:type="spellEnd"/>
      <w:r w:rsidRPr="00E0209A">
        <w:t xml:space="preserve"> sa viaže na plazmatické bielkoviny. Distribučný objem je približne 11 litrov/1,73 m². Ak je </w:t>
      </w:r>
      <w:proofErr w:type="spellStart"/>
      <w:r w:rsidRPr="00E0209A">
        <w:t>cefazolín</w:t>
      </w:r>
      <w:proofErr w:type="spellEnd"/>
      <w:r w:rsidRPr="00E0209A">
        <w:t xml:space="preserve"> podávaný pacientom bez obštrukcie žlčovodu, hladina </w:t>
      </w:r>
      <w:proofErr w:type="spellStart"/>
      <w:r w:rsidRPr="00E0209A">
        <w:t>cefazolínu</w:t>
      </w:r>
      <w:proofErr w:type="spellEnd"/>
      <w:r w:rsidRPr="00E0209A">
        <w:t xml:space="preserve"> v žlči 90 – 120 minút po podaní je vo všeobecnosti vyššia ako hladina v sére. Naopak, v prípade obštrukcie žlčovodu je koncentrácia antibiotika v žlči oveľa nižšie ako v sére. U pacientov s mozgovými blanami bez zápalu je po podaní terapeutických dávok koncentrácia </w:t>
      </w:r>
      <w:proofErr w:type="spellStart"/>
      <w:r w:rsidRPr="00E0209A">
        <w:t>cefazolínu</w:t>
      </w:r>
      <w:proofErr w:type="spellEnd"/>
      <w:r w:rsidRPr="00E0209A">
        <w:t xml:space="preserve"> v mozgovomiechovom moku 0,0 – 0,4 </w:t>
      </w:r>
      <w:proofErr w:type="spellStart"/>
      <w:r w:rsidRPr="00E0209A">
        <w:t>m</w:t>
      </w:r>
      <w:r w:rsidR="00473FB2">
        <w:t>ikrogramov</w:t>
      </w:r>
      <w:proofErr w:type="spellEnd"/>
      <w:r w:rsidRPr="00E0209A">
        <w:t xml:space="preserve">/ml. </w:t>
      </w:r>
      <w:proofErr w:type="spellStart"/>
      <w:r w:rsidRPr="00E0209A">
        <w:t>Cefazolín</w:t>
      </w:r>
      <w:proofErr w:type="spellEnd"/>
      <w:r w:rsidRPr="00E0209A">
        <w:t xml:space="preserve"> ľahko prechádza zapálenou </w:t>
      </w:r>
      <w:proofErr w:type="spellStart"/>
      <w:r w:rsidRPr="00E0209A">
        <w:t>synoviálnou</w:t>
      </w:r>
      <w:proofErr w:type="spellEnd"/>
      <w:r w:rsidRPr="00E0209A">
        <w:t xml:space="preserve"> membránou a dosahované koncentrácie s antibiotikami v kĺboch sú podobné koncentráciám v sére.</w:t>
      </w:r>
    </w:p>
    <w:p w14:paraId="4254F355" w14:textId="77777777" w:rsidR="00B5255E" w:rsidRDefault="00B5255E" w:rsidP="00B7552D">
      <w:pPr>
        <w:pStyle w:val="Styl3"/>
        <w:spacing w:after="0"/>
        <w:jc w:val="left"/>
      </w:pPr>
    </w:p>
    <w:p w14:paraId="5007D061" w14:textId="77777777" w:rsidR="0017393C" w:rsidRPr="00E0209A" w:rsidRDefault="0017393C" w:rsidP="00B7552D">
      <w:pPr>
        <w:pStyle w:val="Styl3"/>
        <w:spacing w:after="0"/>
        <w:jc w:val="left"/>
        <w:rPr>
          <w:rFonts w:ascii="TimesNewRoman" w:hAnsi="TimesNewRoman" w:cs="TimesNewRoman"/>
        </w:rPr>
      </w:pPr>
      <w:proofErr w:type="spellStart"/>
      <w:r w:rsidRPr="00E0209A">
        <w:t>Biotransformácia</w:t>
      </w:r>
      <w:proofErr w:type="spellEnd"/>
    </w:p>
    <w:p w14:paraId="56D20489" w14:textId="77777777" w:rsidR="0017393C" w:rsidRDefault="0017393C" w:rsidP="00A77916">
      <w:pPr>
        <w:pStyle w:val="Normlndobloku"/>
        <w:rPr>
          <w:lang w:eastAsia="en-US"/>
        </w:rPr>
      </w:pPr>
      <w:proofErr w:type="spellStart"/>
      <w:r w:rsidRPr="00E0209A">
        <w:rPr>
          <w:lang w:eastAsia="en-US"/>
        </w:rPr>
        <w:t>Cefazolín</w:t>
      </w:r>
      <w:proofErr w:type="spellEnd"/>
      <w:r w:rsidRPr="00E0209A">
        <w:rPr>
          <w:lang w:eastAsia="en-US"/>
        </w:rPr>
        <w:t xml:space="preserve"> sa nemetabolizuje.</w:t>
      </w:r>
    </w:p>
    <w:p w14:paraId="5204D9CE" w14:textId="77777777" w:rsidR="00B5255E" w:rsidRDefault="00B5255E" w:rsidP="00B7552D">
      <w:pPr>
        <w:pStyle w:val="Styl3"/>
        <w:spacing w:after="0"/>
        <w:jc w:val="left"/>
      </w:pPr>
    </w:p>
    <w:p w14:paraId="1F248C1B" w14:textId="77777777" w:rsidR="0017393C" w:rsidRPr="00E0209A" w:rsidRDefault="0017393C" w:rsidP="00B7552D">
      <w:pPr>
        <w:pStyle w:val="Styl3"/>
        <w:spacing w:after="0"/>
        <w:jc w:val="left"/>
      </w:pPr>
      <w:r w:rsidRPr="00E0209A">
        <w:t>Eliminácia</w:t>
      </w:r>
    </w:p>
    <w:p w14:paraId="581F9A3C" w14:textId="77777777" w:rsidR="0017393C" w:rsidRDefault="0017393C" w:rsidP="00A77916">
      <w:pPr>
        <w:pStyle w:val="Normlndobloku"/>
      </w:pPr>
      <w:r w:rsidRPr="00E0209A">
        <w:t xml:space="preserve">Sérový polčas je približne 1 hodina 35 minút. </w:t>
      </w:r>
      <w:proofErr w:type="spellStart"/>
      <w:r w:rsidRPr="00E0209A">
        <w:t>Cefazolín</w:t>
      </w:r>
      <w:proofErr w:type="spellEnd"/>
      <w:r w:rsidRPr="00E0209A">
        <w:t xml:space="preserve"> sa vylučuje močom v biologicky aktívnej forme. 56 – 89 % z </w:t>
      </w:r>
      <w:proofErr w:type="spellStart"/>
      <w:r w:rsidRPr="00E0209A">
        <w:t>intramuskulárnej</w:t>
      </w:r>
      <w:proofErr w:type="spellEnd"/>
      <w:r w:rsidRPr="00E0209A">
        <w:t xml:space="preserve"> dávky 500 mg sa vylučuje v prvých šiestich hodinách a 80 až takmer 100 % sa vylúči počas 24 hodín. Po </w:t>
      </w:r>
      <w:proofErr w:type="spellStart"/>
      <w:r w:rsidRPr="00E0209A">
        <w:t>intramuskulárnom</w:t>
      </w:r>
      <w:proofErr w:type="spellEnd"/>
      <w:r w:rsidRPr="00E0209A">
        <w:t xml:space="preserve"> podaní 500 mg a 1 g, môže byť dosiahnutá hladina v moči 500 – 4000 µg/ml. </w:t>
      </w:r>
      <w:proofErr w:type="spellStart"/>
      <w:r w:rsidRPr="00E0209A">
        <w:t>Cefazolín</w:t>
      </w:r>
      <w:proofErr w:type="spellEnd"/>
      <w:r w:rsidRPr="00E0209A">
        <w:t xml:space="preserve"> sa odstráni zo séra predovšetkým </w:t>
      </w:r>
      <w:proofErr w:type="spellStart"/>
      <w:r w:rsidRPr="00E0209A">
        <w:t>glomerulárnou</w:t>
      </w:r>
      <w:proofErr w:type="spellEnd"/>
      <w:r w:rsidRPr="00E0209A">
        <w:t xml:space="preserve"> filtráciou; </w:t>
      </w:r>
      <w:proofErr w:type="spellStart"/>
      <w:r w:rsidRPr="00E0209A">
        <w:t>renálny</w:t>
      </w:r>
      <w:proofErr w:type="spellEnd"/>
      <w:r w:rsidRPr="00E0209A">
        <w:t xml:space="preserve"> </w:t>
      </w:r>
      <w:proofErr w:type="spellStart"/>
      <w:r w:rsidRPr="00E0209A">
        <w:t>klírens</w:t>
      </w:r>
      <w:proofErr w:type="spellEnd"/>
      <w:r w:rsidRPr="00E0209A">
        <w:t xml:space="preserve"> je 65 ml/min/l,73 m</w:t>
      </w:r>
      <w:r w:rsidRPr="00E0209A">
        <w:rPr>
          <w:vertAlign w:val="superscript"/>
        </w:rPr>
        <w:t>2</w:t>
      </w:r>
      <w:r w:rsidRPr="00E0209A">
        <w:t>.</w:t>
      </w:r>
    </w:p>
    <w:p w14:paraId="4F6CD300" w14:textId="77777777" w:rsidR="00762AD1" w:rsidRPr="00E0209A" w:rsidRDefault="00762AD1" w:rsidP="00A77916">
      <w:pPr>
        <w:pStyle w:val="Normlndobloku"/>
      </w:pPr>
    </w:p>
    <w:p w14:paraId="1CE793B9" w14:textId="77777777" w:rsidR="0017393C" w:rsidRDefault="0017393C" w:rsidP="00B7552D">
      <w:pPr>
        <w:pStyle w:val="Styl2"/>
        <w:spacing w:before="0" w:after="0"/>
      </w:pPr>
      <w:r w:rsidRPr="00E0209A">
        <w:t>Predklinické údaje o</w:t>
      </w:r>
      <w:r w:rsidR="00762AD1">
        <w:t> </w:t>
      </w:r>
      <w:r w:rsidRPr="00E0209A">
        <w:t>bezpečnosti</w:t>
      </w:r>
    </w:p>
    <w:p w14:paraId="7B1AE92F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5270AD21" w14:textId="77777777" w:rsidR="0017393C" w:rsidRPr="00E0209A" w:rsidRDefault="0017393C" w:rsidP="00A77916">
      <w:pPr>
        <w:pStyle w:val="Normlndobloku"/>
      </w:pPr>
      <w:proofErr w:type="spellStart"/>
      <w:r w:rsidRPr="00E0209A">
        <w:t>Cefazolín</w:t>
      </w:r>
      <w:proofErr w:type="spellEnd"/>
      <w:r w:rsidRPr="00E0209A">
        <w:t xml:space="preserve"> má nízku akútnu toxicitu. </w:t>
      </w:r>
      <w:proofErr w:type="spellStart"/>
      <w:r w:rsidRPr="00E0209A">
        <w:t>Renálna</w:t>
      </w:r>
      <w:proofErr w:type="spellEnd"/>
      <w:r w:rsidRPr="00E0209A">
        <w:t xml:space="preserve"> toxicita po opakovanom podávaní sa pozorovala u králikov, ale nie u potkanov a psov.</w:t>
      </w:r>
    </w:p>
    <w:p w14:paraId="47AEAAF9" w14:textId="2C5A6623" w:rsidR="0017393C" w:rsidRDefault="0017393C" w:rsidP="00A77916">
      <w:pPr>
        <w:pStyle w:val="Normlndobloku"/>
      </w:pPr>
      <w:proofErr w:type="spellStart"/>
      <w:r w:rsidRPr="00E0209A">
        <w:t>Cefazolín</w:t>
      </w:r>
      <w:proofErr w:type="spellEnd"/>
      <w:r w:rsidRPr="00E0209A">
        <w:t xml:space="preserve"> nemá žiadny </w:t>
      </w:r>
      <w:proofErr w:type="spellStart"/>
      <w:r w:rsidRPr="00E0209A">
        <w:t>teratogénny</w:t>
      </w:r>
      <w:proofErr w:type="spellEnd"/>
      <w:r w:rsidRPr="00E0209A">
        <w:t xml:space="preserve"> alebo iný reprodukčne toxický účinok na potkan</w:t>
      </w:r>
      <w:r w:rsidR="00361F2E">
        <w:t>y</w:t>
      </w:r>
      <w:r w:rsidRPr="00E0209A">
        <w:t xml:space="preserve">, </w:t>
      </w:r>
      <w:r w:rsidR="00487226">
        <w:t xml:space="preserve">na </w:t>
      </w:r>
      <w:r w:rsidRPr="00E0209A">
        <w:t xml:space="preserve">myši ani na králikov. Nie sú k dispozícii žiadne štúdie na </w:t>
      </w:r>
      <w:proofErr w:type="spellStart"/>
      <w:r w:rsidRPr="00E0209A">
        <w:t>mutagenitu</w:t>
      </w:r>
      <w:proofErr w:type="spellEnd"/>
      <w:r w:rsidRPr="00E0209A">
        <w:t xml:space="preserve"> a karcinogenitu </w:t>
      </w:r>
      <w:proofErr w:type="spellStart"/>
      <w:r w:rsidRPr="00E0209A">
        <w:t>cefazolín</w:t>
      </w:r>
      <w:r w:rsidR="008B505E">
        <w:t>u</w:t>
      </w:r>
      <w:proofErr w:type="spellEnd"/>
      <w:r w:rsidRPr="00E0209A">
        <w:t>.</w:t>
      </w:r>
    </w:p>
    <w:p w14:paraId="12E1E016" w14:textId="77777777" w:rsidR="00441F1F" w:rsidRDefault="00441F1F" w:rsidP="00D42F90">
      <w:pPr>
        <w:pStyle w:val="Normlndobloku"/>
      </w:pPr>
    </w:p>
    <w:p w14:paraId="7E5E665C" w14:textId="77777777" w:rsidR="00A77916" w:rsidRPr="00E0209A" w:rsidRDefault="00A77916" w:rsidP="00B7552D">
      <w:pPr>
        <w:pStyle w:val="Normlndobloku"/>
      </w:pPr>
    </w:p>
    <w:p w14:paraId="0689C45F" w14:textId="77777777" w:rsidR="00762AD1" w:rsidRDefault="0017393C" w:rsidP="00B7552D">
      <w:pPr>
        <w:pStyle w:val="Styl1"/>
        <w:spacing w:before="0" w:after="0"/>
      </w:pPr>
      <w:r w:rsidRPr="00E0209A">
        <w:t>Farmaceutické informácie</w:t>
      </w:r>
    </w:p>
    <w:p w14:paraId="6E3F282E" w14:textId="77777777" w:rsidR="00762AD1" w:rsidRPr="00E0209A" w:rsidRDefault="00762AD1" w:rsidP="00A77916">
      <w:pPr>
        <w:pStyle w:val="Styl1"/>
        <w:numPr>
          <w:ilvl w:val="0"/>
          <w:numId w:val="0"/>
        </w:numPr>
        <w:spacing w:before="0" w:after="0"/>
      </w:pPr>
    </w:p>
    <w:p w14:paraId="07F56B58" w14:textId="77777777" w:rsidR="0017393C" w:rsidRDefault="0017393C" w:rsidP="00B7552D">
      <w:pPr>
        <w:pStyle w:val="Styl2"/>
        <w:spacing w:before="0" w:after="0"/>
      </w:pPr>
      <w:r w:rsidRPr="00E0209A">
        <w:t>Zoznam pomocných látok</w:t>
      </w:r>
    </w:p>
    <w:p w14:paraId="6D23C18B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0FC4E2A4" w14:textId="77777777" w:rsidR="0017393C" w:rsidRDefault="0017393C" w:rsidP="00A77916">
      <w:pPr>
        <w:pStyle w:val="Normlndobloku"/>
      </w:pPr>
      <w:r w:rsidRPr="00E0209A">
        <w:t>Žiadne.</w:t>
      </w:r>
    </w:p>
    <w:p w14:paraId="0F376BD9" w14:textId="77777777" w:rsidR="00762AD1" w:rsidRPr="00E0209A" w:rsidRDefault="00762AD1" w:rsidP="00A77916">
      <w:pPr>
        <w:pStyle w:val="Normlndobloku"/>
      </w:pPr>
    </w:p>
    <w:p w14:paraId="5C311522" w14:textId="77777777" w:rsidR="0017393C" w:rsidRDefault="0017393C" w:rsidP="00B7552D">
      <w:pPr>
        <w:pStyle w:val="Styl2"/>
        <w:spacing w:before="0" w:after="0"/>
      </w:pPr>
      <w:r w:rsidRPr="00E0209A">
        <w:t>Inkompatibility</w:t>
      </w:r>
    </w:p>
    <w:p w14:paraId="6204A71F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678C2E12" w14:textId="77777777" w:rsidR="0017393C" w:rsidRPr="00E0209A" w:rsidRDefault="0017393C" w:rsidP="00A77916">
      <w:pPr>
        <w:pStyle w:val="Normlndobloku"/>
      </w:pPr>
      <w:r w:rsidRPr="00E0209A">
        <w:t>ZEPILEN sa nesmie miešať s rozpúšťadlami s výnimkou tých, ktoré sú uvedené v časti 4.2</w:t>
      </w:r>
      <w:r w:rsidR="004415CC" w:rsidRPr="00E0209A">
        <w:t>.</w:t>
      </w:r>
    </w:p>
    <w:p w14:paraId="07D05244" w14:textId="758090C7" w:rsidR="0017393C" w:rsidRDefault="0017393C" w:rsidP="00A77916">
      <w:pPr>
        <w:pStyle w:val="Normlndobloku"/>
      </w:pPr>
      <w:proofErr w:type="spellStart"/>
      <w:r w:rsidRPr="00E0209A">
        <w:t>Cefazolín</w:t>
      </w:r>
      <w:proofErr w:type="spellEnd"/>
      <w:r w:rsidRPr="00E0209A">
        <w:t xml:space="preserve"> je inkompatibilný s </w:t>
      </w:r>
      <w:proofErr w:type="spellStart"/>
      <w:r w:rsidRPr="00E0209A">
        <w:t>amikacín</w:t>
      </w:r>
      <w:r w:rsidR="008B505E">
        <w:t>i</w:t>
      </w:r>
      <w:r w:rsidRPr="00E0209A">
        <w:t>u</w:t>
      </w:r>
      <w:r w:rsidR="008B505E">
        <w:t>m</w:t>
      </w:r>
      <w:proofErr w:type="spellEnd"/>
      <w:r w:rsidR="008B505E">
        <w:t>-sulfátom</w:t>
      </w:r>
      <w:r w:rsidRPr="00E0209A">
        <w:t xml:space="preserve">, </w:t>
      </w:r>
      <w:proofErr w:type="spellStart"/>
      <w:r w:rsidRPr="00E0209A">
        <w:t>amobarbitalom</w:t>
      </w:r>
      <w:proofErr w:type="spellEnd"/>
      <w:r w:rsidRPr="00E0209A">
        <w:t xml:space="preserve"> sodným, kyselinou askorbovou, </w:t>
      </w:r>
      <w:proofErr w:type="spellStart"/>
      <w:r w:rsidRPr="00E0209A">
        <w:t>bleomycín</w:t>
      </w:r>
      <w:r w:rsidR="008B505E">
        <w:t>ium</w:t>
      </w:r>
      <w:proofErr w:type="spellEnd"/>
      <w:r w:rsidR="008B505E">
        <w:t>-sulfátom</w:t>
      </w:r>
      <w:r w:rsidRPr="00E0209A">
        <w:t xml:space="preserve">, </w:t>
      </w:r>
      <w:proofErr w:type="spellStart"/>
      <w:r w:rsidRPr="00E0209A">
        <w:t>glukoheptonátom</w:t>
      </w:r>
      <w:proofErr w:type="spellEnd"/>
      <w:r w:rsidRPr="00E0209A">
        <w:t xml:space="preserve"> vápenatým, </w:t>
      </w:r>
      <w:proofErr w:type="spellStart"/>
      <w:r w:rsidRPr="00E0209A">
        <w:t>cimetidínom</w:t>
      </w:r>
      <w:proofErr w:type="spellEnd"/>
      <w:r w:rsidRPr="00E0209A">
        <w:t xml:space="preserve">, sodnou soľou </w:t>
      </w:r>
      <w:proofErr w:type="spellStart"/>
      <w:r w:rsidRPr="00E0209A">
        <w:t>kolistimetátu</w:t>
      </w:r>
      <w:proofErr w:type="spellEnd"/>
      <w:r w:rsidRPr="00E0209A">
        <w:t xml:space="preserve">, </w:t>
      </w:r>
      <w:proofErr w:type="spellStart"/>
      <w:r w:rsidRPr="00E0209A">
        <w:t>erytromycínom</w:t>
      </w:r>
      <w:proofErr w:type="spellEnd"/>
      <w:r w:rsidRPr="00E0209A">
        <w:t xml:space="preserve">, </w:t>
      </w:r>
      <w:proofErr w:type="spellStart"/>
      <w:r w:rsidRPr="00E0209A">
        <w:t>oxytetracyklínom</w:t>
      </w:r>
      <w:proofErr w:type="spellEnd"/>
      <w:r w:rsidRPr="00E0209A">
        <w:t xml:space="preserve">, </w:t>
      </w:r>
      <w:proofErr w:type="spellStart"/>
      <w:r w:rsidRPr="00E0209A">
        <w:t>pentobarbitalom</w:t>
      </w:r>
      <w:proofErr w:type="spellEnd"/>
      <w:r w:rsidRPr="00E0209A">
        <w:t xml:space="preserve"> sodným a tetracyklínom.</w:t>
      </w:r>
    </w:p>
    <w:p w14:paraId="5DF0B97E" w14:textId="77777777" w:rsidR="00762AD1" w:rsidRPr="00E0209A" w:rsidRDefault="00762AD1" w:rsidP="00D42F90">
      <w:pPr>
        <w:pStyle w:val="Normlndobloku"/>
      </w:pPr>
    </w:p>
    <w:p w14:paraId="7708F8DA" w14:textId="77777777" w:rsidR="0017393C" w:rsidRDefault="0017393C" w:rsidP="00B7552D">
      <w:pPr>
        <w:pStyle w:val="Styl2"/>
        <w:spacing w:before="0" w:after="0"/>
      </w:pPr>
      <w:r w:rsidRPr="00E0209A">
        <w:t>Čas použiteľnosti</w:t>
      </w:r>
    </w:p>
    <w:p w14:paraId="2E3FBA7C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5DE1E11D" w14:textId="77777777" w:rsidR="0017393C" w:rsidRDefault="00536B90" w:rsidP="00A77916">
      <w:pPr>
        <w:pStyle w:val="Normlndobloku"/>
      </w:pPr>
      <w:r>
        <w:t>3 roky</w:t>
      </w:r>
    </w:p>
    <w:p w14:paraId="3D860CF9" w14:textId="77777777" w:rsidR="003B7F66" w:rsidRPr="00E0209A" w:rsidRDefault="003B7F66" w:rsidP="00A77916">
      <w:pPr>
        <w:pStyle w:val="Normlndobloku"/>
      </w:pPr>
    </w:p>
    <w:p w14:paraId="26D06CC4" w14:textId="77777777" w:rsidR="00B35788" w:rsidRDefault="00B35788" w:rsidP="00B7552D">
      <w:pPr>
        <w:pStyle w:val="Styl3"/>
        <w:spacing w:after="0"/>
        <w:jc w:val="left"/>
      </w:pPr>
    </w:p>
    <w:p w14:paraId="5AAC7476" w14:textId="77777777" w:rsidR="0017393C" w:rsidRPr="00E0209A" w:rsidRDefault="000158D8" w:rsidP="00B7552D">
      <w:pPr>
        <w:pStyle w:val="Styl3"/>
        <w:spacing w:after="0"/>
        <w:jc w:val="left"/>
      </w:pPr>
      <w:r w:rsidRPr="00E0209A">
        <w:lastRenderedPageBreak/>
        <w:t>Po rekonštitúcii</w:t>
      </w:r>
    </w:p>
    <w:p w14:paraId="24FCC210" w14:textId="77777777" w:rsidR="0017393C" w:rsidRPr="00E0209A" w:rsidRDefault="0017393C" w:rsidP="00A77916">
      <w:pPr>
        <w:pStyle w:val="Normlndobloku"/>
      </w:pPr>
      <w:r w:rsidRPr="00E0209A">
        <w:t>Chemická a fyzikálna stabilita rekonštituovaného lieku bola pre všetky spôsoby podania preukázaná po dobu 24 hodín pri 2 °C – 8 °C.</w:t>
      </w:r>
    </w:p>
    <w:p w14:paraId="0FADA892" w14:textId="6D7D9D86" w:rsidR="0017393C" w:rsidRDefault="0017393C" w:rsidP="00A77916">
      <w:pPr>
        <w:pStyle w:val="Normlndobloku"/>
      </w:pPr>
      <w:r w:rsidRPr="00E0209A">
        <w:t xml:space="preserve">Z mikrobiologického hľadiska má byť liek použitý okamžite. Ak nie je použitý okamžite, čas a podmienky uchovávania lieku po otvorení pred použitím sú na zodpovednosti užívateľa a nesmú byť dlhšie ako 24 hodín pri 2 °C – 8 °C </w:t>
      </w:r>
      <w:r w:rsidR="005971EB">
        <w:t xml:space="preserve">pokiaľ </w:t>
      </w:r>
      <w:r w:rsidRPr="00E0209A">
        <w:t xml:space="preserve">riedenie </w:t>
      </w:r>
      <w:r w:rsidR="005971EB">
        <w:t>ne</w:t>
      </w:r>
      <w:r w:rsidRPr="00E0209A">
        <w:t>prebehlo za kontrolovaných a validovaných aseptických podmienok.</w:t>
      </w:r>
    </w:p>
    <w:p w14:paraId="1428AAD4" w14:textId="77777777" w:rsidR="00762AD1" w:rsidRPr="00E0209A" w:rsidRDefault="00762AD1" w:rsidP="00D42F90">
      <w:pPr>
        <w:pStyle w:val="Normlndobloku"/>
      </w:pPr>
    </w:p>
    <w:p w14:paraId="772E4CEC" w14:textId="77777777" w:rsidR="0017393C" w:rsidRDefault="0017393C" w:rsidP="00B7552D">
      <w:pPr>
        <w:pStyle w:val="Styl2"/>
        <w:spacing w:before="0" w:after="0"/>
      </w:pPr>
      <w:r w:rsidRPr="00E0209A">
        <w:t>Špeciálne upozornenia na uchovávanie</w:t>
      </w:r>
    </w:p>
    <w:p w14:paraId="4649E5A2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1BFB40E9" w14:textId="77777777" w:rsidR="0017393C" w:rsidRPr="00E0209A" w:rsidRDefault="0017393C" w:rsidP="00A77916">
      <w:pPr>
        <w:pStyle w:val="Normlndobloku"/>
      </w:pPr>
      <w:r w:rsidRPr="00E0209A">
        <w:t>Uchovávajte pri teplote do 25 °C v pôvodnom obale.</w:t>
      </w:r>
    </w:p>
    <w:p w14:paraId="10F5E1F2" w14:textId="77777777" w:rsidR="0017393C" w:rsidRDefault="0017393C" w:rsidP="00A77916">
      <w:pPr>
        <w:pStyle w:val="Normlndobloku"/>
      </w:pPr>
      <w:r w:rsidRPr="00E0209A">
        <w:t>Podmienky uchovávania rekonštituovaného lieku - pozri časti 4.2 a 6.3.</w:t>
      </w:r>
    </w:p>
    <w:p w14:paraId="43E9B657" w14:textId="77777777" w:rsidR="00762AD1" w:rsidRPr="00E0209A" w:rsidRDefault="00762AD1" w:rsidP="00D42F90">
      <w:pPr>
        <w:pStyle w:val="Normlndobloku"/>
      </w:pPr>
    </w:p>
    <w:p w14:paraId="7804EEA2" w14:textId="77777777" w:rsidR="0017393C" w:rsidRDefault="0017393C" w:rsidP="00B7552D">
      <w:pPr>
        <w:pStyle w:val="Styl2"/>
        <w:spacing w:before="0" w:after="0"/>
      </w:pPr>
      <w:r w:rsidRPr="00E0209A">
        <w:t>Druh obalu a obsah balenia</w:t>
      </w:r>
    </w:p>
    <w:p w14:paraId="7043C48B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72D806E6" w14:textId="071114AB" w:rsidR="0017393C" w:rsidRPr="00E0209A" w:rsidRDefault="0017393C" w:rsidP="00A77916">
      <w:pPr>
        <w:pStyle w:val="Normlndobloku"/>
      </w:pPr>
      <w:r w:rsidRPr="00E0209A">
        <w:t>Sklenená injekčná liekovka</w:t>
      </w:r>
      <w:r w:rsidR="00321F5F" w:rsidRPr="00321F5F">
        <w:t xml:space="preserve"> s </w:t>
      </w:r>
      <w:r w:rsidR="00305E0D">
        <w:t>nominálnym</w:t>
      </w:r>
      <w:r w:rsidR="00321F5F" w:rsidRPr="00321F5F">
        <w:t xml:space="preserve"> objemom </w:t>
      </w:r>
      <w:r w:rsidR="00321F5F">
        <w:t>1</w:t>
      </w:r>
      <w:r w:rsidR="00321F5F" w:rsidRPr="00321F5F">
        <w:t>0 m</w:t>
      </w:r>
      <w:r w:rsidR="00321F5F">
        <w:t>l</w:t>
      </w:r>
      <w:r w:rsidRPr="00E0209A">
        <w:t>, gumová zátka, hliníkový uzáver</w:t>
      </w:r>
    </w:p>
    <w:p w14:paraId="648D8FE0" w14:textId="77777777" w:rsidR="0017393C" w:rsidRPr="00E0209A" w:rsidRDefault="0017393C" w:rsidP="00A77916">
      <w:pPr>
        <w:pStyle w:val="Normlndobloku"/>
      </w:pPr>
      <w:r w:rsidRPr="00E0209A">
        <w:t>Veľkosť balenia: 10, 50 alebo 100 injekčných liekoviek</w:t>
      </w:r>
    </w:p>
    <w:p w14:paraId="25D57AFD" w14:textId="77777777" w:rsidR="0017393C" w:rsidRDefault="0017393C" w:rsidP="00D42F90">
      <w:pPr>
        <w:pStyle w:val="Normlndobloku"/>
      </w:pPr>
      <w:r w:rsidRPr="00E0209A">
        <w:t>Na trh nemusia byť uvedené všetky veľkosti balenia.</w:t>
      </w:r>
    </w:p>
    <w:p w14:paraId="09DC03FF" w14:textId="77777777" w:rsidR="00762AD1" w:rsidRPr="00E0209A" w:rsidRDefault="00762AD1" w:rsidP="00B7552D">
      <w:pPr>
        <w:pStyle w:val="Normlndobloku"/>
      </w:pPr>
    </w:p>
    <w:p w14:paraId="5891F712" w14:textId="77777777" w:rsidR="0017393C" w:rsidRDefault="0017393C" w:rsidP="00B7552D">
      <w:pPr>
        <w:pStyle w:val="Styl2"/>
        <w:spacing w:before="0" w:after="0"/>
      </w:pPr>
      <w:r w:rsidRPr="00E0209A">
        <w:t>Špeciálne opatrenia na likvidáciu</w:t>
      </w:r>
      <w:r w:rsidR="00525748">
        <w:t xml:space="preserve"> a iné zaobchádzanie s</w:t>
      </w:r>
      <w:r w:rsidR="00762AD1">
        <w:t> </w:t>
      </w:r>
      <w:r w:rsidR="00525748">
        <w:t>liekom</w:t>
      </w:r>
    </w:p>
    <w:p w14:paraId="72C05889" w14:textId="77777777" w:rsidR="00762AD1" w:rsidRPr="00E0209A" w:rsidRDefault="00762AD1" w:rsidP="00B7552D">
      <w:pPr>
        <w:pStyle w:val="Styl2"/>
        <w:numPr>
          <w:ilvl w:val="0"/>
          <w:numId w:val="0"/>
        </w:numPr>
        <w:spacing w:before="0" w:after="0"/>
      </w:pPr>
    </w:p>
    <w:p w14:paraId="5811684B" w14:textId="3552A8AE" w:rsidR="0017393C" w:rsidRDefault="0017393C" w:rsidP="00A77916">
      <w:pPr>
        <w:pStyle w:val="Normlndobloku"/>
      </w:pPr>
      <w:r w:rsidRPr="00E0209A">
        <w:t xml:space="preserve">Príprava a podanie roztoku sa má spraviť za aseptických </w:t>
      </w:r>
      <w:r w:rsidR="003D336B">
        <w:t>podmienok</w:t>
      </w:r>
      <w:r w:rsidRPr="00E0209A">
        <w:t>. Pred podaním je potrebné roztok skontrolovať na neprítomnosť pevných častíc a sfarbenie. ZEPILEN injekčné liekovky sú len na jedno použitie, zvyšok roztoku sa musí znehodnotiť.</w:t>
      </w:r>
    </w:p>
    <w:p w14:paraId="2EDAEE12" w14:textId="77777777" w:rsidR="00441F1F" w:rsidRDefault="00441F1F" w:rsidP="00A77916">
      <w:pPr>
        <w:pStyle w:val="Normlndobloku"/>
      </w:pPr>
    </w:p>
    <w:p w14:paraId="1FEC06CD" w14:textId="77777777" w:rsidR="00A77916" w:rsidRPr="00E0209A" w:rsidRDefault="00A77916" w:rsidP="00D42F90">
      <w:pPr>
        <w:pStyle w:val="Normlndobloku"/>
      </w:pPr>
    </w:p>
    <w:p w14:paraId="3CCDAD48" w14:textId="77777777" w:rsidR="0017393C" w:rsidRDefault="0017393C" w:rsidP="00B7552D">
      <w:pPr>
        <w:pStyle w:val="Styl1"/>
        <w:spacing w:before="0" w:after="0"/>
      </w:pPr>
      <w:r w:rsidRPr="00E0209A">
        <w:t>DRŽITEĽ ROZHODNUTIA O</w:t>
      </w:r>
      <w:r w:rsidR="00762AD1">
        <w:t> </w:t>
      </w:r>
      <w:r w:rsidRPr="00E0209A">
        <w:t>REGISTRÁCII</w:t>
      </w:r>
    </w:p>
    <w:p w14:paraId="397D6F95" w14:textId="77777777" w:rsidR="00762AD1" w:rsidRPr="00E0209A" w:rsidRDefault="00762AD1" w:rsidP="00A77916">
      <w:pPr>
        <w:pStyle w:val="Styl1"/>
        <w:numPr>
          <w:ilvl w:val="0"/>
          <w:numId w:val="0"/>
        </w:numPr>
        <w:spacing w:before="0" w:after="0"/>
      </w:pPr>
    </w:p>
    <w:p w14:paraId="1C2E8B76" w14:textId="77777777" w:rsidR="00441F1F" w:rsidRDefault="005043AB" w:rsidP="00D42F90">
      <w:pPr>
        <w:pStyle w:val="Normlndobloku"/>
      </w:pPr>
      <w:r>
        <w:t xml:space="preserve">MEDOCHEMIE Ltd., 1-10 </w:t>
      </w:r>
      <w:proofErr w:type="spellStart"/>
      <w:r>
        <w:t>Constantinoupoleos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, 3011 </w:t>
      </w:r>
      <w:proofErr w:type="spellStart"/>
      <w:r>
        <w:t>Limassol</w:t>
      </w:r>
      <w:proofErr w:type="spellEnd"/>
      <w:r>
        <w:t>, Cyprus</w:t>
      </w:r>
    </w:p>
    <w:p w14:paraId="40A8E9A9" w14:textId="77777777" w:rsidR="005043AB" w:rsidRDefault="005043AB" w:rsidP="00D42F90">
      <w:pPr>
        <w:pStyle w:val="Normlndobloku"/>
      </w:pPr>
    </w:p>
    <w:p w14:paraId="2B18D049" w14:textId="77777777" w:rsidR="00A77916" w:rsidRPr="00E0209A" w:rsidRDefault="00A77916" w:rsidP="00B7552D">
      <w:pPr>
        <w:pStyle w:val="Normlndobloku"/>
      </w:pPr>
    </w:p>
    <w:p w14:paraId="71FB5CD4" w14:textId="77777777" w:rsidR="0017393C" w:rsidRDefault="0017393C" w:rsidP="00B7552D">
      <w:pPr>
        <w:pStyle w:val="Styl1"/>
        <w:spacing w:before="0" w:after="0"/>
      </w:pPr>
      <w:r w:rsidRPr="00E0209A">
        <w:t>REGISTRAČNÉ ČÍSLO</w:t>
      </w:r>
    </w:p>
    <w:p w14:paraId="532528D3" w14:textId="77777777" w:rsidR="00762AD1" w:rsidRPr="00E0209A" w:rsidRDefault="00762AD1" w:rsidP="00A77916">
      <w:pPr>
        <w:pStyle w:val="Styl1"/>
        <w:numPr>
          <w:ilvl w:val="0"/>
          <w:numId w:val="0"/>
        </w:numPr>
        <w:spacing w:before="0" w:after="0"/>
      </w:pPr>
    </w:p>
    <w:p w14:paraId="539C1193" w14:textId="77777777" w:rsidR="0017393C" w:rsidRDefault="0017393C" w:rsidP="00A77916">
      <w:pPr>
        <w:pStyle w:val="Normlndobloku"/>
      </w:pPr>
      <w:r w:rsidRPr="00E0209A">
        <w:t>15/</w:t>
      </w:r>
      <w:r w:rsidR="00E1058C" w:rsidRPr="00E1058C">
        <w:t>0278</w:t>
      </w:r>
      <w:r w:rsidRPr="00E0209A">
        <w:t>/16-S</w:t>
      </w:r>
    </w:p>
    <w:p w14:paraId="255B15F6" w14:textId="77777777" w:rsidR="00441F1F" w:rsidRDefault="00441F1F" w:rsidP="00D42F90">
      <w:pPr>
        <w:pStyle w:val="Normlndobloku"/>
      </w:pPr>
    </w:p>
    <w:p w14:paraId="326644E0" w14:textId="77777777" w:rsidR="00A77916" w:rsidRPr="00E0209A" w:rsidRDefault="00A77916" w:rsidP="00B7552D">
      <w:pPr>
        <w:pStyle w:val="Normlndobloku"/>
      </w:pPr>
    </w:p>
    <w:p w14:paraId="186D1C4B" w14:textId="77777777" w:rsidR="0017393C" w:rsidRDefault="0017393C" w:rsidP="00B7552D">
      <w:pPr>
        <w:pStyle w:val="Styl1"/>
        <w:spacing w:before="0" w:after="0"/>
      </w:pPr>
      <w:r w:rsidRPr="00E0209A">
        <w:t xml:space="preserve">DÁTUM </w:t>
      </w:r>
      <w:r w:rsidR="00AF03FC">
        <w:t xml:space="preserve">PRVEJ </w:t>
      </w:r>
      <w:r w:rsidRPr="00E0209A">
        <w:t>REGISTRÁCIE/ PREDĹŽENIA REGISTRÁCIE</w:t>
      </w:r>
    </w:p>
    <w:p w14:paraId="2CE337B3" w14:textId="77777777" w:rsidR="00762AD1" w:rsidRPr="00E0209A" w:rsidRDefault="00762AD1" w:rsidP="00A77916">
      <w:pPr>
        <w:pStyle w:val="Styl1"/>
        <w:numPr>
          <w:ilvl w:val="0"/>
          <w:numId w:val="0"/>
        </w:numPr>
        <w:spacing w:before="0" w:after="0"/>
      </w:pPr>
    </w:p>
    <w:p w14:paraId="23DC8853" w14:textId="77777777" w:rsidR="0017393C" w:rsidRPr="00E0209A" w:rsidRDefault="0017393C" w:rsidP="00A77916">
      <w:pPr>
        <w:pStyle w:val="Normlndobloku"/>
      </w:pPr>
      <w:r w:rsidRPr="00E0209A">
        <w:t>Dátum prvej registrácie:</w:t>
      </w:r>
      <w:r w:rsidR="005043AB">
        <w:t xml:space="preserve"> 24. má</w:t>
      </w:r>
      <w:r w:rsidR="00695CE2">
        <w:t>j</w:t>
      </w:r>
      <w:r w:rsidR="005043AB">
        <w:t xml:space="preserve"> 2016</w:t>
      </w:r>
    </w:p>
    <w:p w14:paraId="5E6697C4" w14:textId="77777777" w:rsidR="0017393C" w:rsidRDefault="0017393C" w:rsidP="00D42F90">
      <w:pPr>
        <w:pStyle w:val="Normlndobloku"/>
      </w:pPr>
      <w:r w:rsidRPr="00E0209A">
        <w:t>Dátum posledného predĺženia registrácie:</w:t>
      </w:r>
    </w:p>
    <w:p w14:paraId="20D91C36" w14:textId="77777777" w:rsidR="00441F1F" w:rsidRDefault="00441F1F" w:rsidP="00B7552D">
      <w:pPr>
        <w:pStyle w:val="Normlndobloku"/>
      </w:pPr>
    </w:p>
    <w:p w14:paraId="441C0D92" w14:textId="77777777" w:rsidR="00A77916" w:rsidRPr="00E0209A" w:rsidRDefault="00A77916" w:rsidP="00B7552D">
      <w:pPr>
        <w:pStyle w:val="Normlndobloku"/>
      </w:pPr>
    </w:p>
    <w:p w14:paraId="03417E99" w14:textId="77777777" w:rsidR="00B04D31" w:rsidRDefault="0017393C" w:rsidP="00B7552D">
      <w:pPr>
        <w:pStyle w:val="Styl1"/>
        <w:spacing w:before="0" w:after="0"/>
      </w:pPr>
      <w:r w:rsidRPr="00E0209A">
        <w:t>DÁTUM REVÍZIE TEXTU</w:t>
      </w:r>
    </w:p>
    <w:p w14:paraId="02A25DEC" w14:textId="77777777" w:rsidR="00E344B7" w:rsidRDefault="00E344B7" w:rsidP="00B7552D">
      <w:pPr>
        <w:pStyle w:val="Styl1"/>
        <w:numPr>
          <w:ilvl w:val="0"/>
          <w:numId w:val="0"/>
        </w:numPr>
        <w:spacing w:before="0" w:after="0"/>
        <w:rPr>
          <w:b w:val="0"/>
        </w:rPr>
      </w:pPr>
    </w:p>
    <w:p w14:paraId="29F9CBE7" w14:textId="2989EC33" w:rsidR="0017393C" w:rsidRPr="00E0209A" w:rsidRDefault="002736AE" w:rsidP="00A77916">
      <w:r>
        <w:t>1</w:t>
      </w:r>
      <w:r w:rsidR="00B35788">
        <w:t>2</w:t>
      </w:r>
      <w:r>
        <w:t>/2020</w:t>
      </w:r>
    </w:p>
    <w:sectPr w:rsidR="0017393C" w:rsidRPr="00E0209A" w:rsidSect="006C7B8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37" w:footer="737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E8D4" w16cex:dateUtc="2020-11-25T13:29:00Z"/>
  <w16cex:commentExtensible w16cex:durableId="2368EA02" w16cex:dateUtc="2020-11-25T13:34:00Z"/>
  <w16cex:commentExtensible w16cex:durableId="2368FE4D" w16cex:dateUtc="2020-11-25T15:01:00Z"/>
  <w16cex:commentExtensible w16cex:durableId="2369F018" w16cex:dateUtc="2020-11-26T08:12:00Z"/>
  <w16cex:commentExtensible w16cex:durableId="2368FEB3" w16cex:dateUtc="2020-11-25T15:02:00Z"/>
  <w16cex:commentExtensible w16cex:durableId="2368FF93" w16cex:dateUtc="2020-11-25T15:06:00Z"/>
  <w16cex:commentExtensible w16cex:durableId="2368FED5" w16cex:dateUtc="2020-11-25T15:03:00Z"/>
  <w16cex:commentExtensible w16cex:durableId="2368FF7F" w16cex:dateUtc="2020-11-25T15:06:00Z"/>
  <w16cex:commentExtensible w16cex:durableId="2368FF70" w16cex:dateUtc="2020-11-25T15:06:00Z"/>
  <w16cex:commentExtensible w16cex:durableId="2368FF10" w16cex:dateUtc="2020-11-25T15:04:00Z"/>
  <w16cex:commentExtensible w16cex:durableId="2368FF1C" w16cex:dateUtc="2020-11-25T15:04:00Z"/>
  <w16cex:commentExtensible w16cex:durableId="2368FF23" w16cex:dateUtc="2020-11-25T15:04:00Z"/>
  <w16cex:commentExtensible w16cex:durableId="2368FF36" w16cex:dateUtc="2020-11-25T15:05:00Z"/>
  <w16cex:commentExtensible w16cex:durableId="2368FF57" w16cex:dateUtc="2020-11-25T15:05:00Z"/>
  <w16cex:commentExtensible w16cex:durableId="2368FF5C" w16cex:dateUtc="2020-11-25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593FA4" w16cid:durableId="235D84A1"/>
  <w16cid:commentId w16cid:paraId="2E47E4E6" w16cid:durableId="2368E8D4"/>
  <w16cid:commentId w16cid:paraId="7EA6E3D6" w16cid:durableId="235186B4"/>
  <w16cid:commentId w16cid:paraId="738B234C" w16cid:durableId="2368EA02"/>
  <w16cid:commentId w16cid:paraId="68F18536" w16cid:durableId="235187BF"/>
  <w16cid:commentId w16cid:paraId="1576134F" w16cid:durableId="2368FE4D"/>
  <w16cid:commentId w16cid:paraId="1331D0BE" w16cid:durableId="235194E4"/>
  <w16cid:commentId w16cid:paraId="60BF0444" w16cid:durableId="2369F018"/>
  <w16cid:commentId w16cid:paraId="003DF932" w16cid:durableId="2351938B"/>
  <w16cid:commentId w16cid:paraId="3C85AF4C" w16cid:durableId="2368FEB3"/>
  <w16cid:commentId w16cid:paraId="1ACBEBA1" w16cid:durableId="235D7C56"/>
  <w16cid:commentId w16cid:paraId="00757455" w16cid:durableId="2368FF93"/>
  <w16cid:commentId w16cid:paraId="39851041" w16cid:durableId="235D7E24"/>
  <w16cid:commentId w16cid:paraId="360C7E4F" w16cid:durableId="2368FED5"/>
  <w16cid:commentId w16cid:paraId="0E220D75" w16cid:durableId="235196EB"/>
  <w16cid:commentId w16cid:paraId="1205EC68" w16cid:durableId="2368FF7F"/>
  <w16cid:commentId w16cid:paraId="1946BD68" w16cid:durableId="23519811"/>
  <w16cid:commentId w16cid:paraId="257A0846" w16cid:durableId="2368FF70"/>
  <w16cid:commentId w16cid:paraId="6B63D3A0" w16cid:durableId="23519A25"/>
  <w16cid:commentId w16cid:paraId="76D5F906" w16cid:durableId="2368FF10"/>
  <w16cid:commentId w16cid:paraId="1BD13B2E" w16cid:durableId="235199A8"/>
  <w16cid:commentId w16cid:paraId="60AC6390" w16cid:durableId="2368FF1C"/>
  <w16cid:commentId w16cid:paraId="1519F5DA" w16cid:durableId="23519B5B"/>
  <w16cid:commentId w16cid:paraId="4C146082" w16cid:durableId="2368FF23"/>
  <w16cid:commentId w16cid:paraId="7A400C93" w16cid:durableId="23519C9F"/>
  <w16cid:commentId w16cid:paraId="4075109A" w16cid:durableId="2368FF36"/>
  <w16cid:commentId w16cid:paraId="529BDAED" w16cid:durableId="2351A08D"/>
  <w16cid:commentId w16cid:paraId="7AAFB4F8" w16cid:durableId="2368FF57"/>
  <w16cid:commentId w16cid:paraId="5B637156" w16cid:durableId="2351A153"/>
  <w16cid:commentId w16cid:paraId="22A8E069" w16cid:durableId="2368F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0A6B" w14:textId="77777777" w:rsidR="00B367D6" w:rsidRDefault="00B367D6" w:rsidP="0017393C">
      <w:r>
        <w:separator/>
      </w:r>
    </w:p>
  </w:endnote>
  <w:endnote w:type="continuationSeparator" w:id="0">
    <w:p w14:paraId="335644CE" w14:textId="77777777" w:rsidR="00B367D6" w:rsidRDefault="00B367D6" w:rsidP="0017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9267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8F8F554" w14:textId="0B93F5C8" w:rsidR="00AD0B7E" w:rsidRPr="00B35788" w:rsidRDefault="00AD0B7E">
        <w:pPr>
          <w:pStyle w:val="Pta"/>
          <w:jc w:val="center"/>
          <w:rPr>
            <w:sz w:val="18"/>
            <w:szCs w:val="18"/>
          </w:rPr>
        </w:pPr>
        <w:r w:rsidRPr="00B35788">
          <w:rPr>
            <w:sz w:val="18"/>
            <w:szCs w:val="18"/>
          </w:rPr>
          <w:fldChar w:fldCharType="begin"/>
        </w:r>
        <w:r w:rsidRPr="00B35788">
          <w:rPr>
            <w:sz w:val="18"/>
            <w:szCs w:val="18"/>
          </w:rPr>
          <w:instrText>PAGE   \* MERGEFORMAT</w:instrText>
        </w:r>
        <w:r w:rsidRPr="00B35788">
          <w:rPr>
            <w:sz w:val="18"/>
            <w:szCs w:val="18"/>
          </w:rPr>
          <w:fldChar w:fldCharType="separate"/>
        </w:r>
        <w:r w:rsidR="00D13398">
          <w:rPr>
            <w:noProof/>
            <w:sz w:val="18"/>
            <w:szCs w:val="18"/>
          </w:rPr>
          <w:t>11</w:t>
        </w:r>
        <w:r w:rsidRPr="00B35788">
          <w:rPr>
            <w:sz w:val="18"/>
            <w:szCs w:val="18"/>
          </w:rPr>
          <w:fldChar w:fldCharType="end"/>
        </w:r>
      </w:p>
    </w:sdtContent>
  </w:sdt>
  <w:p w14:paraId="00BA2D3D" w14:textId="77777777" w:rsidR="00FD3AA8" w:rsidRDefault="00FD3AA8" w:rsidP="001739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C4D9" w14:textId="77777777" w:rsidR="00FD3AA8" w:rsidRDefault="00FD3AA8" w:rsidP="000158D8">
    <w:pPr>
      <w:pStyle w:val="Pta"/>
      <w:jc w:val="center"/>
    </w:pPr>
    <w:r>
      <w:fldChar w:fldCharType="begin"/>
    </w:r>
    <w:r>
      <w:instrText xml:space="preserve"> EQ </w:instrText>
    </w:r>
    <w:r>
      <w:fldChar w:fldCharType="end"/>
    </w:r>
    <w:r w:rsidRPr="005C5B2B">
      <w:rPr>
        <w:sz w:val="18"/>
        <w:szCs w:val="18"/>
      </w:rPr>
      <w:fldChar w:fldCharType="begin"/>
    </w:r>
    <w:r w:rsidRPr="005C5B2B">
      <w:rPr>
        <w:sz w:val="18"/>
        <w:szCs w:val="18"/>
      </w:rPr>
      <w:instrText xml:space="preserve"> PAGE </w:instrText>
    </w:r>
    <w:r w:rsidRPr="005C5B2B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C5B2B">
      <w:rPr>
        <w:noProof/>
        <w:sz w:val="18"/>
        <w:szCs w:val="18"/>
      </w:rPr>
      <w:fldChar w:fldCharType="end"/>
    </w:r>
    <w:r w:rsidRPr="005C5B2B">
      <w:rPr>
        <w:sz w:val="18"/>
        <w:szCs w:val="18"/>
      </w:rPr>
      <w:t>/</w:t>
    </w:r>
    <w:r w:rsidRPr="005C5B2B">
      <w:rPr>
        <w:sz w:val="18"/>
        <w:szCs w:val="18"/>
      </w:rPr>
      <w:fldChar w:fldCharType="begin"/>
    </w:r>
    <w:r w:rsidRPr="005C5B2B">
      <w:rPr>
        <w:sz w:val="18"/>
        <w:szCs w:val="18"/>
      </w:rPr>
      <w:instrText xml:space="preserve"> NUMPAGES </w:instrText>
    </w:r>
    <w:r w:rsidRPr="005C5B2B">
      <w:rPr>
        <w:sz w:val="18"/>
        <w:szCs w:val="18"/>
      </w:rPr>
      <w:fldChar w:fldCharType="separate"/>
    </w:r>
    <w:r>
      <w:rPr>
        <w:noProof/>
        <w:sz w:val="18"/>
        <w:szCs w:val="18"/>
      </w:rPr>
      <w:t>11</w:t>
    </w:r>
    <w:r w:rsidRPr="005C5B2B">
      <w:rPr>
        <w:noProof/>
        <w:sz w:val="18"/>
        <w:szCs w:val="18"/>
      </w:rPr>
      <w:fldChar w:fldCharType="end"/>
    </w:r>
  </w:p>
  <w:p w14:paraId="08B6A8B4" w14:textId="77777777" w:rsidR="00FD3AA8" w:rsidRDefault="00FD3AA8" w:rsidP="0017393C"/>
  <w:p w14:paraId="6272BC35" w14:textId="77777777" w:rsidR="00FD3AA8" w:rsidRDefault="00FD3AA8" w:rsidP="00173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A528" w14:textId="77777777" w:rsidR="00B367D6" w:rsidRDefault="00B367D6" w:rsidP="0017393C">
      <w:r>
        <w:separator/>
      </w:r>
    </w:p>
  </w:footnote>
  <w:footnote w:type="continuationSeparator" w:id="0">
    <w:p w14:paraId="589DF83A" w14:textId="77777777" w:rsidR="00B367D6" w:rsidRDefault="00B367D6" w:rsidP="0017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CC54" w14:textId="7F2B2624" w:rsidR="00FD3AA8" w:rsidRDefault="00FD3AA8" w:rsidP="0089168D">
    <w:pPr>
      <w:pStyle w:val="Hlavika"/>
      <w:rPr>
        <w:sz w:val="18"/>
        <w:szCs w:val="18"/>
        <w:lang w:eastAsia="en-US"/>
      </w:rPr>
    </w:pPr>
    <w:r>
      <w:rPr>
        <w:sz w:val="18"/>
        <w:szCs w:val="18"/>
      </w:rPr>
      <w:t xml:space="preserve">Schválený text k rozhodnutiu o predĺžení, ev. č.: </w:t>
    </w:r>
    <w:r w:rsidR="003D336B" w:rsidRPr="003D336B">
      <w:rPr>
        <w:sz w:val="18"/>
        <w:szCs w:val="18"/>
      </w:rPr>
      <w:t>2020/04142</w:t>
    </w:r>
    <w:r w:rsidR="00AD0B7E">
      <w:rPr>
        <w:sz w:val="18"/>
        <w:szCs w:val="18"/>
      </w:rPr>
      <w:t>-PRE</w:t>
    </w:r>
  </w:p>
  <w:p w14:paraId="582EDDB8" w14:textId="77777777" w:rsidR="00FD3AA8" w:rsidRDefault="00FD3AA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03D7" w14:textId="77777777" w:rsidR="00FD3AA8" w:rsidRDefault="00FD3AA8" w:rsidP="00E0209A">
    <w:pPr>
      <w:pStyle w:val="Zkladntext"/>
      <w:rPr>
        <w:sz w:val="18"/>
        <w:szCs w:val="18"/>
      </w:rPr>
    </w:pPr>
  </w:p>
  <w:p w14:paraId="11071D12" w14:textId="77777777" w:rsidR="00FD3AA8" w:rsidRDefault="00FD3AA8">
    <w:pPr>
      <w:pStyle w:val="Default"/>
      <w:rPr>
        <w:sz w:val="18"/>
        <w:szCs w:val="18"/>
      </w:rPr>
    </w:pPr>
    <w:r>
      <w:rPr>
        <w:sz w:val="18"/>
        <w:szCs w:val="18"/>
      </w:rPr>
      <w:t>Schválený text k </w:t>
    </w:r>
    <w:proofErr w:type="spellStart"/>
    <w:r>
      <w:rPr>
        <w:sz w:val="18"/>
        <w:szCs w:val="18"/>
      </w:rPr>
      <w:t>rozhodnutiu</w:t>
    </w:r>
    <w:proofErr w:type="spellEnd"/>
    <w:r>
      <w:rPr>
        <w:sz w:val="18"/>
        <w:szCs w:val="18"/>
      </w:rPr>
      <w:t xml:space="preserve"> o </w:t>
    </w:r>
    <w:proofErr w:type="spellStart"/>
    <w:r>
      <w:rPr>
        <w:sz w:val="18"/>
        <w:szCs w:val="18"/>
      </w:rPr>
      <w:t>prevode</w:t>
    </w:r>
    <w:proofErr w:type="spellEnd"/>
    <w:r>
      <w:rPr>
        <w:sz w:val="18"/>
        <w:szCs w:val="18"/>
      </w:rPr>
      <w:t xml:space="preserve">, ev. č.: 2017/03128-TR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A6F"/>
    <w:multiLevelType w:val="hybridMultilevel"/>
    <w:tmpl w:val="1898DA00"/>
    <w:lvl w:ilvl="0" w:tplc="A77A7DC2">
      <w:start w:val="4"/>
      <w:numFmt w:val="decimal"/>
      <w:lvlText w:val="4.%1. 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A6D"/>
    <w:multiLevelType w:val="hybridMultilevel"/>
    <w:tmpl w:val="17ECF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DB5"/>
    <w:multiLevelType w:val="hybridMultilevel"/>
    <w:tmpl w:val="A63A8B70"/>
    <w:lvl w:ilvl="0" w:tplc="A0EC0DE4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0AF3"/>
    <w:multiLevelType w:val="singleLevel"/>
    <w:tmpl w:val="A77A7DC2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color w:val="000000"/>
        <w:sz w:val="20"/>
        <w:szCs w:val="20"/>
      </w:rPr>
    </w:lvl>
  </w:abstractNum>
  <w:abstractNum w:abstractNumId="4" w15:restartNumberingAfterBreak="0">
    <w:nsid w:val="3E492E24"/>
    <w:multiLevelType w:val="multilevel"/>
    <w:tmpl w:val="ADA2C142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pStyle w:val="Styl2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D9221C"/>
    <w:multiLevelType w:val="hybridMultilevel"/>
    <w:tmpl w:val="A820845C"/>
    <w:lvl w:ilvl="0" w:tplc="A77A7DC2">
      <w:start w:val="4"/>
      <w:numFmt w:val="decimal"/>
      <w:lvlText w:val="4.%1. 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26BBA"/>
    <w:multiLevelType w:val="hybridMultilevel"/>
    <w:tmpl w:val="28362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C7E3E"/>
    <w:multiLevelType w:val="hybridMultilevel"/>
    <w:tmpl w:val="0FAE029A"/>
    <w:lvl w:ilvl="0" w:tplc="6A84B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D4AA7"/>
    <w:multiLevelType w:val="multilevel"/>
    <w:tmpl w:val="10747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5644B38"/>
    <w:multiLevelType w:val="hybridMultilevel"/>
    <w:tmpl w:val="E20A434C"/>
    <w:lvl w:ilvl="0" w:tplc="424CDD28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E6"/>
    <w:rsid w:val="00007B94"/>
    <w:rsid w:val="000158D8"/>
    <w:rsid w:val="0003380D"/>
    <w:rsid w:val="00041E2F"/>
    <w:rsid w:val="00066D2F"/>
    <w:rsid w:val="00074623"/>
    <w:rsid w:val="00097EED"/>
    <w:rsid w:val="000B1B8A"/>
    <w:rsid w:val="000C1F23"/>
    <w:rsid w:val="000E2BDD"/>
    <w:rsid w:val="000E69B5"/>
    <w:rsid w:val="000F1686"/>
    <w:rsid w:val="00104575"/>
    <w:rsid w:val="001218EA"/>
    <w:rsid w:val="001537D5"/>
    <w:rsid w:val="0016412F"/>
    <w:rsid w:val="0017393C"/>
    <w:rsid w:val="00191BD3"/>
    <w:rsid w:val="00195645"/>
    <w:rsid w:val="001C20FF"/>
    <w:rsid w:val="001C5341"/>
    <w:rsid w:val="001F0142"/>
    <w:rsid w:val="001F4140"/>
    <w:rsid w:val="001F438D"/>
    <w:rsid w:val="001F4B9D"/>
    <w:rsid w:val="00265F60"/>
    <w:rsid w:val="002736AE"/>
    <w:rsid w:val="00285CC7"/>
    <w:rsid w:val="00293F53"/>
    <w:rsid w:val="002A3A6E"/>
    <w:rsid w:val="002E0FA7"/>
    <w:rsid w:val="002E5D1E"/>
    <w:rsid w:val="00305E0D"/>
    <w:rsid w:val="00321F5F"/>
    <w:rsid w:val="003223DF"/>
    <w:rsid w:val="003354DC"/>
    <w:rsid w:val="003360E6"/>
    <w:rsid w:val="003368D4"/>
    <w:rsid w:val="00342111"/>
    <w:rsid w:val="00350C8C"/>
    <w:rsid w:val="00361F2E"/>
    <w:rsid w:val="00371819"/>
    <w:rsid w:val="00371CE7"/>
    <w:rsid w:val="00372BFC"/>
    <w:rsid w:val="00382147"/>
    <w:rsid w:val="003A4801"/>
    <w:rsid w:val="003B7F66"/>
    <w:rsid w:val="003D336B"/>
    <w:rsid w:val="003D43A7"/>
    <w:rsid w:val="003E388F"/>
    <w:rsid w:val="00431669"/>
    <w:rsid w:val="004415CC"/>
    <w:rsid w:val="00441F1F"/>
    <w:rsid w:val="004677CF"/>
    <w:rsid w:val="00473FB2"/>
    <w:rsid w:val="00477CC2"/>
    <w:rsid w:val="00487226"/>
    <w:rsid w:val="00496240"/>
    <w:rsid w:val="004A2553"/>
    <w:rsid w:val="004C6575"/>
    <w:rsid w:val="00501A68"/>
    <w:rsid w:val="005043AB"/>
    <w:rsid w:val="00511F2D"/>
    <w:rsid w:val="00525748"/>
    <w:rsid w:val="00526468"/>
    <w:rsid w:val="0053570C"/>
    <w:rsid w:val="00536B90"/>
    <w:rsid w:val="00586ED1"/>
    <w:rsid w:val="005971EB"/>
    <w:rsid w:val="005A5EB9"/>
    <w:rsid w:val="005C18A6"/>
    <w:rsid w:val="005C5B2B"/>
    <w:rsid w:val="005F6A2A"/>
    <w:rsid w:val="006236B6"/>
    <w:rsid w:val="00656608"/>
    <w:rsid w:val="00682299"/>
    <w:rsid w:val="0068750A"/>
    <w:rsid w:val="00695CE2"/>
    <w:rsid w:val="006976BF"/>
    <w:rsid w:val="006A1BD5"/>
    <w:rsid w:val="006B48B8"/>
    <w:rsid w:val="006C5AB8"/>
    <w:rsid w:val="006C7B8F"/>
    <w:rsid w:val="006D48F9"/>
    <w:rsid w:val="006F1380"/>
    <w:rsid w:val="006F2A66"/>
    <w:rsid w:val="007027C1"/>
    <w:rsid w:val="007210CD"/>
    <w:rsid w:val="007340E8"/>
    <w:rsid w:val="00753C79"/>
    <w:rsid w:val="00762AD1"/>
    <w:rsid w:val="00777ACE"/>
    <w:rsid w:val="00794BE1"/>
    <w:rsid w:val="007B48DC"/>
    <w:rsid w:val="007E134E"/>
    <w:rsid w:val="007E7465"/>
    <w:rsid w:val="007F0216"/>
    <w:rsid w:val="0080660A"/>
    <w:rsid w:val="00817D0D"/>
    <w:rsid w:val="00845726"/>
    <w:rsid w:val="00870B74"/>
    <w:rsid w:val="00876FB7"/>
    <w:rsid w:val="00884BA5"/>
    <w:rsid w:val="0089168D"/>
    <w:rsid w:val="008A7B27"/>
    <w:rsid w:val="008B505E"/>
    <w:rsid w:val="008E4693"/>
    <w:rsid w:val="00911598"/>
    <w:rsid w:val="009202DD"/>
    <w:rsid w:val="00935081"/>
    <w:rsid w:val="00937038"/>
    <w:rsid w:val="00960CDD"/>
    <w:rsid w:val="00975FD9"/>
    <w:rsid w:val="00987F6E"/>
    <w:rsid w:val="0099407E"/>
    <w:rsid w:val="009965D9"/>
    <w:rsid w:val="00997503"/>
    <w:rsid w:val="009A3873"/>
    <w:rsid w:val="009B1DA3"/>
    <w:rsid w:val="00A061C5"/>
    <w:rsid w:val="00A169EA"/>
    <w:rsid w:val="00A60248"/>
    <w:rsid w:val="00A77916"/>
    <w:rsid w:val="00A806E2"/>
    <w:rsid w:val="00A92F7A"/>
    <w:rsid w:val="00AA575E"/>
    <w:rsid w:val="00AA6E0E"/>
    <w:rsid w:val="00AD0B7E"/>
    <w:rsid w:val="00AD34CC"/>
    <w:rsid w:val="00AE3C54"/>
    <w:rsid w:val="00AF03FC"/>
    <w:rsid w:val="00AF11A0"/>
    <w:rsid w:val="00AF137C"/>
    <w:rsid w:val="00AF489A"/>
    <w:rsid w:val="00B04D31"/>
    <w:rsid w:val="00B0750C"/>
    <w:rsid w:val="00B300B2"/>
    <w:rsid w:val="00B35788"/>
    <w:rsid w:val="00B367D6"/>
    <w:rsid w:val="00B37612"/>
    <w:rsid w:val="00B476B4"/>
    <w:rsid w:val="00B5255E"/>
    <w:rsid w:val="00B60E86"/>
    <w:rsid w:val="00B66D1F"/>
    <w:rsid w:val="00B7552D"/>
    <w:rsid w:val="00B75E30"/>
    <w:rsid w:val="00B92EE9"/>
    <w:rsid w:val="00BC6D85"/>
    <w:rsid w:val="00C126D1"/>
    <w:rsid w:val="00C53D1D"/>
    <w:rsid w:val="00C74E70"/>
    <w:rsid w:val="00C85043"/>
    <w:rsid w:val="00C86977"/>
    <w:rsid w:val="00CF1C8B"/>
    <w:rsid w:val="00CF3D94"/>
    <w:rsid w:val="00D04E2B"/>
    <w:rsid w:val="00D1004F"/>
    <w:rsid w:val="00D13398"/>
    <w:rsid w:val="00D1350A"/>
    <w:rsid w:val="00D35332"/>
    <w:rsid w:val="00D363FF"/>
    <w:rsid w:val="00D42F90"/>
    <w:rsid w:val="00D46143"/>
    <w:rsid w:val="00D47496"/>
    <w:rsid w:val="00D56FEC"/>
    <w:rsid w:val="00D570AA"/>
    <w:rsid w:val="00D6224B"/>
    <w:rsid w:val="00D6362D"/>
    <w:rsid w:val="00D7648F"/>
    <w:rsid w:val="00DB2719"/>
    <w:rsid w:val="00DB72EA"/>
    <w:rsid w:val="00DE10E2"/>
    <w:rsid w:val="00DE12AE"/>
    <w:rsid w:val="00E0209A"/>
    <w:rsid w:val="00E1058C"/>
    <w:rsid w:val="00E30677"/>
    <w:rsid w:val="00E344B7"/>
    <w:rsid w:val="00E63CB3"/>
    <w:rsid w:val="00EA0CA6"/>
    <w:rsid w:val="00EA5624"/>
    <w:rsid w:val="00EA5CC2"/>
    <w:rsid w:val="00EC0E74"/>
    <w:rsid w:val="00ED4203"/>
    <w:rsid w:val="00F00153"/>
    <w:rsid w:val="00F10A5D"/>
    <w:rsid w:val="00F40902"/>
    <w:rsid w:val="00F70B7E"/>
    <w:rsid w:val="00F73D2C"/>
    <w:rsid w:val="00F76F3B"/>
    <w:rsid w:val="00F85055"/>
    <w:rsid w:val="00F86D7E"/>
    <w:rsid w:val="00FA5C4C"/>
    <w:rsid w:val="00FB0AF9"/>
    <w:rsid w:val="00FB4FEF"/>
    <w:rsid w:val="00FD27AC"/>
    <w:rsid w:val="00FD3AA8"/>
    <w:rsid w:val="00FE1E97"/>
    <w:rsid w:val="00FF417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1BC1B"/>
  <w15:docId w15:val="{61BAF38F-4EC8-46CD-9690-0419FC7E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17393C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74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74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autoRedefine/>
    <w:rsid w:val="004415CC"/>
    <w:pPr>
      <w:keepNext/>
      <w:numPr>
        <w:numId w:val="10"/>
      </w:numPr>
      <w:spacing w:before="360" w:after="120"/>
      <w:ind w:left="0" w:firstLine="0"/>
    </w:pPr>
    <w:rPr>
      <w:b/>
      <w:bCs/>
      <w:caps/>
      <w:szCs w:val="24"/>
    </w:rPr>
  </w:style>
  <w:style w:type="paragraph" w:customStyle="1" w:styleId="Styl2">
    <w:name w:val="Styl2"/>
    <w:basedOn w:val="Normlny"/>
    <w:autoRedefine/>
    <w:rsid w:val="0017393C"/>
    <w:pPr>
      <w:keepNext/>
      <w:numPr>
        <w:ilvl w:val="1"/>
        <w:numId w:val="10"/>
      </w:numPr>
      <w:spacing w:before="120" w:after="120"/>
    </w:pPr>
    <w:rPr>
      <w:b/>
      <w:bCs/>
    </w:rPr>
  </w:style>
  <w:style w:type="paragraph" w:customStyle="1" w:styleId="Styl2-2">
    <w:name w:val="Styl2-2"/>
    <w:basedOn w:val="Styl2"/>
    <w:next w:val="Normlny"/>
    <w:autoRedefine/>
    <w:qFormat/>
    <w:rsid w:val="00074623"/>
    <w:pPr>
      <w:numPr>
        <w:ilvl w:val="0"/>
        <w:numId w:val="0"/>
      </w:numPr>
      <w:spacing w:before="0" w:after="0"/>
    </w:pPr>
    <w:rPr>
      <w:b w:val="0"/>
      <w:u w:val="single"/>
    </w:rPr>
  </w:style>
  <w:style w:type="paragraph" w:customStyle="1" w:styleId="Styl3">
    <w:name w:val="Styl3"/>
    <w:basedOn w:val="Normlny"/>
    <w:link w:val="Styl3Char"/>
    <w:rsid w:val="00DB72EA"/>
    <w:pPr>
      <w:tabs>
        <w:tab w:val="left" w:pos="6946"/>
      </w:tabs>
      <w:spacing w:after="120"/>
      <w:jc w:val="both"/>
    </w:pPr>
    <w:rPr>
      <w:rFonts w:eastAsia="Calibri"/>
      <w:szCs w:val="24"/>
      <w:u w:val="single"/>
    </w:rPr>
  </w:style>
  <w:style w:type="character" w:customStyle="1" w:styleId="Styl3Char">
    <w:name w:val="Styl3 Char"/>
    <w:link w:val="Styl3"/>
    <w:rsid w:val="00DB72EA"/>
    <w:rPr>
      <w:rFonts w:ascii="Times New Roman" w:eastAsia="Calibri" w:hAnsi="Times New Roman" w:cs="Times New Roman"/>
      <w:szCs w:val="24"/>
      <w:u w:val="single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A77916"/>
    <w:pPr>
      <w:suppressAutoHyphens/>
    </w:pPr>
    <w:rPr>
      <w:rFonts w:eastAsia="Calibri"/>
      <w:szCs w:val="24"/>
    </w:rPr>
  </w:style>
  <w:style w:type="character" w:customStyle="1" w:styleId="NormlndoblokuChar">
    <w:name w:val="Normální do bloku Char"/>
    <w:link w:val="Normlndobloku"/>
    <w:rsid w:val="00A77916"/>
    <w:rPr>
      <w:rFonts w:ascii="Times New Roman" w:eastAsia="Calibri" w:hAnsi="Times New Roman" w:cs="Times New Roman"/>
      <w:szCs w:val="24"/>
      <w:lang w:val="sk-SK"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DB72EA"/>
    <w:pPr>
      <w:numPr>
        <w:numId w:val="3"/>
      </w:numPr>
    </w:pPr>
    <w:rPr>
      <w:noProof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DB72EA"/>
    <w:pPr>
      <w:spacing w:before="240" w:after="120"/>
      <w:jc w:val="center"/>
    </w:pPr>
    <w:rPr>
      <w:b/>
    </w:rPr>
  </w:style>
  <w:style w:type="character" w:customStyle="1" w:styleId="Nadpis1Char">
    <w:name w:val="Nadpis 1 Char"/>
    <w:basedOn w:val="Predvolenpsmoodseku"/>
    <w:link w:val="Nadpis1"/>
    <w:uiPriority w:val="9"/>
    <w:rsid w:val="00D47496"/>
    <w:rPr>
      <w:rFonts w:ascii="Cambria" w:eastAsia="Times New Roman" w:hAnsi="Cambria" w:cs="Times New Roman"/>
      <w:b/>
      <w:bCs/>
      <w:color w:val="365F91"/>
      <w:sz w:val="28"/>
      <w:szCs w:val="28"/>
      <w:lang w:val="en-US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7496"/>
    <w:rPr>
      <w:rFonts w:ascii="Cambria" w:eastAsia="Times New Roman" w:hAnsi="Cambria" w:cs="Times New Roman"/>
      <w:b/>
      <w:bCs/>
      <w:i/>
      <w:iCs/>
      <w:sz w:val="28"/>
      <w:szCs w:val="28"/>
      <w:lang w:val="en-US" w:eastAsia="cs-CZ"/>
    </w:rPr>
  </w:style>
  <w:style w:type="paragraph" w:customStyle="1" w:styleId="Default">
    <w:name w:val="Default"/>
    <w:rsid w:val="00D47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7496"/>
    <w:rPr>
      <w:color w:val="auto"/>
    </w:rPr>
  </w:style>
  <w:style w:type="paragraph" w:customStyle="1" w:styleId="CM2">
    <w:name w:val="CM2"/>
    <w:basedOn w:val="Default"/>
    <w:next w:val="Default"/>
    <w:uiPriority w:val="99"/>
    <w:rsid w:val="00D4749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7496"/>
    <w:rPr>
      <w:color w:val="auto"/>
    </w:rPr>
  </w:style>
  <w:style w:type="paragraph" w:customStyle="1" w:styleId="CM56">
    <w:name w:val="CM56"/>
    <w:basedOn w:val="Default"/>
    <w:next w:val="Default"/>
    <w:uiPriority w:val="99"/>
    <w:rsid w:val="00D47496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D47496"/>
    <w:rPr>
      <w:color w:val="auto"/>
    </w:rPr>
  </w:style>
  <w:style w:type="paragraph" w:customStyle="1" w:styleId="CM57">
    <w:name w:val="CM57"/>
    <w:basedOn w:val="Default"/>
    <w:next w:val="Default"/>
    <w:uiPriority w:val="99"/>
    <w:rsid w:val="00D47496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7496"/>
    <w:pPr>
      <w:spacing w:line="25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7496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7496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7496"/>
    <w:pPr>
      <w:spacing w:line="25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7496"/>
    <w:pPr>
      <w:spacing w:line="50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7496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7496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7496"/>
    <w:pPr>
      <w:spacing w:line="256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7496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7496"/>
    <w:pPr>
      <w:spacing w:line="50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7496"/>
    <w:pPr>
      <w:spacing w:line="253" w:lineRule="atLeast"/>
    </w:pPr>
    <w:rPr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D474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7496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unhideWhenUsed/>
    <w:rsid w:val="00D474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7496"/>
    <w:rPr>
      <w:rFonts w:ascii="Times New Roman" w:eastAsia="Times New Roman" w:hAnsi="Times New Roman" w:cs="Times New Roman"/>
      <w:szCs w:val="20"/>
      <w:lang w:val="en-US" w:eastAsia="cs-CZ"/>
    </w:rPr>
  </w:style>
  <w:style w:type="character" w:styleId="Odkaznakomentr">
    <w:name w:val="annotation reference"/>
    <w:uiPriority w:val="99"/>
    <w:semiHidden/>
    <w:unhideWhenUsed/>
    <w:rsid w:val="00D474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49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496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4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496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496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byajntext">
    <w:name w:val="Plain Text"/>
    <w:basedOn w:val="Default"/>
    <w:next w:val="Default"/>
    <w:link w:val="ObyajntextChar"/>
    <w:uiPriority w:val="99"/>
    <w:rsid w:val="00D47496"/>
    <w:rPr>
      <w:color w:val="auto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47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Default"/>
    <w:next w:val="Default"/>
    <w:link w:val="ZkladntextChar"/>
    <w:rsid w:val="00D47496"/>
    <w:pPr>
      <w:widowControl/>
    </w:pPr>
    <w:rPr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474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ngtext">
    <w:name w:val="long_text"/>
    <w:basedOn w:val="Predvolenpsmoodseku"/>
    <w:rsid w:val="00D47496"/>
  </w:style>
  <w:style w:type="character" w:customStyle="1" w:styleId="hps">
    <w:name w:val="hps"/>
    <w:basedOn w:val="Predvolenpsmoodseku"/>
    <w:rsid w:val="00D47496"/>
  </w:style>
  <w:style w:type="paragraph" w:customStyle="1" w:styleId="Styl4">
    <w:name w:val="Styl4"/>
    <w:basedOn w:val="Normlndobloku"/>
    <w:qFormat/>
    <w:rsid w:val="00D47496"/>
    <w:rPr>
      <w:rFonts w:ascii="TimesNewRoman" w:hAnsi="TimesNewRoman" w:cs="TimesNewRoman"/>
      <w:i/>
    </w:rPr>
  </w:style>
  <w:style w:type="paragraph" w:customStyle="1" w:styleId="Tabulkynormlndoblokuzarovnndoleva">
    <w:name w:val="Tabulky = normální do bloku + zarovnání doleva"/>
    <w:basedOn w:val="Normlndobloku"/>
    <w:rsid w:val="00D47496"/>
    <w:pPr>
      <w:framePr w:hSpace="142" w:wrap="around" w:vAnchor="text" w:hAnchor="text" w:y="1"/>
      <w:suppressOverlap/>
    </w:pPr>
    <w:rPr>
      <w:rFonts w:ascii="TimesNewRoman" w:hAnsi="TimesNewRoman" w:cs="TimesNewRoman"/>
      <w:szCs w:val="20"/>
    </w:rPr>
  </w:style>
  <w:style w:type="paragraph" w:customStyle="1" w:styleId="Nadpisuvnittabulky">
    <w:name w:val="Nadpis uvnitř tabulky"/>
    <w:basedOn w:val="Tabulkynormlndoblokuzarovnndoleva"/>
    <w:qFormat/>
    <w:rsid w:val="00D47496"/>
    <w:pPr>
      <w:framePr w:hSpace="0" w:wrap="auto" w:vAnchor="margin" w:yAlign="inline"/>
      <w:spacing w:before="120"/>
      <w:suppressOverlap w:val="0"/>
    </w:pPr>
    <w:rPr>
      <w:b/>
    </w:rPr>
  </w:style>
  <w:style w:type="paragraph" w:customStyle="1" w:styleId="DeficiencyCZ">
    <w:name w:val="Deficiency CZ"/>
    <w:basedOn w:val="Normlny"/>
    <w:link w:val="DeficiencyCZChar"/>
    <w:autoRedefine/>
    <w:rsid w:val="00D47496"/>
    <w:pPr>
      <w:spacing w:before="60" w:after="360"/>
      <w:jc w:val="both"/>
    </w:pPr>
    <w:rPr>
      <w:bCs/>
      <w:i/>
      <w:sz w:val="24"/>
      <w:lang w:eastAsia="zh-CN"/>
    </w:rPr>
  </w:style>
  <w:style w:type="character" w:customStyle="1" w:styleId="DeficiencyCZChar">
    <w:name w:val="Deficiency CZ Char"/>
    <w:link w:val="DeficiencyCZ"/>
    <w:rsid w:val="00D47496"/>
    <w:rPr>
      <w:rFonts w:ascii="Times New Roman" w:eastAsia="Times New Roman" w:hAnsi="Times New Roman" w:cs="Times New Roman"/>
      <w:bCs/>
      <w:i/>
      <w:sz w:val="24"/>
      <w:szCs w:val="20"/>
      <w:lang w:eastAsia="zh-CN"/>
    </w:rPr>
  </w:style>
  <w:style w:type="character" w:styleId="Hypertextovprepojenie">
    <w:name w:val="Hyperlink"/>
    <w:unhideWhenUsed/>
    <w:rsid w:val="00D4749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D4749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D47496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D47496"/>
    <w:rPr>
      <w:i/>
      <w:iCs/>
      <w:sz w:val="24"/>
      <w:szCs w:val="24"/>
      <w:lang w:val="cs-CZ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D4749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pple-converted-space">
    <w:name w:val="apple-converted-space"/>
    <w:rsid w:val="00D47496"/>
  </w:style>
  <w:style w:type="character" w:customStyle="1" w:styleId="shorttext">
    <w:name w:val="short_text"/>
    <w:rsid w:val="00D47496"/>
  </w:style>
  <w:style w:type="paragraph" w:styleId="Revzia">
    <w:name w:val="Revision"/>
    <w:hidden/>
    <w:uiPriority w:val="99"/>
    <w:semiHidden/>
    <w:rsid w:val="00D4749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atn">
    <w:name w:val="atn"/>
    <w:rsid w:val="00D47496"/>
  </w:style>
  <w:style w:type="character" w:customStyle="1" w:styleId="UnresolvedMention">
    <w:name w:val="Unresolved Mention"/>
    <w:basedOn w:val="Predvolenpsmoodseku"/>
    <w:uiPriority w:val="99"/>
    <w:semiHidden/>
    <w:unhideWhenUsed/>
    <w:rsid w:val="006D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3977</Words>
  <Characters>22673</Characters>
  <Application>Microsoft Office Word</Application>
  <DocSecurity>0</DocSecurity>
  <Lines>188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Litera</dc:creator>
  <cp:lastModifiedBy>Repiščáková, Janka</cp:lastModifiedBy>
  <cp:revision>49</cp:revision>
  <cp:lastPrinted>2016-03-21T08:25:00Z</cp:lastPrinted>
  <dcterms:created xsi:type="dcterms:W3CDTF">2020-10-23T14:29:00Z</dcterms:created>
  <dcterms:modified xsi:type="dcterms:W3CDTF">2020-12-14T15:51:00Z</dcterms:modified>
</cp:coreProperties>
</file>