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01" w:rsidRDefault="00E22213">
      <w:pPr>
        <w:rPr>
          <w:rFonts w:ascii="Arial" w:hAnsi="Arial" w:cs="Arial"/>
          <w:sz w:val="18"/>
          <w:szCs w:val="18"/>
        </w:rPr>
      </w:pPr>
      <w:r w:rsidRPr="00E22213">
        <w:rPr>
          <w:rFonts w:ascii="Arial" w:hAnsi="Arial" w:cs="Arial"/>
          <w:sz w:val="18"/>
          <w:szCs w:val="18"/>
        </w:rPr>
        <w:t>Príloha č.</w:t>
      </w:r>
      <w:r w:rsidR="006E50BA">
        <w:rPr>
          <w:rFonts w:ascii="Arial" w:hAnsi="Arial" w:cs="Arial"/>
          <w:sz w:val="18"/>
          <w:szCs w:val="18"/>
        </w:rPr>
        <w:t xml:space="preserve"> </w:t>
      </w:r>
      <w:r w:rsidRPr="00E22213">
        <w:rPr>
          <w:rFonts w:ascii="Arial" w:hAnsi="Arial" w:cs="Arial"/>
          <w:sz w:val="18"/>
          <w:szCs w:val="18"/>
        </w:rPr>
        <w:t>2 k rozhodnutiu o predĺžení registrácie ev. č. 0199/2002</w:t>
      </w:r>
    </w:p>
    <w:p w:rsidR="00E22213" w:rsidRDefault="00E222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22213" w:rsidRDefault="00E22213">
      <w:pPr>
        <w:rPr>
          <w:rFonts w:ascii="Arial" w:hAnsi="Arial" w:cs="Arial"/>
          <w:sz w:val="18"/>
          <w:szCs w:val="18"/>
        </w:rPr>
      </w:pPr>
    </w:p>
    <w:p w:rsidR="00E22213" w:rsidRDefault="00E22213">
      <w:pPr>
        <w:rPr>
          <w:rFonts w:ascii="Arial" w:hAnsi="Arial" w:cs="Arial"/>
          <w:sz w:val="18"/>
          <w:szCs w:val="18"/>
        </w:rPr>
      </w:pPr>
    </w:p>
    <w:p w:rsidR="00E22213" w:rsidRPr="00E61969" w:rsidRDefault="00E22213">
      <w:pPr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61969">
        <w:rPr>
          <w:rFonts w:ascii="Arial" w:hAnsi="Arial" w:cs="Arial"/>
        </w:rPr>
        <w:t xml:space="preserve">         </w:t>
      </w:r>
      <w:r w:rsidRPr="00E61969">
        <w:rPr>
          <w:rFonts w:ascii="Arial" w:hAnsi="Arial" w:cs="Arial"/>
          <w:b/>
        </w:rPr>
        <w:t>Písomná informácia pre používateľa</w:t>
      </w:r>
    </w:p>
    <w:p w:rsidR="00E22213" w:rsidRPr="00E61969" w:rsidRDefault="00E22213">
      <w:pPr>
        <w:rPr>
          <w:rFonts w:ascii="Arial" w:hAnsi="Arial" w:cs="Arial"/>
        </w:rPr>
      </w:pPr>
    </w:p>
    <w:p w:rsidR="00E22213" w:rsidRPr="00E61969" w:rsidRDefault="00E22213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Informácia pre používateľa, čítajte pozorne!</w:t>
      </w:r>
    </w:p>
    <w:p w:rsidR="00E22213" w:rsidRPr="00E61969" w:rsidRDefault="00E22213" w:rsidP="00D53091">
      <w:pPr>
        <w:jc w:val="both"/>
        <w:rPr>
          <w:rFonts w:ascii="Arial" w:hAnsi="Arial" w:cs="Arial"/>
        </w:rPr>
      </w:pPr>
    </w:p>
    <w:p w:rsidR="00E22213" w:rsidRPr="00E61969" w:rsidRDefault="00E22213" w:rsidP="00D53091">
      <w:pPr>
        <w:jc w:val="both"/>
        <w:rPr>
          <w:rFonts w:ascii="Arial" w:hAnsi="Arial" w:cs="Arial"/>
          <w:b/>
        </w:rPr>
      </w:pPr>
      <w:r w:rsidRPr="00E61969">
        <w:rPr>
          <w:rFonts w:ascii="Arial" w:hAnsi="Arial" w:cs="Arial"/>
          <w:b/>
        </w:rPr>
        <w:t>Traumaplant®</w:t>
      </w:r>
    </w:p>
    <w:p w:rsidR="00E22213" w:rsidRPr="00E61969" w:rsidRDefault="00E22213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masť</w:t>
      </w:r>
    </w:p>
    <w:p w:rsidR="00E22213" w:rsidRPr="00E61969" w:rsidRDefault="00E22213" w:rsidP="00D53091">
      <w:pPr>
        <w:jc w:val="both"/>
        <w:rPr>
          <w:rFonts w:ascii="Arial" w:hAnsi="Arial" w:cs="Arial"/>
        </w:rPr>
      </w:pPr>
    </w:p>
    <w:p w:rsidR="00E22213" w:rsidRPr="00E61969" w:rsidRDefault="00E22213" w:rsidP="00D53091">
      <w:pPr>
        <w:jc w:val="both"/>
        <w:rPr>
          <w:rFonts w:ascii="Arial" w:hAnsi="Arial" w:cs="Arial"/>
          <w:b/>
        </w:rPr>
      </w:pPr>
      <w:r w:rsidRPr="00E61969">
        <w:rPr>
          <w:rFonts w:ascii="Arial" w:hAnsi="Arial" w:cs="Arial"/>
          <w:b/>
        </w:rPr>
        <w:t>Držiteľ rozhodnutia o registrácii:</w:t>
      </w:r>
    </w:p>
    <w:p w:rsidR="00E22213" w:rsidRPr="00E61969" w:rsidRDefault="00E22213" w:rsidP="00D53091">
      <w:pPr>
        <w:jc w:val="both"/>
        <w:rPr>
          <w:rFonts w:ascii="Arial" w:hAnsi="Arial" w:cs="Arial"/>
        </w:rPr>
      </w:pPr>
    </w:p>
    <w:p w:rsidR="00E22213" w:rsidRPr="00E61969" w:rsidRDefault="00E22213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Harras Pharma Curarina</w:t>
      </w:r>
      <w:r w:rsidR="009D5D1C" w:rsidRPr="00E61969">
        <w:rPr>
          <w:rFonts w:ascii="Arial" w:hAnsi="Arial" w:cs="Arial"/>
        </w:rPr>
        <w:t xml:space="preserve"> Arzneimittel GmbH</w:t>
      </w:r>
    </w:p>
    <w:p w:rsidR="009D5D1C" w:rsidRPr="00E61969" w:rsidRDefault="009D5D1C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D – 81373 Mníchov</w:t>
      </w:r>
    </w:p>
    <w:p w:rsidR="009D5D1C" w:rsidRPr="00E61969" w:rsidRDefault="00862FDE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Nemecká Spolková R</w:t>
      </w:r>
      <w:r w:rsidR="009D5D1C" w:rsidRPr="00E61969">
        <w:rPr>
          <w:rFonts w:ascii="Arial" w:hAnsi="Arial" w:cs="Arial"/>
        </w:rPr>
        <w:t>epublika</w:t>
      </w:r>
    </w:p>
    <w:p w:rsidR="009D5D1C" w:rsidRPr="00E61969" w:rsidRDefault="009D5D1C" w:rsidP="00D53091">
      <w:pPr>
        <w:jc w:val="both"/>
        <w:rPr>
          <w:rFonts w:ascii="Arial" w:hAnsi="Arial" w:cs="Arial"/>
        </w:rPr>
      </w:pPr>
    </w:p>
    <w:p w:rsidR="009D5D1C" w:rsidRPr="00E61969" w:rsidRDefault="009D5D1C" w:rsidP="00D53091">
      <w:pPr>
        <w:jc w:val="both"/>
        <w:rPr>
          <w:rFonts w:ascii="Arial" w:hAnsi="Arial" w:cs="Arial"/>
          <w:b/>
        </w:rPr>
      </w:pPr>
      <w:r w:rsidRPr="00E61969">
        <w:rPr>
          <w:rFonts w:ascii="Arial" w:hAnsi="Arial" w:cs="Arial"/>
          <w:b/>
        </w:rPr>
        <w:t>Zloženie:</w:t>
      </w:r>
    </w:p>
    <w:p w:rsidR="009D5D1C" w:rsidRPr="00E61969" w:rsidRDefault="009D5D1C" w:rsidP="00D53091">
      <w:pPr>
        <w:jc w:val="both"/>
        <w:rPr>
          <w:rFonts w:ascii="Arial" w:hAnsi="Arial" w:cs="Arial"/>
        </w:rPr>
      </w:pPr>
    </w:p>
    <w:p w:rsidR="009D5D1C" w:rsidRPr="00E61969" w:rsidRDefault="009D5D1C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Liečivo: Symphyti peregrini herbae succus (koncentrát šťavy z čerstvej vňate kostihoja cudzieho)</w:t>
      </w:r>
    </w:p>
    <w:p w:rsidR="009D5D1C" w:rsidRPr="00E61969" w:rsidRDefault="009D5D1C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100 mg v 1 g masti (10%)</w:t>
      </w:r>
    </w:p>
    <w:p w:rsidR="009D5D1C" w:rsidRPr="00E61969" w:rsidRDefault="009D5D1C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Pomocné látky: Glyceromacrogoli 1000 monostearas (glycermacrogol-1000-monostearát), glyceroli monodistearas (glycerolmonodistearát), octyldodecanolum (oktyldodekanol), isopropyl myristas (izopropyl myristátu), dimethiconum (dimetikon)</w:t>
      </w:r>
      <w:r w:rsidR="0051569B" w:rsidRPr="00E61969">
        <w:rPr>
          <w:rFonts w:ascii="Arial" w:hAnsi="Arial" w:cs="Arial"/>
        </w:rPr>
        <w:t>, polypropylenglycolum (polypropylénglykol), rosmarini aetheroleum (rozmarínová silica), acidum sorbicum (kyselina sorbová), acidum citricum (kyselina citrónová), hydroxyethylis salicylas (hydroxyetylsalicylát), tocoferoli alfa acetas (tokoferol – acetát alfa), aqua purificata (čistená voda).</w:t>
      </w:r>
    </w:p>
    <w:p w:rsidR="0051569B" w:rsidRPr="00E61969" w:rsidRDefault="0051569B">
      <w:pPr>
        <w:rPr>
          <w:rFonts w:ascii="Arial" w:hAnsi="Arial" w:cs="Arial"/>
        </w:rPr>
      </w:pPr>
    </w:p>
    <w:p w:rsidR="0051569B" w:rsidRPr="00E61969" w:rsidRDefault="0051569B" w:rsidP="00D53091">
      <w:pPr>
        <w:jc w:val="both"/>
        <w:rPr>
          <w:rFonts w:ascii="Arial" w:hAnsi="Arial" w:cs="Arial"/>
          <w:b/>
        </w:rPr>
      </w:pPr>
      <w:r w:rsidRPr="00E61969">
        <w:rPr>
          <w:rFonts w:ascii="Arial" w:hAnsi="Arial" w:cs="Arial"/>
          <w:b/>
        </w:rPr>
        <w:t>Farmakoterapeutická skupina:</w:t>
      </w:r>
    </w:p>
    <w:p w:rsidR="0051569B" w:rsidRPr="00E61969" w:rsidRDefault="0051569B" w:rsidP="00D53091">
      <w:pPr>
        <w:jc w:val="both"/>
        <w:rPr>
          <w:rFonts w:ascii="Arial" w:hAnsi="Arial" w:cs="Arial"/>
        </w:rPr>
      </w:pPr>
    </w:p>
    <w:p w:rsidR="0051569B" w:rsidRPr="00E61969" w:rsidRDefault="0051569B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Fytofarmakum, antiflogistikum</w:t>
      </w:r>
    </w:p>
    <w:p w:rsidR="0051569B" w:rsidRPr="00E61969" w:rsidRDefault="0051569B" w:rsidP="00D53091">
      <w:pPr>
        <w:jc w:val="both"/>
        <w:rPr>
          <w:rFonts w:ascii="Arial" w:hAnsi="Arial" w:cs="Arial"/>
        </w:rPr>
      </w:pPr>
    </w:p>
    <w:p w:rsidR="0051569B" w:rsidRPr="00E61969" w:rsidRDefault="0051569B" w:rsidP="00D53091">
      <w:pPr>
        <w:jc w:val="both"/>
        <w:rPr>
          <w:rFonts w:ascii="Arial" w:hAnsi="Arial" w:cs="Arial"/>
          <w:b/>
        </w:rPr>
      </w:pPr>
      <w:r w:rsidRPr="00E61969">
        <w:rPr>
          <w:rFonts w:ascii="Arial" w:hAnsi="Arial" w:cs="Arial"/>
          <w:b/>
        </w:rPr>
        <w:t>Charakteristika:</w:t>
      </w:r>
    </w:p>
    <w:p w:rsidR="0051569B" w:rsidRPr="00E61969" w:rsidRDefault="0051569B" w:rsidP="00D53091">
      <w:pPr>
        <w:jc w:val="both"/>
        <w:rPr>
          <w:rFonts w:ascii="Arial" w:hAnsi="Arial" w:cs="Arial"/>
        </w:rPr>
      </w:pPr>
    </w:p>
    <w:p w:rsidR="0051569B" w:rsidRPr="00E61969" w:rsidRDefault="0051569B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Masť s obsahom koncentrátu šťavy z čerstvej vňate kostihoja cudzieho (Symphytum peregrinum)</w:t>
      </w:r>
    </w:p>
    <w:p w:rsidR="0051569B" w:rsidRPr="00E61969" w:rsidRDefault="0051569B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V emulznom masťovom základe s protizápalovými účinkami. Masť neobsahuje pyrolizidínové alkaloidy.</w:t>
      </w:r>
    </w:p>
    <w:p w:rsidR="0051569B" w:rsidRPr="00E61969" w:rsidRDefault="0051569B" w:rsidP="00D53091">
      <w:pPr>
        <w:jc w:val="both"/>
        <w:rPr>
          <w:rFonts w:ascii="Arial" w:hAnsi="Arial" w:cs="Arial"/>
        </w:rPr>
      </w:pPr>
    </w:p>
    <w:p w:rsidR="0051569B" w:rsidRPr="00E61969" w:rsidRDefault="0051569B" w:rsidP="00D53091">
      <w:pPr>
        <w:jc w:val="both"/>
        <w:rPr>
          <w:rFonts w:ascii="Arial" w:hAnsi="Arial" w:cs="Arial"/>
          <w:b/>
        </w:rPr>
      </w:pPr>
      <w:r w:rsidRPr="00E61969">
        <w:rPr>
          <w:rFonts w:ascii="Arial" w:hAnsi="Arial" w:cs="Arial"/>
          <w:b/>
        </w:rPr>
        <w:t>Indikácie:</w:t>
      </w:r>
    </w:p>
    <w:p w:rsidR="0051569B" w:rsidRPr="00E61969" w:rsidRDefault="0051569B" w:rsidP="00D53091">
      <w:pPr>
        <w:jc w:val="both"/>
        <w:rPr>
          <w:rFonts w:ascii="Arial" w:hAnsi="Arial" w:cs="Arial"/>
          <w:b/>
        </w:rPr>
      </w:pPr>
    </w:p>
    <w:p w:rsidR="0051569B" w:rsidRPr="00E61969" w:rsidRDefault="0051569B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Pomliaždeniny, vytknutia, natrhnutia svalov a šliach, bolesti svalov a kĺbov, zle sa hojace rany.</w:t>
      </w:r>
    </w:p>
    <w:p w:rsidR="0051569B" w:rsidRPr="00E61969" w:rsidRDefault="0051569B" w:rsidP="00D53091">
      <w:pPr>
        <w:jc w:val="both"/>
        <w:rPr>
          <w:rFonts w:ascii="Arial" w:hAnsi="Arial" w:cs="Arial"/>
        </w:rPr>
      </w:pPr>
    </w:p>
    <w:p w:rsidR="0051569B" w:rsidRPr="00E61969" w:rsidRDefault="0051569B" w:rsidP="00D53091">
      <w:pPr>
        <w:jc w:val="both"/>
        <w:rPr>
          <w:rFonts w:ascii="Arial" w:hAnsi="Arial" w:cs="Arial"/>
          <w:b/>
        </w:rPr>
      </w:pPr>
      <w:r w:rsidRPr="00E61969">
        <w:rPr>
          <w:rFonts w:ascii="Arial" w:hAnsi="Arial" w:cs="Arial"/>
          <w:b/>
        </w:rPr>
        <w:t>Kontraindikácie</w:t>
      </w:r>
      <w:r w:rsidR="00947191" w:rsidRPr="00E61969">
        <w:rPr>
          <w:rFonts w:ascii="Arial" w:hAnsi="Arial" w:cs="Arial"/>
          <w:b/>
        </w:rPr>
        <w:t>:</w:t>
      </w:r>
    </w:p>
    <w:p w:rsidR="00947191" w:rsidRPr="00E61969" w:rsidRDefault="00947191" w:rsidP="00D53091">
      <w:pPr>
        <w:jc w:val="both"/>
        <w:rPr>
          <w:rFonts w:ascii="Arial" w:hAnsi="Arial" w:cs="Arial"/>
        </w:rPr>
      </w:pPr>
    </w:p>
    <w:p w:rsidR="00947191" w:rsidRPr="00E61969" w:rsidRDefault="00947191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Ak sa liek používa podľa návodu nie sú známe.</w:t>
      </w:r>
    </w:p>
    <w:p w:rsidR="00947191" w:rsidRPr="00E61969" w:rsidRDefault="00947191" w:rsidP="00D53091">
      <w:pPr>
        <w:jc w:val="both"/>
        <w:rPr>
          <w:rFonts w:ascii="Arial" w:hAnsi="Arial" w:cs="Arial"/>
        </w:rPr>
      </w:pPr>
    </w:p>
    <w:p w:rsidR="00E22213" w:rsidRPr="00E61969" w:rsidRDefault="00947191" w:rsidP="00D53091">
      <w:pPr>
        <w:jc w:val="both"/>
        <w:rPr>
          <w:rFonts w:ascii="Arial" w:hAnsi="Arial" w:cs="Arial"/>
          <w:b/>
        </w:rPr>
      </w:pPr>
      <w:r w:rsidRPr="00E61969">
        <w:rPr>
          <w:rFonts w:ascii="Arial" w:hAnsi="Arial" w:cs="Arial"/>
          <w:b/>
        </w:rPr>
        <w:t>Nežiaduce účinky:</w:t>
      </w:r>
    </w:p>
    <w:p w:rsidR="00947191" w:rsidRPr="00E61969" w:rsidRDefault="00947191" w:rsidP="00D53091">
      <w:pPr>
        <w:jc w:val="both"/>
        <w:rPr>
          <w:rFonts w:ascii="Arial" w:hAnsi="Arial" w:cs="Arial"/>
        </w:rPr>
      </w:pPr>
    </w:p>
    <w:p w:rsidR="00947191" w:rsidRPr="00E61969" w:rsidRDefault="00947191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Mali by ste vedieť, že okrem priaznivých účinkov má každý liek aj vedľajšie účinky. Avšak nežiaduce účinky sa nevyskytujú u všetkých pacientov.</w:t>
      </w:r>
    </w:p>
    <w:p w:rsidR="00947191" w:rsidRPr="00E61969" w:rsidRDefault="00947191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lastRenderedPageBreak/>
        <w:t>Bolo preukázané, že liek Traumaplant®, koža veľmi dobre znáša. V ojedinelých prípadoch u pacientov s veľmi citlivou pokožkou sa môže vyskytnúť na niektorú zo zložiek lieku erytém (začervenanie). Vo všeobecnosti tieto symptómy rýchlo zmiznú. Po výskyte špecifickej alergickej reakcie by sa mal pacient poradiť s lekárom.</w:t>
      </w:r>
    </w:p>
    <w:p w:rsidR="00947191" w:rsidRPr="00E61969" w:rsidRDefault="00947191">
      <w:pPr>
        <w:rPr>
          <w:rFonts w:ascii="Arial" w:hAnsi="Arial" w:cs="Arial"/>
        </w:rPr>
      </w:pPr>
    </w:p>
    <w:p w:rsidR="00947191" w:rsidRPr="00E61969" w:rsidRDefault="00947191" w:rsidP="00D53091">
      <w:pPr>
        <w:jc w:val="both"/>
        <w:rPr>
          <w:rFonts w:ascii="Arial" w:hAnsi="Arial" w:cs="Arial"/>
          <w:b/>
        </w:rPr>
      </w:pPr>
      <w:r w:rsidRPr="00E61969">
        <w:rPr>
          <w:rFonts w:ascii="Arial" w:hAnsi="Arial" w:cs="Arial"/>
          <w:b/>
        </w:rPr>
        <w:t>Interakcie:</w:t>
      </w:r>
    </w:p>
    <w:p w:rsidR="00947191" w:rsidRPr="00E61969" w:rsidRDefault="00947191" w:rsidP="00D53091">
      <w:pPr>
        <w:jc w:val="both"/>
        <w:rPr>
          <w:rFonts w:ascii="Arial" w:hAnsi="Arial" w:cs="Arial"/>
        </w:rPr>
      </w:pPr>
    </w:p>
    <w:p w:rsidR="00947191" w:rsidRPr="00E61969" w:rsidRDefault="00947191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Nie sú známe</w:t>
      </w:r>
    </w:p>
    <w:p w:rsidR="00947191" w:rsidRPr="00E61969" w:rsidRDefault="00947191" w:rsidP="00D53091">
      <w:pPr>
        <w:jc w:val="both"/>
        <w:rPr>
          <w:rFonts w:ascii="Arial" w:hAnsi="Arial" w:cs="Arial"/>
        </w:rPr>
      </w:pPr>
    </w:p>
    <w:p w:rsidR="00947191" w:rsidRPr="00E61969" w:rsidRDefault="00947191" w:rsidP="00D53091">
      <w:pPr>
        <w:jc w:val="both"/>
        <w:rPr>
          <w:rFonts w:ascii="Arial" w:hAnsi="Arial" w:cs="Arial"/>
        </w:rPr>
      </w:pPr>
    </w:p>
    <w:p w:rsidR="00947191" w:rsidRPr="00E61969" w:rsidRDefault="00947191" w:rsidP="00D53091">
      <w:pPr>
        <w:jc w:val="both"/>
        <w:rPr>
          <w:rFonts w:ascii="Arial" w:hAnsi="Arial" w:cs="Arial"/>
          <w:b/>
        </w:rPr>
      </w:pPr>
      <w:r w:rsidRPr="00E61969">
        <w:rPr>
          <w:rFonts w:ascii="Arial" w:hAnsi="Arial" w:cs="Arial"/>
          <w:b/>
        </w:rPr>
        <w:t>Dávkovanie a</w:t>
      </w:r>
      <w:r w:rsidR="005240EE" w:rsidRPr="00E61969">
        <w:rPr>
          <w:rFonts w:ascii="Arial" w:hAnsi="Arial" w:cs="Arial"/>
          <w:b/>
        </w:rPr>
        <w:t> </w:t>
      </w:r>
      <w:r w:rsidRPr="00E61969">
        <w:rPr>
          <w:rFonts w:ascii="Arial" w:hAnsi="Arial" w:cs="Arial"/>
          <w:b/>
        </w:rPr>
        <w:t>spôsob</w:t>
      </w:r>
      <w:r w:rsidR="005240EE" w:rsidRPr="00E61969">
        <w:rPr>
          <w:rFonts w:ascii="Arial" w:hAnsi="Arial" w:cs="Arial"/>
          <w:b/>
        </w:rPr>
        <w:t xml:space="preserve"> podávania:</w:t>
      </w:r>
    </w:p>
    <w:p w:rsidR="005240EE" w:rsidRPr="00E61969" w:rsidRDefault="005240EE" w:rsidP="00D53091">
      <w:pPr>
        <w:jc w:val="both"/>
        <w:rPr>
          <w:rFonts w:ascii="Arial" w:hAnsi="Arial" w:cs="Arial"/>
        </w:rPr>
      </w:pPr>
    </w:p>
    <w:p w:rsidR="005240EE" w:rsidRPr="00E61969" w:rsidRDefault="005240EE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Na vonkajšie použitie:</w:t>
      </w:r>
    </w:p>
    <w:p w:rsidR="005240EE" w:rsidRPr="00E61969" w:rsidRDefault="005240EE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Ak nie je uvedené inak, masť sa nanáša niekoľkokrát denne na postihnuté miesto. Obzvlášť vhodné je použitie formou masťového obväzu.</w:t>
      </w:r>
    </w:p>
    <w:p w:rsidR="005240EE" w:rsidRPr="00E61969" w:rsidRDefault="005240EE" w:rsidP="00D53091">
      <w:pPr>
        <w:jc w:val="both"/>
        <w:rPr>
          <w:rFonts w:ascii="Arial" w:hAnsi="Arial" w:cs="Arial"/>
        </w:rPr>
      </w:pPr>
    </w:p>
    <w:p w:rsidR="005240EE" w:rsidRPr="00E61969" w:rsidRDefault="005240EE" w:rsidP="00D53091">
      <w:pPr>
        <w:jc w:val="both"/>
        <w:rPr>
          <w:rFonts w:ascii="Arial" w:hAnsi="Arial" w:cs="Arial"/>
          <w:b/>
        </w:rPr>
      </w:pPr>
      <w:r w:rsidRPr="00E61969">
        <w:rPr>
          <w:rFonts w:ascii="Arial" w:hAnsi="Arial" w:cs="Arial"/>
          <w:b/>
        </w:rPr>
        <w:t>Upozornenie:</w:t>
      </w:r>
    </w:p>
    <w:p w:rsidR="00D53091" w:rsidRPr="00E61969" w:rsidRDefault="00D53091" w:rsidP="00D53091">
      <w:pPr>
        <w:jc w:val="both"/>
        <w:rPr>
          <w:rFonts w:ascii="Arial" w:hAnsi="Arial" w:cs="Arial"/>
          <w:b/>
        </w:rPr>
      </w:pPr>
    </w:p>
    <w:p w:rsidR="005240EE" w:rsidRPr="00E61969" w:rsidRDefault="005240EE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Môžu sa vyskytovať mierne odchýlky odtieňov sfarbenia lieku Traumaplant®. Je to tým, že liek je zložený z prírodného komplexu. Pozostáva z výťažku rastlín, ktoré boli pestované na rôznych miestach, za rozdielnych podmienok.</w:t>
      </w:r>
    </w:p>
    <w:p w:rsidR="00D53091" w:rsidRPr="00E61969" w:rsidRDefault="00D53091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Napriek mierne odlišnému odtieňu sa kvalita a účinnosť lieku nemenia. Masť neobsahuje pyrolizidínové alkaloidy. Nie sú známe žiadne kontraindikácie a obmedzenia pre používanie masti Traumaplant®.</w:t>
      </w:r>
    </w:p>
    <w:p w:rsidR="00D53091" w:rsidRPr="00E61969" w:rsidRDefault="00D53091" w:rsidP="00D53091">
      <w:pPr>
        <w:jc w:val="both"/>
        <w:rPr>
          <w:rFonts w:ascii="Arial" w:hAnsi="Arial" w:cs="Arial"/>
        </w:rPr>
      </w:pPr>
    </w:p>
    <w:p w:rsidR="00D53091" w:rsidRPr="00E61969" w:rsidRDefault="00D53091" w:rsidP="00D53091">
      <w:pPr>
        <w:jc w:val="both"/>
        <w:rPr>
          <w:rFonts w:ascii="Arial" w:hAnsi="Arial" w:cs="Arial"/>
          <w:b/>
        </w:rPr>
      </w:pPr>
      <w:r w:rsidRPr="00E61969">
        <w:rPr>
          <w:rFonts w:ascii="Arial" w:hAnsi="Arial" w:cs="Arial"/>
          <w:b/>
        </w:rPr>
        <w:t>Varovanie:</w:t>
      </w:r>
    </w:p>
    <w:p w:rsidR="00D53091" w:rsidRPr="00E61969" w:rsidRDefault="00D53091" w:rsidP="00D53091">
      <w:pPr>
        <w:jc w:val="both"/>
        <w:rPr>
          <w:rFonts w:ascii="Arial" w:hAnsi="Arial" w:cs="Arial"/>
        </w:rPr>
      </w:pPr>
    </w:p>
    <w:p w:rsidR="00D53091" w:rsidRPr="00E61969" w:rsidRDefault="00D53091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Nepoužívajte liek po uplynutí času použiteľnosti uvedenom na obale.</w:t>
      </w:r>
    </w:p>
    <w:p w:rsidR="00D53091" w:rsidRPr="00E61969" w:rsidRDefault="00D53091" w:rsidP="00D53091">
      <w:pPr>
        <w:jc w:val="both"/>
        <w:rPr>
          <w:rFonts w:ascii="Arial" w:hAnsi="Arial" w:cs="Arial"/>
        </w:rPr>
      </w:pPr>
    </w:p>
    <w:p w:rsidR="00D53091" w:rsidRPr="00E61969" w:rsidRDefault="00D53091" w:rsidP="00D53091">
      <w:pPr>
        <w:jc w:val="both"/>
        <w:rPr>
          <w:rFonts w:ascii="Arial" w:hAnsi="Arial" w:cs="Arial"/>
          <w:b/>
        </w:rPr>
      </w:pPr>
      <w:r w:rsidRPr="00E61969">
        <w:rPr>
          <w:rFonts w:ascii="Arial" w:hAnsi="Arial" w:cs="Arial"/>
          <w:b/>
        </w:rPr>
        <w:t>Balenie:</w:t>
      </w:r>
    </w:p>
    <w:p w:rsidR="00D53091" w:rsidRPr="00E61969" w:rsidRDefault="00D53091" w:rsidP="00D53091">
      <w:pPr>
        <w:jc w:val="both"/>
        <w:rPr>
          <w:rFonts w:ascii="Arial" w:hAnsi="Arial" w:cs="Arial"/>
        </w:rPr>
      </w:pPr>
    </w:p>
    <w:p w:rsidR="00D53091" w:rsidRPr="00E61969" w:rsidRDefault="00D53091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Tuba 50g (100 g)</w:t>
      </w:r>
    </w:p>
    <w:p w:rsidR="00D53091" w:rsidRPr="00E61969" w:rsidRDefault="00D53091" w:rsidP="00D53091">
      <w:pPr>
        <w:jc w:val="both"/>
        <w:rPr>
          <w:rFonts w:ascii="Arial" w:hAnsi="Arial" w:cs="Arial"/>
        </w:rPr>
      </w:pPr>
    </w:p>
    <w:p w:rsidR="00D53091" w:rsidRPr="00E61969" w:rsidRDefault="00D53091" w:rsidP="00D53091">
      <w:pPr>
        <w:jc w:val="both"/>
        <w:rPr>
          <w:rFonts w:ascii="Arial" w:hAnsi="Arial" w:cs="Arial"/>
          <w:b/>
        </w:rPr>
      </w:pPr>
      <w:r w:rsidRPr="00E61969">
        <w:rPr>
          <w:rFonts w:ascii="Arial" w:hAnsi="Arial" w:cs="Arial"/>
          <w:b/>
        </w:rPr>
        <w:t>Uchovávanie:</w:t>
      </w:r>
    </w:p>
    <w:p w:rsidR="00D53091" w:rsidRPr="00E61969" w:rsidRDefault="00D53091" w:rsidP="00D53091">
      <w:pPr>
        <w:ind w:firstLine="708"/>
        <w:jc w:val="both"/>
        <w:rPr>
          <w:rFonts w:ascii="Arial" w:hAnsi="Arial" w:cs="Arial"/>
        </w:rPr>
      </w:pPr>
    </w:p>
    <w:p w:rsidR="00D53091" w:rsidRPr="00E61969" w:rsidRDefault="00D53091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Pri teplote do 25º C.</w:t>
      </w:r>
    </w:p>
    <w:p w:rsidR="00D53091" w:rsidRPr="00E61969" w:rsidRDefault="00D53091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Liek uchovávajte mimo dosahu detí.</w:t>
      </w:r>
    </w:p>
    <w:p w:rsidR="00D53091" w:rsidRPr="00E61969" w:rsidRDefault="00D53091" w:rsidP="00D53091">
      <w:pPr>
        <w:jc w:val="both"/>
        <w:rPr>
          <w:rFonts w:ascii="Arial" w:hAnsi="Arial" w:cs="Arial"/>
        </w:rPr>
      </w:pPr>
    </w:p>
    <w:p w:rsidR="00D53091" w:rsidRPr="00E61969" w:rsidRDefault="00D53091" w:rsidP="00D53091">
      <w:pPr>
        <w:jc w:val="both"/>
        <w:rPr>
          <w:rFonts w:ascii="Arial" w:hAnsi="Arial" w:cs="Arial"/>
          <w:b/>
        </w:rPr>
      </w:pPr>
      <w:r w:rsidRPr="00E61969">
        <w:rPr>
          <w:rFonts w:ascii="Arial" w:hAnsi="Arial" w:cs="Arial"/>
          <w:b/>
        </w:rPr>
        <w:t>Dátum poslednej revízie textu:</w:t>
      </w:r>
    </w:p>
    <w:p w:rsidR="00D53091" w:rsidRPr="00E61969" w:rsidRDefault="00D53091" w:rsidP="00D53091">
      <w:pPr>
        <w:jc w:val="both"/>
        <w:rPr>
          <w:rFonts w:ascii="Arial" w:hAnsi="Arial" w:cs="Arial"/>
        </w:rPr>
      </w:pPr>
      <w:r w:rsidRPr="00E61969">
        <w:rPr>
          <w:rFonts w:ascii="Arial" w:hAnsi="Arial" w:cs="Arial"/>
        </w:rPr>
        <w:t>Február 2006</w:t>
      </w:r>
    </w:p>
    <w:p w:rsidR="00E22213" w:rsidRPr="00E61969" w:rsidRDefault="00E22213" w:rsidP="00D53091">
      <w:pPr>
        <w:jc w:val="both"/>
        <w:rPr>
          <w:rFonts w:ascii="Arial" w:hAnsi="Arial" w:cs="Arial"/>
        </w:rPr>
      </w:pPr>
    </w:p>
    <w:sectPr w:rsidR="00E22213" w:rsidRPr="00E61969" w:rsidSect="00AC5975">
      <w:footerReference w:type="default" r:id="rId6"/>
      <w:pgSz w:w="11906" w:h="16838"/>
      <w:pgMar w:top="568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A5" w:rsidRDefault="00425FA5" w:rsidP="005240EE">
      <w:r>
        <w:separator/>
      </w:r>
    </w:p>
  </w:endnote>
  <w:endnote w:type="continuationSeparator" w:id="1">
    <w:p w:rsidR="00425FA5" w:rsidRDefault="00425FA5" w:rsidP="00524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076892"/>
      <w:docPartObj>
        <w:docPartGallery w:val="Page Numbers (Bottom of Page)"/>
        <w:docPartUnique/>
      </w:docPartObj>
    </w:sdtPr>
    <w:sdtContent>
      <w:p w:rsidR="005240EE" w:rsidRDefault="007D5FDB">
        <w:pPr>
          <w:pStyle w:val="Pta"/>
          <w:jc w:val="center"/>
        </w:pPr>
        <w:fldSimple w:instr=" PAGE   \* MERGEFORMAT ">
          <w:r w:rsidR="00E61969">
            <w:rPr>
              <w:noProof/>
            </w:rPr>
            <w:t>1</w:t>
          </w:r>
        </w:fldSimple>
      </w:p>
    </w:sdtContent>
  </w:sdt>
  <w:p w:rsidR="005240EE" w:rsidRDefault="005240E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A5" w:rsidRDefault="00425FA5" w:rsidP="005240EE">
      <w:r>
        <w:separator/>
      </w:r>
    </w:p>
  </w:footnote>
  <w:footnote w:type="continuationSeparator" w:id="1">
    <w:p w:rsidR="00425FA5" w:rsidRDefault="00425FA5" w:rsidP="00524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213"/>
    <w:rsid w:val="001F6045"/>
    <w:rsid w:val="00425FA5"/>
    <w:rsid w:val="00432785"/>
    <w:rsid w:val="004E5C5A"/>
    <w:rsid w:val="0051569B"/>
    <w:rsid w:val="005240EE"/>
    <w:rsid w:val="00647708"/>
    <w:rsid w:val="006E50BA"/>
    <w:rsid w:val="007A3801"/>
    <w:rsid w:val="007D5FDB"/>
    <w:rsid w:val="00862FDE"/>
    <w:rsid w:val="00931AE1"/>
    <w:rsid w:val="00947191"/>
    <w:rsid w:val="00954B7C"/>
    <w:rsid w:val="009D5D1C"/>
    <w:rsid w:val="00AC5975"/>
    <w:rsid w:val="00B234EE"/>
    <w:rsid w:val="00CD36F5"/>
    <w:rsid w:val="00D53091"/>
    <w:rsid w:val="00E16B1F"/>
    <w:rsid w:val="00E22213"/>
    <w:rsid w:val="00E6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4E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240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240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240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40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2019-08-01T09:19:00Z</dcterms:created>
  <dcterms:modified xsi:type="dcterms:W3CDTF">2019-08-01T14:12:00Z</dcterms:modified>
</cp:coreProperties>
</file>