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FF608" w14:textId="77777777" w:rsidR="00812D16" w:rsidRDefault="00B81AFC" w:rsidP="00487B0F">
      <w:pPr>
        <w:spacing w:line="240" w:lineRule="auto"/>
        <w:jc w:val="center"/>
        <w:outlineLvl w:val="0"/>
        <w:rPr>
          <w:b/>
        </w:rPr>
      </w:pPr>
      <w:bookmarkStart w:id="0" w:name="_GoBack"/>
      <w:bookmarkEnd w:id="0"/>
      <w:r w:rsidRPr="00A72672">
        <w:rPr>
          <w:b/>
        </w:rPr>
        <w:t>SÚHRN CHARAKTERISTICKÝCH VLASTNOSTÍ LIEKU</w:t>
      </w:r>
    </w:p>
    <w:p w14:paraId="6D0E7DED" w14:textId="77777777" w:rsidR="00033D26" w:rsidRDefault="00033D26" w:rsidP="00487B0F">
      <w:pPr>
        <w:spacing w:line="240" w:lineRule="auto"/>
      </w:pPr>
    </w:p>
    <w:p w14:paraId="6001D1F3" w14:textId="77777777" w:rsidR="00487B0F" w:rsidRPr="0082445A" w:rsidRDefault="00487B0F" w:rsidP="001C5D36">
      <w:pPr>
        <w:spacing w:line="240" w:lineRule="auto"/>
      </w:pPr>
    </w:p>
    <w:p w14:paraId="40E04400" w14:textId="77777777" w:rsidR="00812D16" w:rsidRPr="00BF5AB0" w:rsidRDefault="00B81AFC" w:rsidP="008E682B">
      <w:pPr>
        <w:keepNext/>
        <w:numPr>
          <w:ilvl w:val="0"/>
          <w:numId w:val="6"/>
        </w:numPr>
        <w:suppressAutoHyphens/>
        <w:spacing w:line="240" w:lineRule="auto"/>
      </w:pPr>
      <w:r w:rsidRPr="00BF5AB0">
        <w:rPr>
          <w:b/>
        </w:rPr>
        <w:t>NÁZOV LIEKU</w:t>
      </w:r>
    </w:p>
    <w:p w14:paraId="769D7CFA" w14:textId="77777777" w:rsidR="00EE6E72" w:rsidRDefault="00EE6E72">
      <w:pPr>
        <w:keepNext/>
        <w:spacing w:line="240" w:lineRule="auto"/>
      </w:pPr>
    </w:p>
    <w:p w14:paraId="77C5A692" w14:textId="77777777" w:rsidR="00680DEA" w:rsidRDefault="00774518">
      <w:pPr>
        <w:widowControl w:val="0"/>
        <w:spacing w:line="240" w:lineRule="auto"/>
      </w:pPr>
      <w:r>
        <w:t xml:space="preserve">Tedez </w:t>
      </w:r>
    </w:p>
    <w:p w14:paraId="12D07FE1" w14:textId="74942C2B" w:rsidR="00EE6E72" w:rsidRDefault="00774518">
      <w:pPr>
        <w:widowControl w:val="0"/>
        <w:spacing w:line="240" w:lineRule="auto"/>
      </w:pPr>
      <w:r>
        <w:t>0,5 mg/0,4 mg tvrdé kapsuly</w:t>
      </w:r>
    </w:p>
    <w:p w14:paraId="63C6945B" w14:textId="77777777" w:rsidR="00EE6E72" w:rsidRDefault="00EE6E72">
      <w:pPr>
        <w:spacing w:line="240" w:lineRule="auto"/>
      </w:pPr>
    </w:p>
    <w:p w14:paraId="54365B0C" w14:textId="77777777" w:rsidR="00EE6E72" w:rsidRDefault="00EE6E72">
      <w:pPr>
        <w:spacing w:line="240" w:lineRule="auto"/>
      </w:pPr>
    </w:p>
    <w:p w14:paraId="444FBC18" w14:textId="77777777" w:rsidR="00EE6E72" w:rsidRDefault="00B81AFC">
      <w:pPr>
        <w:keepNext/>
        <w:numPr>
          <w:ilvl w:val="0"/>
          <w:numId w:val="6"/>
        </w:numPr>
        <w:suppressAutoHyphens/>
        <w:spacing w:line="240" w:lineRule="auto"/>
      </w:pPr>
      <w:r w:rsidRPr="00BF5AB0">
        <w:rPr>
          <w:b/>
        </w:rPr>
        <w:t>KVALITATÍVNE A</w:t>
      </w:r>
      <w:r w:rsidR="0082445A">
        <w:rPr>
          <w:b/>
          <w:noProof/>
        </w:rPr>
        <w:t> </w:t>
      </w:r>
      <w:r w:rsidRPr="00BF5AB0">
        <w:rPr>
          <w:b/>
        </w:rPr>
        <w:t>KVANTITATÍVNE ZLOŽENIE</w:t>
      </w:r>
    </w:p>
    <w:p w14:paraId="41EFAB4D" w14:textId="77777777" w:rsidR="00EE6E72" w:rsidRDefault="00EE6E72">
      <w:pPr>
        <w:keepNext/>
        <w:spacing w:line="240" w:lineRule="auto"/>
      </w:pPr>
    </w:p>
    <w:p w14:paraId="228B86DC" w14:textId="77777777" w:rsidR="00EE6E72" w:rsidRDefault="00562351" w:rsidP="00424E40">
      <w:pPr>
        <w:rPr>
          <w:szCs w:val="22"/>
        </w:rPr>
      </w:pPr>
      <w:r w:rsidRPr="009B5E44">
        <w:rPr>
          <w:szCs w:val="22"/>
        </w:rPr>
        <w:t>Každá tvrdá kapsula obsahuje 0,5 mg dutasteridu a 0,4 mg tamsulozíniumchloridu (čo zodpovedá 0,367 mg tamsulozínu).</w:t>
      </w:r>
    </w:p>
    <w:p w14:paraId="5DC17040" w14:textId="77777777" w:rsidR="00EE6E72" w:rsidRDefault="00EE6E72" w:rsidP="00424E40">
      <w:pPr>
        <w:rPr>
          <w:szCs w:val="22"/>
        </w:rPr>
      </w:pPr>
    </w:p>
    <w:p w14:paraId="60FC2848" w14:textId="77777777" w:rsidR="00EE6E72" w:rsidRDefault="00562351" w:rsidP="00424E40">
      <w:pPr>
        <w:tabs>
          <w:tab w:val="center" w:pos="4535"/>
        </w:tabs>
        <w:rPr>
          <w:szCs w:val="22"/>
        </w:rPr>
      </w:pPr>
      <w:r w:rsidRPr="009B5E44">
        <w:rPr>
          <w:szCs w:val="22"/>
          <w:u w:val="single"/>
        </w:rPr>
        <w:t>Pomocné látky so známym účinkom</w:t>
      </w:r>
    </w:p>
    <w:p w14:paraId="44A2349D" w14:textId="05069DDD" w:rsidR="00EE6E72" w:rsidRDefault="00562351" w:rsidP="00424E40">
      <w:pPr>
        <w:rPr>
          <w:szCs w:val="22"/>
        </w:rPr>
      </w:pPr>
      <w:r w:rsidRPr="009B5E44">
        <w:rPr>
          <w:szCs w:val="22"/>
        </w:rPr>
        <w:t xml:space="preserve">Každá kapsula obsahuje lecitín </w:t>
      </w:r>
      <w:r w:rsidR="00B87D0D">
        <w:rPr>
          <w:szCs w:val="22"/>
        </w:rPr>
        <w:t>zo sój</w:t>
      </w:r>
      <w:r w:rsidR="00487B0F">
        <w:rPr>
          <w:szCs w:val="22"/>
        </w:rPr>
        <w:t>e</w:t>
      </w:r>
      <w:r w:rsidR="00B87D0D">
        <w:rPr>
          <w:szCs w:val="22"/>
        </w:rPr>
        <w:t xml:space="preserve"> a propyl</w:t>
      </w:r>
      <w:r w:rsidR="00487B0F">
        <w:rPr>
          <w:szCs w:val="22"/>
        </w:rPr>
        <w:t>é</w:t>
      </w:r>
      <w:r w:rsidR="00B87D0D">
        <w:rPr>
          <w:szCs w:val="22"/>
        </w:rPr>
        <w:t>nglykol</w:t>
      </w:r>
      <w:r w:rsidRPr="009B5E44">
        <w:rPr>
          <w:szCs w:val="22"/>
        </w:rPr>
        <w:t xml:space="preserve">. </w:t>
      </w:r>
    </w:p>
    <w:p w14:paraId="1DC93870" w14:textId="77777777" w:rsidR="00EE6E72" w:rsidRDefault="00EE6E72" w:rsidP="00424E40">
      <w:pPr>
        <w:rPr>
          <w:szCs w:val="22"/>
        </w:rPr>
      </w:pPr>
    </w:p>
    <w:p w14:paraId="4B86EC84" w14:textId="77777777" w:rsidR="00487B0F" w:rsidRDefault="00487B0F" w:rsidP="00487B0F">
      <w:pPr>
        <w:autoSpaceDE w:val="0"/>
        <w:autoSpaceDN w:val="0"/>
        <w:adjustRightInd w:val="0"/>
      </w:pPr>
      <w:r>
        <w:t>Tento liek obsahuje 299,46 mg propylénglykolu v každej tvrdej kapsule, čo zodpovedá 4,27 mg/kg.</w:t>
      </w:r>
    </w:p>
    <w:p w14:paraId="4A0E9251" w14:textId="77777777" w:rsidR="00EE6E72" w:rsidRDefault="00EE6E72" w:rsidP="00424E40">
      <w:pPr>
        <w:rPr>
          <w:szCs w:val="22"/>
        </w:rPr>
      </w:pPr>
    </w:p>
    <w:p w14:paraId="2C100252" w14:textId="77777777" w:rsidR="00EE6E72" w:rsidRDefault="00562351" w:rsidP="00424E40">
      <w:pPr>
        <w:rPr>
          <w:szCs w:val="22"/>
        </w:rPr>
      </w:pPr>
      <w:r w:rsidRPr="009B5E44">
        <w:rPr>
          <w:szCs w:val="22"/>
        </w:rPr>
        <w:t>Úplný zoznam pomocných látok, pozri časť 6.1.</w:t>
      </w:r>
    </w:p>
    <w:p w14:paraId="7D35D5E8" w14:textId="77777777" w:rsidR="00EE6E72" w:rsidRDefault="00EE6E72" w:rsidP="00424E40">
      <w:pPr>
        <w:rPr>
          <w:szCs w:val="22"/>
        </w:rPr>
      </w:pPr>
    </w:p>
    <w:p w14:paraId="155C287C" w14:textId="77777777" w:rsidR="00812D16" w:rsidRPr="0082445A" w:rsidRDefault="00812D16" w:rsidP="00487B0F">
      <w:pPr>
        <w:spacing w:line="240" w:lineRule="auto"/>
      </w:pPr>
    </w:p>
    <w:p w14:paraId="0B89D2A0" w14:textId="77777777" w:rsidR="00812D16" w:rsidRPr="00BF5AB0" w:rsidRDefault="00B81AFC" w:rsidP="001C5D36">
      <w:pPr>
        <w:keepNext/>
        <w:numPr>
          <w:ilvl w:val="0"/>
          <w:numId w:val="6"/>
        </w:numPr>
        <w:suppressAutoHyphens/>
        <w:spacing w:line="240" w:lineRule="auto"/>
        <w:rPr>
          <w:caps/>
        </w:rPr>
      </w:pPr>
      <w:r w:rsidRPr="00BF5AB0">
        <w:rPr>
          <w:b/>
        </w:rPr>
        <w:t>LIEKOVÁ FORMA</w:t>
      </w:r>
    </w:p>
    <w:p w14:paraId="4161F2BB" w14:textId="77777777" w:rsidR="00812D16" w:rsidRPr="00BF5AB0" w:rsidRDefault="00812D16" w:rsidP="008E682B">
      <w:pPr>
        <w:keepNext/>
        <w:spacing w:line="240" w:lineRule="auto"/>
      </w:pPr>
    </w:p>
    <w:p w14:paraId="65A9C905" w14:textId="77777777" w:rsidR="00EE6E72" w:rsidRDefault="001719FA" w:rsidP="00424E40">
      <w:pPr>
        <w:pStyle w:val="Pta"/>
        <w:tabs>
          <w:tab w:val="clear" w:pos="4320"/>
          <w:tab w:val="clear" w:pos="8640"/>
        </w:tabs>
        <w:rPr>
          <w:rFonts w:ascii="Times New Roman" w:hAnsi="Times New Roman"/>
          <w:sz w:val="22"/>
          <w:szCs w:val="22"/>
        </w:rPr>
      </w:pPr>
      <w:r w:rsidRPr="009B5E44">
        <w:rPr>
          <w:rFonts w:ascii="Times New Roman" w:hAnsi="Times New Roman"/>
          <w:sz w:val="22"/>
          <w:szCs w:val="22"/>
        </w:rPr>
        <w:t>Tvrdá kapsula.</w:t>
      </w:r>
    </w:p>
    <w:p w14:paraId="3D91C3E5" w14:textId="77777777" w:rsidR="00EE6E72" w:rsidRDefault="00EE6E72" w:rsidP="00424E40">
      <w:pPr>
        <w:pStyle w:val="Pta"/>
        <w:tabs>
          <w:tab w:val="clear" w:pos="4320"/>
          <w:tab w:val="clear" w:pos="8640"/>
        </w:tabs>
        <w:rPr>
          <w:rFonts w:ascii="Times New Roman" w:hAnsi="Times New Roman"/>
          <w:sz w:val="22"/>
          <w:szCs w:val="22"/>
        </w:rPr>
      </w:pPr>
    </w:p>
    <w:p w14:paraId="1C15046E" w14:textId="7E3FE1B2" w:rsidR="008A48F2" w:rsidRPr="009B5E44" w:rsidRDefault="008A48F2" w:rsidP="008A48F2">
      <w:pPr>
        <w:rPr>
          <w:szCs w:val="22"/>
        </w:rPr>
      </w:pPr>
      <w:r>
        <w:rPr>
          <w:szCs w:val="22"/>
        </w:rPr>
        <w:t>Tedez sú p</w:t>
      </w:r>
      <w:r w:rsidRPr="009B5E44">
        <w:rPr>
          <w:szCs w:val="22"/>
        </w:rPr>
        <w:t>odlhovast</w:t>
      </w:r>
      <w:r>
        <w:rPr>
          <w:szCs w:val="22"/>
        </w:rPr>
        <w:t>é</w:t>
      </w:r>
      <w:r w:rsidRPr="009B5E44">
        <w:rPr>
          <w:szCs w:val="22"/>
        </w:rPr>
        <w:t>, tvrd</w:t>
      </w:r>
      <w:r>
        <w:rPr>
          <w:szCs w:val="22"/>
        </w:rPr>
        <w:t>é želatínové</w:t>
      </w:r>
      <w:r w:rsidRPr="009B5E44">
        <w:rPr>
          <w:szCs w:val="22"/>
        </w:rPr>
        <w:t xml:space="preserve"> kapsul</w:t>
      </w:r>
      <w:r>
        <w:rPr>
          <w:szCs w:val="22"/>
        </w:rPr>
        <w:t xml:space="preserve">y, s rozmermi približne </w:t>
      </w:r>
      <w:r w:rsidR="00A319A3">
        <w:rPr>
          <w:szCs w:val="22"/>
        </w:rPr>
        <w:t>24,2</w:t>
      </w:r>
      <w:r>
        <w:rPr>
          <w:szCs w:val="22"/>
        </w:rPr>
        <w:t xml:space="preserve"> mm x 7,</w:t>
      </w:r>
      <w:r w:rsidR="00A319A3">
        <w:rPr>
          <w:szCs w:val="22"/>
        </w:rPr>
        <w:t>7</w:t>
      </w:r>
      <w:r>
        <w:rPr>
          <w:szCs w:val="22"/>
        </w:rPr>
        <w:t xml:space="preserve"> mm, </w:t>
      </w:r>
      <w:r w:rsidRPr="009B5E44">
        <w:rPr>
          <w:szCs w:val="22"/>
        </w:rPr>
        <w:t xml:space="preserve">s hnedým telom a </w:t>
      </w:r>
      <w:r w:rsidR="00A319A3">
        <w:rPr>
          <w:szCs w:val="22"/>
        </w:rPr>
        <w:t>béžovým</w:t>
      </w:r>
      <w:r w:rsidR="00A319A3" w:rsidRPr="009B5E44">
        <w:rPr>
          <w:szCs w:val="22"/>
        </w:rPr>
        <w:t xml:space="preserve"> </w:t>
      </w:r>
      <w:r>
        <w:rPr>
          <w:szCs w:val="22"/>
        </w:rPr>
        <w:t>vrchnákom,</w:t>
      </w:r>
      <w:r w:rsidRPr="009B5E44">
        <w:rPr>
          <w:szCs w:val="22"/>
        </w:rPr>
        <w:t xml:space="preserve"> s čiernym atramentom vytlačeným </w:t>
      </w:r>
      <w:r>
        <w:rPr>
          <w:szCs w:val="22"/>
        </w:rPr>
        <w:t>C001</w:t>
      </w:r>
      <w:r w:rsidRPr="009B5E44">
        <w:rPr>
          <w:szCs w:val="22"/>
        </w:rPr>
        <w:t>.</w:t>
      </w:r>
    </w:p>
    <w:p w14:paraId="599849A8" w14:textId="77777777" w:rsidR="00EE6E72" w:rsidRDefault="00EE6E72" w:rsidP="00424E40">
      <w:pPr>
        <w:rPr>
          <w:szCs w:val="22"/>
        </w:rPr>
      </w:pPr>
    </w:p>
    <w:p w14:paraId="424E8C52" w14:textId="77777777" w:rsidR="00EE6E72" w:rsidRDefault="001719FA" w:rsidP="00424E40">
      <w:pPr>
        <w:rPr>
          <w:szCs w:val="22"/>
        </w:rPr>
      </w:pPr>
      <w:r w:rsidRPr="009B5E44">
        <w:rPr>
          <w:szCs w:val="22"/>
        </w:rPr>
        <w:t>Každá tvrdá kapsula obsahuje tamsulozíniumchlorid v peletách s riadeným uvoľňovaním a dutasterid v mäkkej želatínovej kapsule.</w:t>
      </w:r>
    </w:p>
    <w:p w14:paraId="5A69FAE8" w14:textId="77777777" w:rsidR="00EE6E72" w:rsidRDefault="00EE6E72" w:rsidP="00424E40">
      <w:pPr>
        <w:rPr>
          <w:szCs w:val="22"/>
        </w:rPr>
      </w:pPr>
    </w:p>
    <w:p w14:paraId="2ECB7D4F" w14:textId="77777777" w:rsidR="00812D16" w:rsidRPr="0082445A" w:rsidRDefault="00812D16" w:rsidP="00487B0F">
      <w:pPr>
        <w:spacing w:line="240" w:lineRule="auto"/>
      </w:pPr>
    </w:p>
    <w:p w14:paraId="4F93102C" w14:textId="77777777" w:rsidR="00812D16" w:rsidRPr="00BF5AB0" w:rsidRDefault="00B81AFC" w:rsidP="00487B0F">
      <w:pPr>
        <w:keepNext/>
        <w:numPr>
          <w:ilvl w:val="0"/>
          <w:numId w:val="6"/>
        </w:numPr>
        <w:suppressAutoHyphens/>
        <w:spacing w:line="240" w:lineRule="auto"/>
        <w:rPr>
          <w:caps/>
        </w:rPr>
      </w:pPr>
      <w:r w:rsidRPr="00BF5AB0">
        <w:rPr>
          <w:b/>
        </w:rPr>
        <w:t>KLINICKÉ ÚDAJE</w:t>
      </w:r>
    </w:p>
    <w:p w14:paraId="57E044F8" w14:textId="77777777" w:rsidR="00812D16" w:rsidRPr="00BF5AB0" w:rsidRDefault="00812D16" w:rsidP="00487B0F">
      <w:pPr>
        <w:keepNext/>
        <w:spacing w:line="240" w:lineRule="auto"/>
      </w:pPr>
    </w:p>
    <w:p w14:paraId="51C2C7E4" w14:textId="77777777" w:rsidR="00812D16" w:rsidRPr="00BF5AB0" w:rsidRDefault="00B81AFC" w:rsidP="001C5D36">
      <w:pPr>
        <w:keepNext/>
        <w:numPr>
          <w:ilvl w:val="1"/>
          <w:numId w:val="6"/>
        </w:numPr>
        <w:spacing w:line="240" w:lineRule="auto"/>
        <w:outlineLvl w:val="0"/>
      </w:pPr>
      <w:r w:rsidRPr="00BF5AB0">
        <w:rPr>
          <w:b/>
        </w:rPr>
        <w:t>Terapeutické indikácie</w:t>
      </w:r>
    </w:p>
    <w:p w14:paraId="387B61F3" w14:textId="77777777" w:rsidR="00812D16" w:rsidRPr="00BF5AB0" w:rsidRDefault="00812D16" w:rsidP="008E682B">
      <w:pPr>
        <w:keepNext/>
        <w:spacing w:line="240" w:lineRule="auto"/>
      </w:pPr>
    </w:p>
    <w:p w14:paraId="7069853C" w14:textId="482C8B4A" w:rsidR="00EE6E72" w:rsidRDefault="00322DE9" w:rsidP="00424E40">
      <w:pPr>
        <w:rPr>
          <w:szCs w:val="22"/>
        </w:rPr>
      </w:pPr>
      <w:r w:rsidRPr="009B5E44">
        <w:rPr>
          <w:szCs w:val="22"/>
        </w:rPr>
        <w:t>Liečba stredne ťažkých až ťažkých symptómov benígnej hyperplázie prostaty (BH</w:t>
      </w:r>
      <w:r w:rsidR="00A2495D">
        <w:rPr>
          <w:szCs w:val="22"/>
        </w:rPr>
        <w:t>P</w:t>
      </w:r>
      <w:r w:rsidRPr="009B5E44">
        <w:rPr>
          <w:szCs w:val="22"/>
        </w:rPr>
        <w:t>).</w:t>
      </w:r>
    </w:p>
    <w:p w14:paraId="1B294676" w14:textId="77777777" w:rsidR="00EE6E72" w:rsidRDefault="00EE6E72" w:rsidP="00424E40">
      <w:pPr>
        <w:rPr>
          <w:szCs w:val="22"/>
        </w:rPr>
      </w:pPr>
    </w:p>
    <w:p w14:paraId="1980D37E" w14:textId="6FE86288" w:rsidR="00EE6E72" w:rsidRDefault="00322DE9" w:rsidP="00424E40">
      <w:pPr>
        <w:pStyle w:val="Zkladntext3"/>
        <w:rPr>
          <w:rFonts w:ascii="Times New Roman" w:hAnsi="Times New Roman"/>
          <w:color w:val="auto"/>
          <w:sz w:val="22"/>
          <w:szCs w:val="22"/>
        </w:rPr>
      </w:pPr>
      <w:r w:rsidRPr="009B5E44">
        <w:rPr>
          <w:rFonts w:ascii="Times New Roman" w:hAnsi="Times New Roman"/>
          <w:color w:val="auto"/>
          <w:sz w:val="22"/>
          <w:szCs w:val="22"/>
        </w:rPr>
        <w:t>Zníženie rizika akútnej retencie moču (AR</w:t>
      </w:r>
      <w:r w:rsidR="006A5504">
        <w:rPr>
          <w:rFonts w:ascii="Times New Roman" w:hAnsi="Times New Roman"/>
          <w:color w:val="auto"/>
          <w:sz w:val="22"/>
          <w:szCs w:val="22"/>
        </w:rPr>
        <w:t>M</w:t>
      </w:r>
      <w:r w:rsidRPr="009B5E44">
        <w:rPr>
          <w:rFonts w:ascii="Times New Roman" w:hAnsi="Times New Roman"/>
          <w:color w:val="auto"/>
          <w:sz w:val="22"/>
          <w:szCs w:val="22"/>
        </w:rPr>
        <w:t xml:space="preserve">) a chirurgického zákroku u pacientov so stredne ťažkými až ťažkými symptómami </w:t>
      </w:r>
      <w:r w:rsidR="00A2495D" w:rsidRPr="009B5E44">
        <w:rPr>
          <w:rFonts w:ascii="Times New Roman" w:hAnsi="Times New Roman"/>
          <w:color w:val="auto"/>
          <w:sz w:val="22"/>
          <w:szCs w:val="22"/>
        </w:rPr>
        <w:t>B</w:t>
      </w:r>
      <w:r w:rsidR="00A2495D">
        <w:rPr>
          <w:rFonts w:ascii="Times New Roman" w:hAnsi="Times New Roman"/>
          <w:color w:val="auto"/>
          <w:sz w:val="22"/>
          <w:szCs w:val="22"/>
        </w:rPr>
        <w:t>HP</w:t>
      </w:r>
      <w:r w:rsidRPr="009B5E44">
        <w:rPr>
          <w:rFonts w:ascii="Times New Roman" w:hAnsi="Times New Roman"/>
          <w:color w:val="auto"/>
          <w:sz w:val="22"/>
          <w:szCs w:val="22"/>
        </w:rPr>
        <w:t>.</w:t>
      </w:r>
    </w:p>
    <w:p w14:paraId="7E3E4C35" w14:textId="77777777" w:rsidR="00EE6E72" w:rsidRDefault="00EE6E72" w:rsidP="00424E40">
      <w:pPr>
        <w:rPr>
          <w:szCs w:val="22"/>
        </w:rPr>
      </w:pPr>
    </w:p>
    <w:p w14:paraId="36FE7960" w14:textId="77777777" w:rsidR="00EE6E72" w:rsidRDefault="00322DE9" w:rsidP="00424E40">
      <w:pPr>
        <w:spacing w:line="240" w:lineRule="auto"/>
        <w:rPr>
          <w:i/>
          <w:color w:val="000000"/>
        </w:rPr>
      </w:pPr>
      <w:r w:rsidRPr="009B5E44">
        <w:rPr>
          <w:szCs w:val="22"/>
        </w:rPr>
        <w:t>Informácie o účinkoch liečby a populáciách pacientov skúmaných v klinických skúšaniach pozri časť 5.1.</w:t>
      </w:r>
    </w:p>
    <w:p w14:paraId="5B8335E9" w14:textId="77777777" w:rsidR="00812D16" w:rsidRPr="00A72672" w:rsidRDefault="00812D16" w:rsidP="00487B0F">
      <w:pPr>
        <w:spacing w:line="240" w:lineRule="auto"/>
      </w:pPr>
    </w:p>
    <w:p w14:paraId="53B803E9" w14:textId="77777777" w:rsidR="00812D16" w:rsidRPr="00BF5AB0" w:rsidRDefault="00B81AFC" w:rsidP="00487B0F">
      <w:pPr>
        <w:keepNext/>
        <w:numPr>
          <w:ilvl w:val="1"/>
          <w:numId w:val="6"/>
        </w:numPr>
        <w:spacing w:line="240" w:lineRule="auto"/>
        <w:outlineLvl w:val="0"/>
        <w:rPr>
          <w:b/>
        </w:rPr>
      </w:pPr>
      <w:r w:rsidRPr="00BF5AB0">
        <w:rPr>
          <w:b/>
        </w:rPr>
        <w:t>Dávkovanie a spôsob podávania</w:t>
      </w:r>
    </w:p>
    <w:p w14:paraId="557ADA6F" w14:textId="77777777" w:rsidR="00812D16" w:rsidRPr="00BF5AB0" w:rsidRDefault="00812D16" w:rsidP="00487B0F">
      <w:pPr>
        <w:keepNext/>
        <w:spacing w:line="240" w:lineRule="auto"/>
      </w:pPr>
    </w:p>
    <w:p w14:paraId="651AB787" w14:textId="77777777" w:rsidR="00EE6E72" w:rsidRDefault="00322DE9" w:rsidP="00424E40">
      <w:pPr>
        <w:rPr>
          <w:szCs w:val="22"/>
          <w:u w:val="single"/>
        </w:rPr>
      </w:pPr>
      <w:r w:rsidRPr="009B5E44">
        <w:rPr>
          <w:szCs w:val="22"/>
          <w:u w:val="single"/>
        </w:rPr>
        <w:t>Dávkovanie</w:t>
      </w:r>
    </w:p>
    <w:p w14:paraId="4CFFA2C3" w14:textId="77777777" w:rsidR="00EE6E72" w:rsidRDefault="00EE6E72" w:rsidP="00424E40">
      <w:pPr>
        <w:rPr>
          <w:szCs w:val="22"/>
        </w:rPr>
      </w:pPr>
    </w:p>
    <w:p w14:paraId="06140230" w14:textId="77777777" w:rsidR="00EE6E72" w:rsidRDefault="00322DE9" w:rsidP="00424E40">
      <w:pPr>
        <w:rPr>
          <w:i/>
          <w:szCs w:val="22"/>
        </w:rPr>
      </w:pPr>
      <w:r w:rsidRPr="009B5E44">
        <w:rPr>
          <w:i/>
          <w:szCs w:val="22"/>
        </w:rPr>
        <w:t>Dospelí (vrátane starších osôb)</w:t>
      </w:r>
    </w:p>
    <w:p w14:paraId="48A49BC4" w14:textId="4118F4A4" w:rsidR="00EE6E72" w:rsidRDefault="00322DE9" w:rsidP="00424E40">
      <w:pPr>
        <w:rPr>
          <w:szCs w:val="22"/>
        </w:rPr>
      </w:pPr>
      <w:r w:rsidRPr="009B5E44">
        <w:rPr>
          <w:szCs w:val="22"/>
        </w:rPr>
        <w:t xml:space="preserve">Odporúčaná dávka </w:t>
      </w:r>
      <w:r w:rsidR="00D342B2">
        <w:rPr>
          <w:szCs w:val="22"/>
        </w:rPr>
        <w:t xml:space="preserve"> Tedez</w:t>
      </w:r>
      <w:r w:rsidR="00487B0F">
        <w:rPr>
          <w:szCs w:val="22"/>
        </w:rPr>
        <w:t>u</w:t>
      </w:r>
      <w:r w:rsidRPr="009B5E44">
        <w:rPr>
          <w:szCs w:val="22"/>
        </w:rPr>
        <w:t xml:space="preserve"> je jedna kapsula (0,5 mg/0,4 mg) jedenkrát denne.</w:t>
      </w:r>
    </w:p>
    <w:p w14:paraId="6DF88E1C" w14:textId="77777777" w:rsidR="00EE6E72" w:rsidRDefault="00EE6E72" w:rsidP="00424E40">
      <w:pPr>
        <w:rPr>
          <w:szCs w:val="22"/>
        </w:rPr>
      </w:pPr>
    </w:p>
    <w:p w14:paraId="7370B531" w14:textId="77777777" w:rsidR="00EE6E72" w:rsidRDefault="00322DE9" w:rsidP="00424E40">
      <w:pPr>
        <w:autoSpaceDE w:val="0"/>
        <w:autoSpaceDN w:val="0"/>
        <w:adjustRightInd w:val="0"/>
        <w:rPr>
          <w:szCs w:val="22"/>
          <w:lang w:eastAsia="en-GB"/>
        </w:rPr>
      </w:pPr>
      <w:r w:rsidRPr="009B5E44">
        <w:rPr>
          <w:szCs w:val="22"/>
          <w:lang w:eastAsia="en-GB"/>
        </w:rPr>
        <w:t xml:space="preserve">Ak je to vhodné, </w:t>
      </w:r>
      <w:r w:rsidR="00A171CE">
        <w:rPr>
          <w:szCs w:val="22"/>
          <w:lang w:eastAsia="en-GB"/>
        </w:rPr>
        <w:t>Tedez</w:t>
      </w:r>
      <w:r w:rsidRPr="009B5E44">
        <w:rPr>
          <w:szCs w:val="22"/>
          <w:lang w:eastAsia="en-GB"/>
        </w:rPr>
        <w:t xml:space="preserve"> možno použiť na nahradenie súbežného užívania dutasteridu</w:t>
      </w:r>
      <w:r w:rsidR="00A171CE">
        <w:rPr>
          <w:szCs w:val="22"/>
          <w:lang w:eastAsia="en-GB"/>
        </w:rPr>
        <w:t xml:space="preserve"> </w:t>
      </w:r>
      <w:r w:rsidRPr="009B5E44">
        <w:rPr>
          <w:szCs w:val="22"/>
          <w:lang w:eastAsia="en-GB"/>
        </w:rPr>
        <w:t>a </w:t>
      </w:r>
      <w:r w:rsidRPr="009B5E44">
        <w:rPr>
          <w:szCs w:val="22"/>
        </w:rPr>
        <w:t>tamsulozíniumchloridu</w:t>
      </w:r>
      <w:r w:rsidRPr="009B5E44">
        <w:rPr>
          <w:szCs w:val="22"/>
          <w:lang w:eastAsia="en-GB"/>
        </w:rPr>
        <w:t xml:space="preserve"> pri prebiehajúcej duálnej terapii, aby sa liečba zjednodušila.</w:t>
      </w:r>
    </w:p>
    <w:p w14:paraId="45E3FDBB" w14:textId="77777777" w:rsidR="00EE6E72" w:rsidRDefault="00EE6E72" w:rsidP="00424E40">
      <w:pPr>
        <w:autoSpaceDE w:val="0"/>
        <w:autoSpaceDN w:val="0"/>
        <w:adjustRightInd w:val="0"/>
        <w:rPr>
          <w:szCs w:val="22"/>
          <w:lang w:eastAsia="en-GB"/>
        </w:rPr>
      </w:pPr>
    </w:p>
    <w:p w14:paraId="5689BC2F" w14:textId="756E0D85" w:rsidR="00EE6E72" w:rsidRDefault="00322DE9" w:rsidP="00424E40">
      <w:pPr>
        <w:autoSpaceDE w:val="0"/>
        <w:autoSpaceDN w:val="0"/>
        <w:adjustRightInd w:val="0"/>
        <w:rPr>
          <w:szCs w:val="22"/>
          <w:lang w:eastAsia="en-GB"/>
        </w:rPr>
      </w:pPr>
      <w:r w:rsidRPr="009B5E44">
        <w:rPr>
          <w:szCs w:val="22"/>
          <w:lang w:eastAsia="en-GB"/>
        </w:rPr>
        <w:lastRenderedPageBreak/>
        <w:t xml:space="preserve">Ak je to klinicky vhodné, možno zvážiť priame prestavenie z monoterapie dutasteridom alebo </w:t>
      </w:r>
      <w:r w:rsidRPr="009B5E44">
        <w:rPr>
          <w:szCs w:val="22"/>
        </w:rPr>
        <w:t xml:space="preserve">tamsulozíniumchloridom na </w:t>
      </w:r>
      <w:r w:rsidR="00A171CE">
        <w:rPr>
          <w:szCs w:val="22"/>
          <w:lang w:eastAsia="en-GB"/>
        </w:rPr>
        <w:t>Tedez</w:t>
      </w:r>
      <w:r w:rsidRPr="009B5E44">
        <w:rPr>
          <w:szCs w:val="22"/>
          <w:lang w:eastAsia="en-GB"/>
        </w:rPr>
        <w:t>.</w:t>
      </w:r>
    </w:p>
    <w:p w14:paraId="7D053B53" w14:textId="77777777" w:rsidR="00EE6E72" w:rsidRDefault="00EE6E72" w:rsidP="00424E40">
      <w:pPr>
        <w:autoSpaceDE w:val="0"/>
        <w:autoSpaceDN w:val="0"/>
        <w:adjustRightInd w:val="0"/>
        <w:rPr>
          <w:szCs w:val="22"/>
          <w:lang w:eastAsia="en-GB"/>
        </w:rPr>
      </w:pPr>
    </w:p>
    <w:p w14:paraId="4CC1E0B4" w14:textId="77777777" w:rsidR="00EE6E72" w:rsidRDefault="00322DE9" w:rsidP="00424E40">
      <w:pPr>
        <w:rPr>
          <w:i/>
          <w:szCs w:val="22"/>
        </w:rPr>
      </w:pPr>
      <w:r w:rsidRPr="009B5E44">
        <w:rPr>
          <w:i/>
          <w:szCs w:val="22"/>
        </w:rPr>
        <w:t>Porucha funkcie obličiek</w:t>
      </w:r>
    </w:p>
    <w:p w14:paraId="44D6357A" w14:textId="77777777" w:rsidR="00EE6E72" w:rsidRDefault="00EE6E72" w:rsidP="00424E40">
      <w:pPr>
        <w:rPr>
          <w:szCs w:val="22"/>
        </w:rPr>
      </w:pPr>
    </w:p>
    <w:p w14:paraId="68CE6C39" w14:textId="1A098E45" w:rsidR="00EE6E72" w:rsidRDefault="00322DE9" w:rsidP="00424E40">
      <w:pPr>
        <w:rPr>
          <w:szCs w:val="22"/>
        </w:rPr>
      </w:pPr>
      <w:r w:rsidRPr="009B5E44">
        <w:rPr>
          <w:szCs w:val="22"/>
        </w:rPr>
        <w:t>Vplyv poruchy funkcie obličiek na farmakokinetiku dutasteridu</w:t>
      </w:r>
      <w:r w:rsidR="00487B0F">
        <w:rPr>
          <w:szCs w:val="22"/>
        </w:rPr>
        <w:t>/</w:t>
      </w:r>
      <w:r w:rsidRPr="009B5E44">
        <w:rPr>
          <w:szCs w:val="22"/>
        </w:rPr>
        <w:t>tamsulozíniumchloridu sa neskúmal. U pacientov s poruchou funkcie obličiek sa nepredpokladá potreba úpravy dávkovania (pozri časť 4.4 a 5.2).</w:t>
      </w:r>
    </w:p>
    <w:p w14:paraId="521ABDEB" w14:textId="77777777" w:rsidR="00EE6E72" w:rsidRDefault="00EE6E72" w:rsidP="00424E40">
      <w:pPr>
        <w:rPr>
          <w:szCs w:val="22"/>
        </w:rPr>
      </w:pPr>
    </w:p>
    <w:p w14:paraId="66F4B9D5" w14:textId="77777777" w:rsidR="00EE6E72" w:rsidRDefault="00322DE9" w:rsidP="00424E40">
      <w:pPr>
        <w:rPr>
          <w:i/>
          <w:szCs w:val="22"/>
        </w:rPr>
      </w:pPr>
      <w:r w:rsidRPr="009B5E44">
        <w:rPr>
          <w:i/>
          <w:szCs w:val="22"/>
        </w:rPr>
        <w:t>Porucha funkcie pečene</w:t>
      </w:r>
    </w:p>
    <w:p w14:paraId="558A1BEF" w14:textId="77777777" w:rsidR="00EE6E72" w:rsidRDefault="00EE6E72" w:rsidP="00424E40">
      <w:pPr>
        <w:rPr>
          <w:i/>
          <w:szCs w:val="22"/>
        </w:rPr>
      </w:pPr>
    </w:p>
    <w:p w14:paraId="2E5E8DD2" w14:textId="3C9F7213" w:rsidR="00EE6E72" w:rsidRDefault="00322DE9" w:rsidP="00424E40">
      <w:pPr>
        <w:pStyle w:val="Zkladntext2"/>
        <w:spacing w:after="0" w:line="240" w:lineRule="auto"/>
        <w:rPr>
          <w:szCs w:val="22"/>
        </w:rPr>
      </w:pPr>
      <w:r w:rsidRPr="009B5E44">
        <w:rPr>
          <w:szCs w:val="22"/>
        </w:rPr>
        <w:t>Vplyv poruchy funkcie pečene na farmakokinetiku dutasteridu</w:t>
      </w:r>
      <w:r w:rsidR="00487B0F">
        <w:rPr>
          <w:szCs w:val="22"/>
        </w:rPr>
        <w:t>/</w:t>
      </w:r>
      <w:r w:rsidRPr="009B5E44">
        <w:rPr>
          <w:szCs w:val="22"/>
        </w:rPr>
        <w:t xml:space="preserve">tamsulozíniumchloridu sa neskúmal, ale je potrebná opatrnosť u pacientov s miernou až stredne </w:t>
      </w:r>
      <w:r w:rsidR="00487B0F">
        <w:rPr>
          <w:szCs w:val="22"/>
        </w:rPr>
        <w:t>závažnou</w:t>
      </w:r>
      <w:r w:rsidR="00487B0F" w:rsidRPr="009B5E44">
        <w:rPr>
          <w:szCs w:val="22"/>
        </w:rPr>
        <w:t xml:space="preserve"> </w:t>
      </w:r>
      <w:r w:rsidRPr="009B5E44">
        <w:rPr>
          <w:szCs w:val="22"/>
        </w:rPr>
        <w:t xml:space="preserve">poruchou funkcie pečene (pozri časť </w:t>
      </w:r>
      <w:smartTag w:uri="urn:schemas-microsoft-com:office:smarttags" w:element="metricconverter">
        <w:smartTagPr>
          <w:attr w:name="ProductID" w:val="4.4 a"/>
        </w:smartTagPr>
        <w:r w:rsidRPr="009B5E44">
          <w:rPr>
            <w:szCs w:val="22"/>
          </w:rPr>
          <w:t>4.4 a</w:t>
        </w:r>
      </w:smartTag>
      <w:r w:rsidRPr="009B5E44">
        <w:rPr>
          <w:szCs w:val="22"/>
        </w:rPr>
        <w:t xml:space="preserve"> časť 5.2). U pacientov s</w:t>
      </w:r>
      <w:r w:rsidR="00487B0F">
        <w:rPr>
          <w:szCs w:val="22"/>
        </w:rPr>
        <w:t>o</w:t>
      </w:r>
      <w:r w:rsidRPr="009B5E44">
        <w:rPr>
          <w:szCs w:val="22"/>
        </w:rPr>
        <w:t xml:space="preserve"> </w:t>
      </w:r>
      <w:r w:rsidR="00487B0F">
        <w:rPr>
          <w:szCs w:val="22"/>
        </w:rPr>
        <w:t>závažnou</w:t>
      </w:r>
      <w:r w:rsidR="00487B0F" w:rsidRPr="009B5E44">
        <w:rPr>
          <w:szCs w:val="22"/>
        </w:rPr>
        <w:t xml:space="preserve"> </w:t>
      </w:r>
      <w:r w:rsidRPr="009B5E44">
        <w:rPr>
          <w:szCs w:val="22"/>
        </w:rPr>
        <w:t xml:space="preserve">poruchou funkcie pečene je použitie </w:t>
      </w:r>
      <w:r w:rsidR="00487B0F">
        <w:rPr>
          <w:szCs w:val="22"/>
        </w:rPr>
        <w:t>Tedezu</w:t>
      </w:r>
      <w:r w:rsidR="00487B0F" w:rsidRPr="009B5E44">
        <w:rPr>
          <w:szCs w:val="22"/>
        </w:rPr>
        <w:t xml:space="preserve"> </w:t>
      </w:r>
      <w:r w:rsidRPr="009B5E44">
        <w:rPr>
          <w:szCs w:val="22"/>
        </w:rPr>
        <w:t>kontraindikované (pozri časť 4.3).</w:t>
      </w:r>
    </w:p>
    <w:p w14:paraId="7C737DA3" w14:textId="77777777" w:rsidR="00EE6E72" w:rsidRDefault="00EE6E72" w:rsidP="00424E40">
      <w:pPr>
        <w:rPr>
          <w:szCs w:val="22"/>
        </w:rPr>
      </w:pPr>
    </w:p>
    <w:p w14:paraId="75A7D9F0" w14:textId="77777777" w:rsidR="00EE6E72" w:rsidRDefault="00322DE9" w:rsidP="00424E40">
      <w:pPr>
        <w:rPr>
          <w:i/>
          <w:szCs w:val="22"/>
        </w:rPr>
      </w:pPr>
      <w:r w:rsidRPr="009B5E44">
        <w:rPr>
          <w:i/>
          <w:szCs w:val="22"/>
        </w:rPr>
        <w:t>Pediatrická populácia</w:t>
      </w:r>
    </w:p>
    <w:p w14:paraId="4360B29D" w14:textId="240DA667" w:rsidR="00EE6E72" w:rsidRDefault="00D91136" w:rsidP="00424E40">
      <w:pPr>
        <w:rPr>
          <w:szCs w:val="22"/>
        </w:rPr>
      </w:pPr>
      <w:r>
        <w:rPr>
          <w:szCs w:val="22"/>
        </w:rPr>
        <w:t>Dutasterid/tamsulozín</w:t>
      </w:r>
      <w:r w:rsidR="00322DE9" w:rsidRPr="009B5E44">
        <w:rPr>
          <w:szCs w:val="22"/>
        </w:rPr>
        <w:t xml:space="preserve"> je kontraindikovaný v pediatrickej populácii (vo veku do 18 rokov) (pozri časť 4.3).</w:t>
      </w:r>
    </w:p>
    <w:p w14:paraId="6FB1168F" w14:textId="77777777" w:rsidR="00EE6E72" w:rsidRDefault="00EE6E72" w:rsidP="00424E40">
      <w:pPr>
        <w:rPr>
          <w:szCs w:val="22"/>
        </w:rPr>
      </w:pPr>
    </w:p>
    <w:p w14:paraId="77BB70DE" w14:textId="77777777" w:rsidR="00EE6E72" w:rsidRDefault="00322DE9" w:rsidP="00424E40">
      <w:pPr>
        <w:rPr>
          <w:szCs w:val="22"/>
          <w:u w:val="single"/>
        </w:rPr>
      </w:pPr>
      <w:r w:rsidRPr="009B5E44">
        <w:rPr>
          <w:szCs w:val="22"/>
          <w:u w:val="single"/>
        </w:rPr>
        <w:t>Spôsob podávania</w:t>
      </w:r>
    </w:p>
    <w:p w14:paraId="6CE5FDD7" w14:textId="77777777" w:rsidR="00EE6E72" w:rsidRDefault="00EE6E72" w:rsidP="00424E40">
      <w:pPr>
        <w:rPr>
          <w:szCs w:val="22"/>
        </w:rPr>
      </w:pPr>
    </w:p>
    <w:p w14:paraId="4E48116C" w14:textId="77777777" w:rsidR="00EE6E72" w:rsidRDefault="00322DE9" w:rsidP="00424E40">
      <w:pPr>
        <w:rPr>
          <w:szCs w:val="22"/>
        </w:rPr>
      </w:pPr>
      <w:r w:rsidRPr="009B5E44">
        <w:rPr>
          <w:szCs w:val="22"/>
        </w:rPr>
        <w:t>Na perorálne použitie.</w:t>
      </w:r>
    </w:p>
    <w:p w14:paraId="3DD140DD" w14:textId="77777777" w:rsidR="00EE6E72" w:rsidRDefault="00EE6E72" w:rsidP="00424E40">
      <w:pPr>
        <w:rPr>
          <w:szCs w:val="22"/>
        </w:rPr>
      </w:pPr>
    </w:p>
    <w:p w14:paraId="1FB235F4" w14:textId="3AB58247" w:rsidR="00EE6E72" w:rsidRDefault="00322DE9" w:rsidP="00424E40">
      <w:pPr>
        <w:rPr>
          <w:szCs w:val="22"/>
        </w:rPr>
      </w:pPr>
      <w:r w:rsidRPr="009B5E44">
        <w:rPr>
          <w:szCs w:val="22"/>
        </w:rPr>
        <w:t>Pacienti majú byť poučení, aby kapsuly prehĺtali celé, približne 30 minút po jedle v rovnakom čase každý deň. Kapsuly sa nemajú žuvať ani otvárať. Kontakt s obsahom kapsuly, ktorá obsahuje dutasterid v kapsule s tvrdým obalom, môže vyvolať podráždenie  sliznice</w:t>
      </w:r>
      <w:r w:rsidR="00487B0F">
        <w:rPr>
          <w:szCs w:val="22"/>
        </w:rPr>
        <w:t xml:space="preserve"> orofaryngu</w:t>
      </w:r>
      <w:r w:rsidRPr="009B5E44">
        <w:rPr>
          <w:szCs w:val="22"/>
        </w:rPr>
        <w:t>.</w:t>
      </w:r>
    </w:p>
    <w:p w14:paraId="12CC990D" w14:textId="77777777" w:rsidR="00812D16" w:rsidRPr="00A72672" w:rsidRDefault="00812D16" w:rsidP="00487B0F">
      <w:pPr>
        <w:spacing w:line="240" w:lineRule="auto"/>
      </w:pPr>
    </w:p>
    <w:p w14:paraId="4E183F2B" w14:textId="77777777" w:rsidR="00812D16" w:rsidRPr="00891D76" w:rsidRDefault="00B81AFC" w:rsidP="00487B0F">
      <w:pPr>
        <w:keepNext/>
        <w:numPr>
          <w:ilvl w:val="1"/>
          <w:numId w:val="6"/>
        </w:numPr>
        <w:spacing w:line="240" w:lineRule="auto"/>
        <w:outlineLvl w:val="0"/>
      </w:pPr>
      <w:r w:rsidRPr="00BF5AB0">
        <w:rPr>
          <w:b/>
        </w:rPr>
        <w:t>Kontraindikácie</w:t>
      </w:r>
    </w:p>
    <w:p w14:paraId="133C3E59" w14:textId="77777777" w:rsidR="00812D16" w:rsidRPr="0082445A" w:rsidRDefault="00812D16" w:rsidP="00487B0F">
      <w:pPr>
        <w:keepNext/>
        <w:spacing w:line="240" w:lineRule="auto"/>
      </w:pPr>
    </w:p>
    <w:p w14:paraId="09309B20" w14:textId="6053B4DC" w:rsidR="00EE6E72" w:rsidRDefault="007C4838" w:rsidP="00424E40">
      <w:pPr>
        <w:rPr>
          <w:szCs w:val="22"/>
        </w:rPr>
      </w:pPr>
      <w:r>
        <w:rPr>
          <w:szCs w:val="22"/>
        </w:rPr>
        <w:t>Tedez</w:t>
      </w:r>
      <w:r w:rsidR="00322DE9" w:rsidRPr="009B5E44">
        <w:rPr>
          <w:szCs w:val="22"/>
        </w:rPr>
        <w:t xml:space="preserve"> je kontraindikovaný u:</w:t>
      </w:r>
    </w:p>
    <w:p w14:paraId="28BBD658" w14:textId="77777777" w:rsidR="00EE6E72" w:rsidRDefault="00322DE9" w:rsidP="00424E40">
      <w:pPr>
        <w:rPr>
          <w:szCs w:val="22"/>
        </w:rPr>
      </w:pPr>
      <w:r w:rsidRPr="009B5E44">
        <w:rPr>
          <w:szCs w:val="22"/>
        </w:rPr>
        <w:t>- žien, detí a dospievajúcich (pozri časť 4.6).</w:t>
      </w:r>
    </w:p>
    <w:p w14:paraId="491ABEE4" w14:textId="064E3850" w:rsidR="00EE6E72" w:rsidRDefault="00322DE9" w:rsidP="00424E40">
      <w:pPr>
        <w:rPr>
          <w:szCs w:val="22"/>
        </w:rPr>
      </w:pPr>
      <w:r w:rsidRPr="009B5E44">
        <w:rPr>
          <w:szCs w:val="22"/>
        </w:rPr>
        <w:t xml:space="preserve">- pacientov s precitlivenosťou na </w:t>
      </w:r>
      <w:r w:rsidR="005408C8">
        <w:rPr>
          <w:szCs w:val="22"/>
        </w:rPr>
        <w:t>liečivá</w:t>
      </w:r>
      <w:r w:rsidRPr="009B5E44">
        <w:rPr>
          <w:szCs w:val="22"/>
        </w:rPr>
        <w:t xml:space="preserve"> na iné inhibítory 5</w:t>
      </w:r>
      <w:r w:rsidRPr="009B5E44">
        <w:rPr>
          <w:szCs w:val="22"/>
        </w:rPr>
        <w:noBreakHyphen/>
        <w:t>alfa</w:t>
      </w:r>
      <w:r w:rsidRPr="009B5E44">
        <w:rPr>
          <w:szCs w:val="22"/>
        </w:rPr>
        <w:noBreakHyphen/>
        <w:t>reduktázy, na sóju, arašidy, alebo na ktorúkoľvek z pomocných látok</w:t>
      </w:r>
      <w:r w:rsidRPr="009B5E44">
        <w:rPr>
          <w:szCs w:val="22"/>
          <w:lang w:eastAsia="en-US"/>
        </w:rPr>
        <w:t xml:space="preserve"> </w:t>
      </w:r>
      <w:r w:rsidRPr="009B5E44">
        <w:rPr>
          <w:szCs w:val="22"/>
        </w:rPr>
        <w:t>uvedených v časti 6.1.</w:t>
      </w:r>
    </w:p>
    <w:p w14:paraId="221A1143" w14:textId="77777777" w:rsidR="00EE6E72" w:rsidRDefault="00322DE9" w:rsidP="00424E40">
      <w:pPr>
        <w:rPr>
          <w:szCs w:val="22"/>
        </w:rPr>
      </w:pPr>
      <w:r w:rsidRPr="009B5E44">
        <w:rPr>
          <w:szCs w:val="22"/>
        </w:rPr>
        <w:t>- pacientov s ortostatickou hypotenziou v anamnéze.</w:t>
      </w:r>
    </w:p>
    <w:p w14:paraId="5D150869" w14:textId="01D3071E" w:rsidR="00EE6E72" w:rsidRDefault="00322DE9" w:rsidP="00424E40">
      <w:pPr>
        <w:spacing w:line="240" w:lineRule="auto"/>
      </w:pPr>
      <w:r w:rsidRPr="009B5E44">
        <w:rPr>
          <w:szCs w:val="22"/>
        </w:rPr>
        <w:t>- pacientov s</w:t>
      </w:r>
      <w:r w:rsidR="005408C8">
        <w:rPr>
          <w:szCs w:val="22"/>
        </w:rPr>
        <w:t>o</w:t>
      </w:r>
      <w:r w:rsidRPr="009B5E44">
        <w:rPr>
          <w:szCs w:val="22"/>
        </w:rPr>
        <w:t> </w:t>
      </w:r>
      <w:r w:rsidR="005408C8">
        <w:rPr>
          <w:szCs w:val="22"/>
        </w:rPr>
        <w:t>závažnou</w:t>
      </w:r>
      <w:r w:rsidR="005408C8" w:rsidRPr="009B5E44">
        <w:rPr>
          <w:szCs w:val="22"/>
        </w:rPr>
        <w:t xml:space="preserve"> </w:t>
      </w:r>
      <w:r w:rsidRPr="009B5E44">
        <w:rPr>
          <w:szCs w:val="22"/>
        </w:rPr>
        <w:t>poruchou funkcie pečene.</w:t>
      </w:r>
    </w:p>
    <w:p w14:paraId="0AF09284" w14:textId="77777777" w:rsidR="00812D16" w:rsidRPr="0082445A" w:rsidRDefault="00812D16" w:rsidP="00487B0F">
      <w:pPr>
        <w:spacing w:line="240" w:lineRule="auto"/>
      </w:pPr>
    </w:p>
    <w:p w14:paraId="4A319AC8" w14:textId="77777777" w:rsidR="00812D16" w:rsidRPr="00891D76" w:rsidRDefault="00B81AFC" w:rsidP="00487B0F">
      <w:pPr>
        <w:keepNext/>
        <w:numPr>
          <w:ilvl w:val="1"/>
          <w:numId w:val="6"/>
        </w:numPr>
        <w:spacing w:line="240" w:lineRule="auto"/>
        <w:outlineLvl w:val="0"/>
        <w:rPr>
          <w:b/>
        </w:rPr>
      </w:pPr>
      <w:r w:rsidRPr="00BF5AB0">
        <w:rPr>
          <w:b/>
        </w:rPr>
        <w:t>Osobitné upozornenia a opatrenia pri používaní</w:t>
      </w:r>
    </w:p>
    <w:p w14:paraId="6C0BD9C6" w14:textId="77777777" w:rsidR="00812D16" w:rsidRPr="0079480E" w:rsidRDefault="00812D16" w:rsidP="00487B0F">
      <w:pPr>
        <w:keepNext/>
        <w:spacing w:line="240" w:lineRule="auto"/>
        <w:ind w:left="567" w:hanging="567"/>
      </w:pPr>
    </w:p>
    <w:p w14:paraId="1DAE6915" w14:textId="7390474D" w:rsidR="00EE6E72" w:rsidRDefault="0097628E" w:rsidP="00424E40">
      <w:pPr>
        <w:autoSpaceDE w:val="0"/>
        <w:autoSpaceDN w:val="0"/>
        <w:adjustRightInd w:val="0"/>
        <w:rPr>
          <w:bCs/>
          <w:iCs/>
          <w:szCs w:val="22"/>
        </w:rPr>
      </w:pPr>
      <w:r w:rsidRPr="009B5E44">
        <w:rPr>
          <w:bCs/>
          <w:iCs/>
          <w:szCs w:val="22"/>
        </w:rPr>
        <w:t>Kombinovaná liečba sa má vzhľadom na potenciálne zvýšené riziko nežiaducich príhod (vrátane zlyhávania</w:t>
      </w:r>
      <w:r w:rsidR="005408C8">
        <w:rPr>
          <w:bCs/>
          <w:iCs/>
          <w:szCs w:val="22"/>
        </w:rPr>
        <w:t xml:space="preserve"> srdca</w:t>
      </w:r>
      <w:r w:rsidRPr="009B5E44">
        <w:rPr>
          <w:bCs/>
          <w:iCs/>
          <w:szCs w:val="22"/>
        </w:rPr>
        <w:t xml:space="preserve">) predpísať po starostlivom vyhodnotení pomeru prínosu </w:t>
      </w:r>
      <w:r w:rsidR="005408C8">
        <w:rPr>
          <w:bCs/>
          <w:iCs/>
          <w:szCs w:val="22"/>
        </w:rPr>
        <w:t xml:space="preserve">a rizík </w:t>
      </w:r>
      <w:r w:rsidRPr="009B5E44">
        <w:rPr>
          <w:bCs/>
          <w:iCs/>
          <w:szCs w:val="22"/>
        </w:rPr>
        <w:t>a po zohľadnení alternatívnych liečebných možností vrátane monoterapií.</w:t>
      </w:r>
    </w:p>
    <w:p w14:paraId="470210B0" w14:textId="77777777" w:rsidR="00EE6E72" w:rsidRDefault="00EE6E72" w:rsidP="00424E40">
      <w:pPr>
        <w:rPr>
          <w:bCs/>
          <w:iCs/>
          <w:szCs w:val="22"/>
        </w:rPr>
      </w:pPr>
    </w:p>
    <w:p w14:paraId="35470369" w14:textId="77777777" w:rsidR="00EE6E72" w:rsidRDefault="0097628E" w:rsidP="00424E40">
      <w:pPr>
        <w:rPr>
          <w:i/>
          <w:szCs w:val="22"/>
        </w:rPr>
      </w:pPr>
      <w:r w:rsidRPr="009B5E44">
        <w:rPr>
          <w:i/>
          <w:iCs/>
          <w:szCs w:val="22"/>
        </w:rPr>
        <w:t>Rakovina prostaty a nádory vysokého stupňa</w:t>
      </w:r>
    </w:p>
    <w:p w14:paraId="005A93F6" w14:textId="51D049A6" w:rsidR="00EE6E72" w:rsidRDefault="0097628E" w:rsidP="00424E40">
      <w:pPr>
        <w:rPr>
          <w:szCs w:val="22"/>
        </w:rPr>
      </w:pPr>
      <w:r w:rsidRPr="009B5E44">
        <w:rPr>
          <w:szCs w:val="22"/>
        </w:rPr>
        <w:t>Štúdia REDUCE, 4</w:t>
      </w:r>
      <w:r w:rsidRPr="009B5E44">
        <w:rPr>
          <w:szCs w:val="22"/>
        </w:rPr>
        <w:noBreakHyphen/>
        <w:t>ročná, multicentrická, randomizovaná, dvojito zaslepená, placebom kontrolovaná štúdia, skúmala účinok dutasteridu 0,5 mg denne u pacientov s vysokým rizikom vzniku rakoviny prostaty (zahŕňala mužov vo veku 50 až 75 rokov, s hladinou PSA od 2,5 do 10 ng/ml a s negatívnou biopsiou prostaty 6 mesiacov pred zaradením do štúdie) v porovnaní s placebom. Výsledky tejto štúdie odhalili vyššiu incidenciu karcinómov prostaty s Gleasonovým skóre 8 </w:t>
      </w:r>
      <w:r w:rsidRPr="009B5E44">
        <w:rPr>
          <w:szCs w:val="22"/>
        </w:rPr>
        <w:noBreakHyphen/>
        <w:t> 10 u mužov liečených dutasteridom (n = 29, 0,9 %) v porovnaní s mužmi užívajúcimi placebo (n = 19, 0,6 %). Súvislosť medzi dutasteridom a karcinómami prostaty s Gleasonovým skóre 8 </w:t>
      </w:r>
      <w:r w:rsidRPr="009B5E44">
        <w:rPr>
          <w:szCs w:val="22"/>
        </w:rPr>
        <w:noBreakHyphen/>
        <w:t xml:space="preserve"> 10 nie je jasná. Mužov užívajúcich </w:t>
      </w:r>
      <w:r w:rsidR="001C1499">
        <w:rPr>
          <w:szCs w:val="22"/>
        </w:rPr>
        <w:t>Tedez</w:t>
      </w:r>
      <w:r w:rsidRPr="009B5E44">
        <w:rPr>
          <w:szCs w:val="22"/>
        </w:rPr>
        <w:t xml:space="preserve"> je preto potrebné pravidelne vyšetrovať </w:t>
      </w:r>
      <w:r w:rsidR="005408C8">
        <w:rPr>
          <w:szCs w:val="22"/>
        </w:rPr>
        <w:t>kvôli</w:t>
      </w:r>
      <w:r w:rsidRPr="009B5E44">
        <w:rPr>
          <w:szCs w:val="22"/>
        </w:rPr>
        <w:t xml:space="preserve"> rakovin</w:t>
      </w:r>
      <w:r w:rsidR="005408C8">
        <w:rPr>
          <w:szCs w:val="22"/>
        </w:rPr>
        <w:t>e</w:t>
      </w:r>
      <w:r w:rsidRPr="009B5E44">
        <w:rPr>
          <w:szCs w:val="22"/>
        </w:rPr>
        <w:t xml:space="preserve"> prostaty (pozri časť 5.1).</w:t>
      </w:r>
    </w:p>
    <w:p w14:paraId="2DEAFC6A" w14:textId="77777777" w:rsidR="00EE6E72" w:rsidRDefault="00EE6E72" w:rsidP="00424E40">
      <w:pPr>
        <w:rPr>
          <w:szCs w:val="22"/>
        </w:rPr>
      </w:pPr>
    </w:p>
    <w:p w14:paraId="2AE24341" w14:textId="77777777" w:rsidR="00EE6E72" w:rsidRDefault="0097628E" w:rsidP="00424E40">
      <w:pPr>
        <w:keepNext/>
        <w:keepLines/>
        <w:rPr>
          <w:i/>
          <w:szCs w:val="22"/>
        </w:rPr>
      </w:pPr>
      <w:r w:rsidRPr="009B5E44">
        <w:rPr>
          <w:i/>
          <w:iCs/>
          <w:szCs w:val="22"/>
        </w:rPr>
        <w:lastRenderedPageBreak/>
        <w:t>Prostatický špecifický antigén (PSA)</w:t>
      </w:r>
    </w:p>
    <w:p w14:paraId="453AE72F" w14:textId="77777777" w:rsidR="00EE6E72" w:rsidRDefault="0097628E" w:rsidP="00424E40">
      <w:pPr>
        <w:rPr>
          <w:szCs w:val="22"/>
        </w:rPr>
      </w:pPr>
      <w:r w:rsidRPr="009B5E44">
        <w:rPr>
          <w:szCs w:val="22"/>
        </w:rPr>
        <w:t xml:space="preserve">Sérová koncentrácia prostatického špecifického antigénu (PSA) je dôležitou súčasťou pri detekcii rakoviny prostaty. </w:t>
      </w:r>
      <w:r w:rsidR="006205AF">
        <w:rPr>
          <w:szCs w:val="22"/>
        </w:rPr>
        <w:t>Tedez</w:t>
      </w:r>
      <w:r w:rsidRPr="009B5E44">
        <w:rPr>
          <w:szCs w:val="22"/>
        </w:rPr>
        <w:t xml:space="preserve"> spôsobuje zníženie priemerných sérových hladín PSA o približne 50 % po 6 mesiacoch liečby.</w:t>
      </w:r>
    </w:p>
    <w:p w14:paraId="7FC3D65A" w14:textId="77777777" w:rsidR="00EE6E72" w:rsidRDefault="00EE6E72" w:rsidP="00424E40">
      <w:pPr>
        <w:rPr>
          <w:szCs w:val="22"/>
        </w:rPr>
      </w:pPr>
    </w:p>
    <w:p w14:paraId="17034A8F" w14:textId="77777777" w:rsidR="00EE6E72" w:rsidRDefault="0097628E" w:rsidP="00424E40">
      <w:pPr>
        <w:rPr>
          <w:szCs w:val="22"/>
        </w:rPr>
      </w:pPr>
      <w:r w:rsidRPr="009B5E44">
        <w:rPr>
          <w:szCs w:val="22"/>
        </w:rPr>
        <w:t xml:space="preserve">U pacientov užívajúcich </w:t>
      </w:r>
      <w:r w:rsidR="004511DD">
        <w:rPr>
          <w:szCs w:val="22"/>
        </w:rPr>
        <w:t>Tedez</w:t>
      </w:r>
      <w:r w:rsidRPr="009B5E44">
        <w:rPr>
          <w:szCs w:val="22"/>
        </w:rPr>
        <w:t xml:space="preserve"> sa má stanoviť nová bazálna hodnota PSA po 6 mesiacoch liečby </w:t>
      </w:r>
      <w:r w:rsidR="00562F98">
        <w:rPr>
          <w:szCs w:val="22"/>
        </w:rPr>
        <w:t>Tedez</w:t>
      </w:r>
      <w:r w:rsidRPr="009B5E44">
        <w:rPr>
          <w:szCs w:val="22"/>
        </w:rPr>
        <w:t xml:space="preserve">om. Potom sa odporúča monitorovať hodnoty PSA v pravidelných intervaloch. Každé potvrdené zvýšenie z najnižšej hladiny PSA počas liečby </w:t>
      </w:r>
      <w:r w:rsidR="006C7DB0">
        <w:rPr>
          <w:szCs w:val="22"/>
        </w:rPr>
        <w:t>Tedez</w:t>
      </w:r>
      <w:r w:rsidRPr="009B5E44">
        <w:rPr>
          <w:szCs w:val="22"/>
        </w:rPr>
        <w:t xml:space="preserve">om môže signalizovať prítomnosť rakoviny prostaty alebo nedodržiavanie liečby </w:t>
      </w:r>
      <w:r w:rsidR="00751B29">
        <w:rPr>
          <w:szCs w:val="22"/>
        </w:rPr>
        <w:t>Tedez</w:t>
      </w:r>
      <w:r w:rsidRPr="009B5E44">
        <w:rPr>
          <w:szCs w:val="22"/>
        </w:rPr>
        <w:t xml:space="preserve">om zo strany pacienta a je potrebné starostlivo ho vyhodnotiť, dokonca aj vtedy, ak sú namerané hodnoty stále v rozpätí referenčných hodnôt pre mužov, ktorí neužívajú inhibítor </w:t>
      </w:r>
      <w:r w:rsidRPr="009B5E44">
        <w:rPr>
          <w:snapToGrid w:val="0"/>
          <w:szCs w:val="22"/>
        </w:rPr>
        <w:t>5</w:t>
      </w:r>
      <w:r w:rsidRPr="009B5E44">
        <w:rPr>
          <w:snapToGrid w:val="0"/>
          <w:szCs w:val="22"/>
        </w:rPr>
        <w:noBreakHyphen/>
        <w:t>alfa</w:t>
      </w:r>
      <w:r w:rsidRPr="009B5E44">
        <w:rPr>
          <w:snapToGrid w:val="0"/>
          <w:szCs w:val="22"/>
        </w:rPr>
        <w:noBreakHyphen/>
        <w:t>reduktázy (pozri časť 5.1)</w:t>
      </w:r>
      <w:r w:rsidRPr="009B5E44">
        <w:rPr>
          <w:szCs w:val="22"/>
        </w:rPr>
        <w:t>. U pacienta užívajúceho dutasterid sa má hodnota PSA interpretovať na základe porovnania s jeho predchádzajúcimi hodnotami PSA.</w:t>
      </w:r>
    </w:p>
    <w:p w14:paraId="74502032" w14:textId="77777777" w:rsidR="00EE6E72" w:rsidRDefault="00EE6E72" w:rsidP="00424E40">
      <w:pPr>
        <w:rPr>
          <w:szCs w:val="22"/>
        </w:rPr>
      </w:pPr>
    </w:p>
    <w:p w14:paraId="40F00C9C" w14:textId="3EA639FA" w:rsidR="00EE6E72" w:rsidRDefault="0097628E" w:rsidP="00424E40">
      <w:pPr>
        <w:rPr>
          <w:szCs w:val="22"/>
        </w:rPr>
      </w:pPr>
      <w:r w:rsidRPr="009B5E44">
        <w:rPr>
          <w:szCs w:val="22"/>
        </w:rPr>
        <w:t xml:space="preserve">Liečba </w:t>
      </w:r>
      <w:r w:rsidR="00CC0E3B">
        <w:rPr>
          <w:szCs w:val="22"/>
        </w:rPr>
        <w:t>Tedez</w:t>
      </w:r>
      <w:r w:rsidR="00487B0F">
        <w:rPr>
          <w:szCs w:val="22"/>
        </w:rPr>
        <w:t>om</w:t>
      </w:r>
      <w:r w:rsidRPr="009B5E44">
        <w:rPr>
          <w:szCs w:val="22"/>
        </w:rPr>
        <w:t xml:space="preserve"> nebráni používať PSA ako pomôcku pri diagnostikovaní rakoviny prostaty po stanovení novej bazálnej hodnoty.</w:t>
      </w:r>
    </w:p>
    <w:p w14:paraId="54208C9F" w14:textId="77777777" w:rsidR="00EE6E72" w:rsidRDefault="00EE6E72" w:rsidP="00424E40">
      <w:pPr>
        <w:rPr>
          <w:szCs w:val="22"/>
        </w:rPr>
      </w:pPr>
    </w:p>
    <w:p w14:paraId="7FBF8254" w14:textId="0A0AF481" w:rsidR="00EE6E72" w:rsidRDefault="0097628E" w:rsidP="00424E40">
      <w:pPr>
        <w:keepNext/>
        <w:keepLines/>
        <w:rPr>
          <w:szCs w:val="22"/>
        </w:rPr>
      </w:pPr>
      <w:r w:rsidRPr="009B5E44">
        <w:rPr>
          <w:szCs w:val="22"/>
        </w:rPr>
        <w:t xml:space="preserve">Celkové sérové hladiny PSA sa vrátia do bazálnych hodnôt do 6 mesiacov po ukončení liečby. Pomer voľného k celkovému PSA zostáva nemenný aj napriek vplyvu </w:t>
      </w:r>
      <w:r w:rsidR="003956F9">
        <w:rPr>
          <w:szCs w:val="22"/>
        </w:rPr>
        <w:t>Tedez</w:t>
      </w:r>
      <w:r w:rsidRPr="009B5E44">
        <w:rPr>
          <w:szCs w:val="22"/>
        </w:rPr>
        <w:t xml:space="preserve">u. Ak lekári zvolia použitie voľného PSA ako </w:t>
      </w:r>
      <w:r w:rsidR="005408C8" w:rsidRPr="009B5E44">
        <w:rPr>
          <w:szCs w:val="22"/>
        </w:rPr>
        <w:t>p</w:t>
      </w:r>
      <w:r w:rsidR="005408C8">
        <w:rPr>
          <w:szCs w:val="22"/>
        </w:rPr>
        <w:t>rostriedok</w:t>
      </w:r>
      <w:r w:rsidR="005408C8" w:rsidRPr="009B5E44">
        <w:rPr>
          <w:szCs w:val="22"/>
        </w:rPr>
        <w:t xml:space="preserve"> </w:t>
      </w:r>
      <w:r w:rsidRPr="009B5E44">
        <w:rPr>
          <w:szCs w:val="22"/>
        </w:rPr>
        <w:t xml:space="preserve">pri detekcii rakoviny prostaty u mužov, ktorí podstupujú liečbu </w:t>
      </w:r>
      <w:r w:rsidR="00391D00">
        <w:rPr>
          <w:szCs w:val="22"/>
        </w:rPr>
        <w:t>Tedez</w:t>
      </w:r>
      <w:r w:rsidRPr="009B5E44">
        <w:rPr>
          <w:szCs w:val="22"/>
        </w:rPr>
        <w:t>om, úprava jeho hodnoty sa nejaví ako potrebná.</w:t>
      </w:r>
    </w:p>
    <w:p w14:paraId="70F7D729" w14:textId="77777777" w:rsidR="00EE6E72" w:rsidRDefault="00EE6E72" w:rsidP="00424E40">
      <w:pPr>
        <w:keepNext/>
        <w:keepLines/>
        <w:rPr>
          <w:szCs w:val="22"/>
        </w:rPr>
      </w:pPr>
    </w:p>
    <w:p w14:paraId="6F062977" w14:textId="29AA68FC" w:rsidR="00EE6E72" w:rsidRDefault="0097628E" w:rsidP="00424E40">
      <w:pPr>
        <w:keepNext/>
        <w:keepLines/>
        <w:rPr>
          <w:szCs w:val="22"/>
        </w:rPr>
      </w:pPr>
      <w:r w:rsidRPr="009B5E44">
        <w:rPr>
          <w:szCs w:val="22"/>
        </w:rPr>
        <w:t xml:space="preserve">U pacientov sa pred začiatkom liečby </w:t>
      </w:r>
      <w:r w:rsidR="00890335">
        <w:rPr>
          <w:szCs w:val="22"/>
        </w:rPr>
        <w:t>Tedez</w:t>
      </w:r>
      <w:r w:rsidRPr="009B5E44">
        <w:rPr>
          <w:szCs w:val="22"/>
        </w:rPr>
        <w:t>om a potom pravidelne počas liečby musí vykonať palpačné vyšetrenie konečníka, ako aj ďalšie vyšetrenia na rakovinu prostaty alebo iných stavov, ktoré môžu spôsobovať rovnaké príznaky aké má BH</w:t>
      </w:r>
      <w:r w:rsidR="00B5136C">
        <w:rPr>
          <w:szCs w:val="22"/>
        </w:rPr>
        <w:t>P</w:t>
      </w:r>
      <w:r w:rsidRPr="009B5E44">
        <w:rPr>
          <w:szCs w:val="22"/>
        </w:rPr>
        <w:t>.</w:t>
      </w:r>
    </w:p>
    <w:p w14:paraId="5A71B7E2" w14:textId="77777777" w:rsidR="00EE6E72" w:rsidRDefault="00EE6E72" w:rsidP="00424E40">
      <w:pPr>
        <w:rPr>
          <w:bCs/>
          <w:iCs/>
          <w:szCs w:val="22"/>
        </w:rPr>
      </w:pPr>
    </w:p>
    <w:p w14:paraId="57A84A78" w14:textId="77777777" w:rsidR="00EE6E72" w:rsidRDefault="0097628E" w:rsidP="00424E40">
      <w:pPr>
        <w:rPr>
          <w:bCs/>
          <w:i/>
          <w:szCs w:val="22"/>
        </w:rPr>
      </w:pPr>
      <w:r w:rsidRPr="009B5E44">
        <w:rPr>
          <w:bCs/>
          <w:i/>
          <w:szCs w:val="22"/>
        </w:rPr>
        <w:t>Kardiovaskulárne nežiaduce udalosti</w:t>
      </w:r>
    </w:p>
    <w:p w14:paraId="6E3DB09D" w14:textId="2B418754" w:rsidR="00EE6E72" w:rsidRDefault="0097628E" w:rsidP="00424E40">
      <w:pPr>
        <w:rPr>
          <w:bCs/>
          <w:iCs/>
          <w:szCs w:val="22"/>
        </w:rPr>
      </w:pPr>
      <w:r w:rsidRPr="009B5E44">
        <w:rPr>
          <w:bCs/>
          <w:iCs/>
          <w:szCs w:val="22"/>
        </w:rPr>
        <w:t>V dvoch štvorročných klinických štúdiách bola incidencia zlyhávania</w:t>
      </w:r>
      <w:r w:rsidR="005408C8">
        <w:rPr>
          <w:bCs/>
          <w:iCs/>
          <w:szCs w:val="22"/>
        </w:rPr>
        <w:t xml:space="preserve"> srdca</w:t>
      </w:r>
      <w:r w:rsidRPr="009B5E44">
        <w:rPr>
          <w:bCs/>
          <w:iCs/>
          <w:szCs w:val="22"/>
        </w:rPr>
        <w:t xml:space="preserve"> (kombinácia termínov hlásených udalostí, predovšetkým zlyhávanie</w:t>
      </w:r>
      <w:r w:rsidR="005408C8">
        <w:rPr>
          <w:bCs/>
          <w:iCs/>
          <w:szCs w:val="22"/>
        </w:rPr>
        <w:t xml:space="preserve"> srdca</w:t>
      </w:r>
      <w:r w:rsidRPr="009B5E44">
        <w:rPr>
          <w:bCs/>
          <w:iCs/>
          <w:szCs w:val="22"/>
        </w:rPr>
        <w:t xml:space="preserve"> a kongestívne zlyhávanie</w:t>
      </w:r>
      <w:r w:rsidR="005408C8">
        <w:rPr>
          <w:bCs/>
          <w:iCs/>
          <w:szCs w:val="22"/>
        </w:rPr>
        <w:t xml:space="preserve"> srdca</w:t>
      </w:r>
      <w:r w:rsidRPr="009B5E44">
        <w:rPr>
          <w:bCs/>
          <w:iCs/>
          <w:szCs w:val="22"/>
        </w:rPr>
        <w:t xml:space="preserve">) nepatrne vyššia medzi </w:t>
      </w:r>
      <w:r w:rsidR="005408C8">
        <w:rPr>
          <w:bCs/>
          <w:iCs/>
          <w:szCs w:val="22"/>
        </w:rPr>
        <w:t>účastníkmi</w:t>
      </w:r>
      <w:r w:rsidRPr="009B5E44">
        <w:rPr>
          <w:bCs/>
          <w:iCs/>
          <w:szCs w:val="22"/>
        </w:rPr>
        <w:t>, ktorí užívali kombináciu dutasterid a antagonista alfa</w:t>
      </w:r>
      <w:r w:rsidRPr="009B5E44">
        <w:rPr>
          <w:bCs/>
          <w:iCs/>
          <w:szCs w:val="22"/>
          <w:vertAlign w:val="subscript"/>
        </w:rPr>
        <w:t>1</w:t>
      </w:r>
      <w:r w:rsidRPr="009B5E44">
        <w:rPr>
          <w:bCs/>
          <w:iCs/>
          <w:szCs w:val="22"/>
        </w:rPr>
        <w:noBreakHyphen/>
        <w:t xml:space="preserve">adrenergických receptorov, predovšetkým tamsulozín, než medzi </w:t>
      </w:r>
      <w:r w:rsidR="007C65FB">
        <w:rPr>
          <w:bCs/>
          <w:iCs/>
          <w:szCs w:val="22"/>
        </w:rPr>
        <w:t>účastníkmi</w:t>
      </w:r>
      <w:r w:rsidRPr="009B5E44">
        <w:rPr>
          <w:bCs/>
          <w:iCs/>
          <w:szCs w:val="22"/>
        </w:rPr>
        <w:t xml:space="preserve">, ktorí kombináciu neužívali. </w:t>
      </w:r>
      <w:r w:rsidR="00F96447">
        <w:rPr>
          <w:bCs/>
          <w:iCs/>
          <w:szCs w:val="22"/>
        </w:rPr>
        <w:t>V</w:t>
      </w:r>
      <w:r w:rsidRPr="009B5E44">
        <w:rPr>
          <w:bCs/>
          <w:iCs/>
          <w:szCs w:val="22"/>
        </w:rPr>
        <w:t xml:space="preserve"> týchto klinických skúšaniach </w:t>
      </w:r>
      <w:r w:rsidR="00F96447">
        <w:rPr>
          <w:bCs/>
          <w:iCs/>
          <w:szCs w:val="22"/>
        </w:rPr>
        <w:t xml:space="preserve">však </w:t>
      </w:r>
      <w:r w:rsidRPr="009B5E44">
        <w:rPr>
          <w:bCs/>
          <w:iCs/>
          <w:szCs w:val="22"/>
        </w:rPr>
        <w:t xml:space="preserve">bola incidencia zlyhávania </w:t>
      </w:r>
      <w:r w:rsidR="00F96447">
        <w:rPr>
          <w:bCs/>
          <w:iCs/>
          <w:szCs w:val="22"/>
        </w:rPr>
        <w:t xml:space="preserve">srdca </w:t>
      </w:r>
      <w:r w:rsidRPr="009B5E44">
        <w:rPr>
          <w:bCs/>
          <w:iCs/>
          <w:szCs w:val="22"/>
        </w:rPr>
        <w:t xml:space="preserve">nižšia vo všetkých </w:t>
      </w:r>
      <w:r w:rsidR="00B5765E">
        <w:rPr>
          <w:bCs/>
          <w:iCs/>
          <w:szCs w:val="22"/>
        </w:rPr>
        <w:t xml:space="preserve">aktívne liečených </w:t>
      </w:r>
      <w:r w:rsidRPr="009B5E44">
        <w:rPr>
          <w:bCs/>
          <w:iCs/>
          <w:szCs w:val="22"/>
        </w:rPr>
        <w:t>skupinách  v porovnaní so skupinou s placebom a ďalšie údaje týkajúce sa dutasteridu alebo antagonistov alfa</w:t>
      </w:r>
      <w:r w:rsidRPr="009B5E44">
        <w:rPr>
          <w:bCs/>
          <w:iCs/>
          <w:szCs w:val="22"/>
          <w:vertAlign w:val="subscript"/>
        </w:rPr>
        <w:t>1</w:t>
      </w:r>
      <w:r w:rsidRPr="009B5E44">
        <w:rPr>
          <w:bCs/>
          <w:iCs/>
          <w:szCs w:val="22"/>
        </w:rPr>
        <w:noBreakHyphen/>
        <w:t>adrenergických receptorov nepodporujú záver o zvýšenom kardiovaskulárnom riziku (pozri časť 5.1).</w:t>
      </w:r>
    </w:p>
    <w:p w14:paraId="4FAD5AC4" w14:textId="77777777" w:rsidR="00EE6E72" w:rsidRDefault="00EE6E72" w:rsidP="00424E40">
      <w:pPr>
        <w:rPr>
          <w:szCs w:val="22"/>
        </w:rPr>
      </w:pPr>
    </w:p>
    <w:p w14:paraId="487FE20D" w14:textId="77777777" w:rsidR="00EE6E72" w:rsidRDefault="0097628E" w:rsidP="00424E40">
      <w:pPr>
        <w:keepNext/>
        <w:keepLines/>
        <w:rPr>
          <w:i/>
          <w:iCs/>
          <w:szCs w:val="22"/>
        </w:rPr>
      </w:pPr>
      <w:r w:rsidRPr="009B5E44">
        <w:rPr>
          <w:i/>
          <w:iCs/>
          <w:szCs w:val="22"/>
        </w:rPr>
        <w:t>Neoplázia prsníkov</w:t>
      </w:r>
    </w:p>
    <w:p w14:paraId="6D0FE62F" w14:textId="77777777" w:rsidR="00EE6E72" w:rsidRDefault="0097628E" w:rsidP="00424E40">
      <w:pPr>
        <w:keepNext/>
        <w:keepLines/>
        <w:rPr>
          <w:szCs w:val="22"/>
        </w:rPr>
      </w:pPr>
      <w:r w:rsidRPr="009B5E44">
        <w:rPr>
          <w:szCs w:val="22"/>
        </w:rPr>
        <w:t>U mužov, ktorí užívali dutasterid v klinických skúšaniach a v období po uvedení lieku na trh, bola zriedkavo hlásená rakovina prsníka. Epidemiologické štúdie však nepreukázali zvýšenie rizika vzniku rakoviny prsníka u mužov pri užívaní inhibítorov 5</w:t>
      </w:r>
      <w:r w:rsidRPr="009B5E44">
        <w:rPr>
          <w:szCs w:val="22"/>
        </w:rPr>
        <w:noBreakHyphen/>
        <w:t>alfa</w:t>
      </w:r>
      <w:r w:rsidRPr="009B5E44">
        <w:rPr>
          <w:szCs w:val="22"/>
        </w:rPr>
        <w:noBreakHyphen/>
        <w:t>reduktázy (pozri časť 5.1). Lekári majú poučiť svojich pacientov, aby okamžite hlásili akékoľvek zmeny v tkanive prsníka, ako sú hrčky alebo výtok z bradaviek.</w:t>
      </w:r>
    </w:p>
    <w:p w14:paraId="15FE94A2" w14:textId="77777777" w:rsidR="00EE6E72" w:rsidRDefault="00EE6E72" w:rsidP="00424E40">
      <w:pPr>
        <w:rPr>
          <w:szCs w:val="22"/>
        </w:rPr>
      </w:pPr>
    </w:p>
    <w:p w14:paraId="6298D28E" w14:textId="77777777" w:rsidR="00EE6E72" w:rsidRDefault="0097628E" w:rsidP="00424E40">
      <w:pPr>
        <w:rPr>
          <w:i/>
          <w:iCs/>
          <w:szCs w:val="22"/>
        </w:rPr>
      </w:pPr>
      <w:r w:rsidRPr="009B5E44">
        <w:rPr>
          <w:i/>
          <w:iCs/>
          <w:szCs w:val="22"/>
        </w:rPr>
        <w:t>Porucha funkcie obličiek</w:t>
      </w:r>
    </w:p>
    <w:p w14:paraId="1BD28B46" w14:textId="0BF169C0" w:rsidR="00EE6E72" w:rsidRDefault="0097628E" w:rsidP="00424E40">
      <w:pPr>
        <w:rPr>
          <w:szCs w:val="22"/>
        </w:rPr>
      </w:pPr>
      <w:r w:rsidRPr="009B5E44">
        <w:rPr>
          <w:szCs w:val="22"/>
        </w:rPr>
        <w:t>K liečbe pacientov s</w:t>
      </w:r>
      <w:r w:rsidR="00B5765E">
        <w:rPr>
          <w:szCs w:val="22"/>
        </w:rPr>
        <w:t>o</w:t>
      </w:r>
      <w:r w:rsidRPr="009B5E44">
        <w:rPr>
          <w:szCs w:val="22"/>
        </w:rPr>
        <w:t> </w:t>
      </w:r>
      <w:r w:rsidR="00B5765E">
        <w:rPr>
          <w:szCs w:val="22"/>
        </w:rPr>
        <w:t>závažnou</w:t>
      </w:r>
      <w:r w:rsidR="00B5765E" w:rsidRPr="009B5E44">
        <w:rPr>
          <w:szCs w:val="22"/>
        </w:rPr>
        <w:t xml:space="preserve"> </w:t>
      </w:r>
      <w:r w:rsidRPr="009B5E44">
        <w:rPr>
          <w:szCs w:val="22"/>
        </w:rPr>
        <w:t>poruchou funkcie obličiek (klírens kreatinínu nižší než 10 ml/min) sa má pristupovať s opatrnosťou, pretože s týmito pacientmi sa nevykonali žiadne štúdie.</w:t>
      </w:r>
    </w:p>
    <w:p w14:paraId="7735AF4E" w14:textId="77777777" w:rsidR="00EE6E72" w:rsidRDefault="00EE6E72" w:rsidP="00424E40">
      <w:pPr>
        <w:rPr>
          <w:szCs w:val="22"/>
        </w:rPr>
      </w:pPr>
    </w:p>
    <w:p w14:paraId="619329FC" w14:textId="77777777" w:rsidR="00EE6E72" w:rsidRDefault="0097628E" w:rsidP="00424E40">
      <w:pPr>
        <w:rPr>
          <w:i/>
          <w:iCs/>
          <w:szCs w:val="22"/>
        </w:rPr>
      </w:pPr>
      <w:r w:rsidRPr="009B5E44">
        <w:rPr>
          <w:i/>
          <w:iCs/>
          <w:szCs w:val="22"/>
        </w:rPr>
        <w:t>Hypotenzia</w:t>
      </w:r>
    </w:p>
    <w:p w14:paraId="65BEA30D" w14:textId="77777777" w:rsidR="00EE6E72" w:rsidRDefault="0097628E" w:rsidP="00424E40">
      <w:pPr>
        <w:rPr>
          <w:szCs w:val="22"/>
        </w:rPr>
      </w:pPr>
      <w:r w:rsidRPr="009B5E44">
        <w:rPr>
          <w:szCs w:val="22"/>
        </w:rPr>
        <w:t>Ortostatická: Tak ako pri iných antagonistoch alfa</w:t>
      </w:r>
      <w:r w:rsidRPr="009B5E44">
        <w:rPr>
          <w:szCs w:val="22"/>
          <w:vertAlign w:val="subscript"/>
        </w:rPr>
        <w:t>1</w:t>
      </w:r>
      <w:r w:rsidRPr="009B5E44">
        <w:rPr>
          <w:szCs w:val="22"/>
        </w:rPr>
        <w:noBreakHyphen/>
        <w:t xml:space="preserve">adrenergických receptorov, aj počas liečby tamsulozínom sa môže znížiť krvný tlak, následkom čoho sa môže zriedkavo vyskytnúť synkopa. Pacienti, ktorí začínajú liečbu </w:t>
      </w:r>
      <w:r w:rsidR="008A0CA2">
        <w:rPr>
          <w:szCs w:val="22"/>
        </w:rPr>
        <w:t>Tedez</w:t>
      </w:r>
      <w:r w:rsidRPr="009B5E44">
        <w:rPr>
          <w:szCs w:val="22"/>
        </w:rPr>
        <w:t>om, majú byť upozornení, aby si pri začiatočných príznakoch ortostatickej hypotenzie (závrat, slabosť) sadli alebo ľahli, kým príznaky nevymiznú.</w:t>
      </w:r>
    </w:p>
    <w:p w14:paraId="5D822940" w14:textId="77777777" w:rsidR="00EE6E72" w:rsidRDefault="00EE6E72" w:rsidP="00424E40">
      <w:pPr>
        <w:rPr>
          <w:szCs w:val="22"/>
        </w:rPr>
      </w:pPr>
    </w:p>
    <w:p w14:paraId="65755BEE" w14:textId="77777777" w:rsidR="00EE6E72" w:rsidRDefault="0097628E" w:rsidP="00424E40">
      <w:pPr>
        <w:rPr>
          <w:szCs w:val="22"/>
        </w:rPr>
      </w:pPr>
      <w:r w:rsidRPr="009B5E44">
        <w:rPr>
          <w:szCs w:val="22"/>
        </w:rPr>
        <w:lastRenderedPageBreak/>
        <w:t>Pacient liečený antagonistom alfa</w:t>
      </w:r>
      <w:r w:rsidRPr="009B5E44">
        <w:rPr>
          <w:szCs w:val="22"/>
          <w:vertAlign w:val="subscript"/>
        </w:rPr>
        <w:t>1</w:t>
      </w:r>
      <w:r w:rsidRPr="009B5E44">
        <w:rPr>
          <w:szCs w:val="22"/>
        </w:rPr>
        <w:noBreakHyphen/>
        <w:t>adrenergických receptorov musí byť pred začatím užívania inhibítorov PDE5 hemodynamicky stabilizovaný, aby sa minimalizovala možnosť vzniku posturálnej hypotenzie.</w:t>
      </w:r>
    </w:p>
    <w:p w14:paraId="6254B7F0" w14:textId="77777777" w:rsidR="00EE6E72" w:rsidRDefault="0097628E" w:rsidP="00424E40">
      <w:pPr>
        <w:rPr>
          <w:szCs w:val="22"/>
        </w:rPr>
      </w:pPr>
      <w:r w:rsidRPr="009B5E44">
        <w:rPr>
          <w:szCs w:val="22"/>
        </w:rPr>
        <w:t>Symptomatická: Odporúča sa obozretnosť, keď sa antagonisty alfa</w:t>
      </w:r>
      <w:r w:rsidRPr="009B5E44">
        <w:rPr>
          <w:szCs w:val="22"/>
          <w:vertAlign w:val="subscript"/>
        </w:rPr>
        <w:t>1</w:t>
      </w:r>
      <w:r w:rsidRPr="009B5E44">
        <w:rPr>
          <w:szCs w:val="22"/>
        </w:rPr>
        <w:noBreakHyphen/>
        <w:t>adrenergických receptorov vrátane tamsulozínu podávajú súbežne s inhibítormi PDE5 (napr. sildenafil, tadalafil, vardenafil). Tak antagonisty alfa</w:t>
      </w:r>
      <w:r w:rsidRPr="009B5E44">
        <w:rPr>
          <w:szCs w:val="22"/>
          <w:vertAlign w:val="subscript"/>
        </w:rPr>
        <w:t>1</w:t>
      </w:r>
      <w:r w:rsidRPr="009B5E44">
        <w:rPr>
          <w:szCs w:val="22"/>
        </w:rPr>
        <w:noBreakHyphen/>
        <w:t>adrenergických receptorov, ako aj inhibítory PDE5 sú vazodilatanciami, ktoré môžu znižovať krvný tlak. Súbežné použitie týchto dvoch liekových skupín môže potenciálne spôsobiť symptomatickú hypotenziu (pozri časť 4.5).</w:t>
      </w:r>
    </w:p>
    <w:p w14:paraId="67216367" w14:textId="77777777" w:rsidR="00EE6E72" w:rsidRDefault="00EE6E72" w:rsidP="00424E40">
      <w:pPr>
        <w:rPr>
          <w:szCs w:val="22"/>
        </w:rPr>
      </w:pPr>
    </w:p>
    <w:p w14:paraId="06EF51DE" w14:textId="77777777" w:rsidR="00EE6E72" w:rsidRDefault="0097628E" w:rsidP="00424E40">
      <w:pPr>
        <w:pStyle w:val="Zkladntext3"/>
        <w:rPr>
          <w:rFonts w:ascii="Times New Roman" w:hAnsi="Times New Roman"/>
          <w:color w:val="auto"/>
          <w:sz w:val="22"/>
          <w:szCs w:val="22"/>
        </w:rPr>
      </w:pPr>
      <w:r w:rsidRPr="009B5E44">
        <w:rPr>
          <w:rFonts w:ascii="Times New Roman" w:hAnsi="Times New Roman"/>
          <w:i/>
          <w:iCs/>
          <w:color w:val="auto"/>
          <w:sz w:val="22"/>
          <w:szCs w:val="22"/>
        </w:rPr>
        <w:t>Peroperačný syndróm vlajúcej dúhovky</w:t>
      </w:r>
      <w:r w:rsidR="0074791C">
        <w:rPr>
          <w:rFonts w:ascii="Times New Roman" w:hAnsi="Times New Roman"/>
          <w:i/>
          <w:iCs/>
          <w:color w:val="auto"/>
          <w:sz w:val="22"/>
          <w:szCs w:val="22"/>
        </w:rPr>
        <w:t xml:space="preserve"> (IFIS)</w:t>
      </w:r>
    </w:p>
    <w:p w14:paraId="26247742" w14:textId="77777777" w:rsidR="00EE6E72" w:rsidRDefault="0097628E" w:rsidP="00424E40">
      <w:pPr>
        <w:pStyle w:val="Zkladntext3"/>
        <w:rPr>
          <w:rFonts w:ascii="Times New Roman" w:hAnsi="Times New Roman"/>
          <w:color w:val="auto"/>
          <w:sz w:val="22"/>
          <w:szCs w:val="22"/>
        </w:rPr>
      </w:pPr>
      <w:r w:rsidRPr="009B5E44">
        <w:rPr>
          <w:rFonts w:ascii="Times New Roman" w:hAnsi="Times New Roman"/>
          <w:color w:val="auto"/>
          <w:sz w:val="22"/>
          <w:szCs w:val="22"/>
        </w:rPr>
        <w:t>U niektorých pacientov teraz alebo v minulosti liečených tamsulozínom sa počas operácie sivého zákalu pozoroval peroperačný syndróm vlajúcej dúhovky (</w:t>
      </w:r>
      <w:r w:rsidRPr="009B5E44">
        <w:rPr>
          <w:rFonts w:ascii="Times New Roman" w:hAnsi="Times New Roman"/>
          <w:bCs/>
          <w:color w:val="auto"/>
          <w:sz w:val="22"/>
          <w:szCs w:val="22"/>
        </w:rPr>
        <w:t>Intraoperative Floppy Iris Syndrome,</w:t>
      </w:r>
      <w:r w:rsidRPr="009B5E44">
        <w:rPr>
          <w:rFonts w:ascii="Times New Roman" w:hAnsi="Times New Roman"/>
          <w:color w:val="auto"/>
          <w:sz w:val="22"/>
          <w:szCs w:val="22"/>
        </w:rPr>
        <w:t xml:space="preserve"> IFIS, variant syndrómu úzkej zrenice). IFIS môže zvýšiť riziko očných komplikácií počas operácie a po nej. Neodporúča sa začínať liečbu </w:t>
      </w:r>
      <w:r w:rsidR="00C24968">
        <w:rPr>
          <w:rFonts w:ascii="Times New Roman" w:hAnsi="Times New Roman"/>
          <w:color w:val="auto"/>
          <w:sz w:val="22"/>
          <w:szCs w:val="22"/>
        </w:rPr>
        <w:t>Tedez</w:t>
      </w:r>
      <w:r w:rsidRPr="009B5E44">
        <w:rPr>
          <w:rFonts w:ascii="Times New Roman" w:hAnsi="Times New Roman"/>
          <w:color w:val="auto"/>
          <w:sz w:val="22"/>
          <w:szCs w:val="22"/>
        </w:rPr>
        <w:t>om u pacientov, u ktorých je naplánovaná operácia sivého zákalu.</w:t>
      </w:r>
    </w:p>
    <w:p w14:paraId="5FFFEF00" w14:textId="77777777" w:rsidR="00EE6E72" w:rsidRDefault="00EE6E72" w:rsidP="00424E40">
      <w:pPr>
        <w:rPr>
          <w:szCs w:val="22"/>
        </w:rPr>
      </w:pPr>
    </w:p>
    <w:p w14:paraId="7880AC89" w14:textId="77777777" w:rsidR="00EE6E72" w:rsidRDefault="0097628E" w:rsidP="00424E40">
      <w:pPr>
        <w:rPr>
          <w:szCs w:val="22"/>
        </w:rPr>
      </w:pPr>
      <w:r w:rsidRPr="009B5E44">
        <w:rPr>
          <w:szCs w:val="22"/>
        </w:rPr>
        <w:t xml:space="preserve">Počas predoperačného vyšetrenia majú oftalmochirurgovia a operačné tímy stanoviť, či pacienti určení na operáciu sivého zákalu sú alebo boli liečení </w:t>
      </w:r>
      <w:r w:rsidR="00F542CD">
        <w:rPr>
          <w:szCs w:val="22"/>
        </w:rPr>
        <w:t>Tedez</w:t>
      </w:r>
      <w:r w:rsidRPr="009B5E44">
        <w:rPr>
          <w:szCs w:val="22"/>
        </w:rPr>
        <w:t>om, aby sa zabezpečili príslušné opatrenia, ktoré budú vhodné na manažment IFIS počas operácie.</w:t>
      </w:r>
    </w:p>
    <w:p w14:paraId="7B68064B" w14:textId="77777777" w:rsidR="00EE6E72" w:rsidRDefault="00EE6E72" w:rsidP="00424E40">
      <w:pPr>
        <w:rPr>
          <w:szCs w:val="22"/>
        </w:rPr>
      </w:pPr>
    </w:p>
    <w:p w14:paraId="60C65545" w14:textId="77777777" w:rsidR="00EE6E72" w:rsidRDefault="0097628E" w:rsidP="00424E40">
      <w:pPr>
        <w:rPr>
          <w:szCs w:val="22"/>
        </w:rPr>
      </w:pPr>
      <w:r w:rsidRPr="009B5E44">
        <w:rPr>
          <w:szCs w:val="22"/>
        </w:rPr>
        <w:t>Prerušenie užívania tamsulozínu 1</w:t>
      </w:r>
      <w:r w:rsidRPr="009B5E44">
        <w:rPr>
          <w:szCs w:val="22"/>
        </w:rPr>
        <w:noBreakHyphen/>
        <w:t>2 týždne pred operáciou sivého zákalu sa v zásade považuje za prospešné, no prínos a dĺžka požadovaného ukončenia liečby pred operáciou sivého zákalu sa dosiaľ nestanovili.</w:t>
      </w:r>
    </w:p>
    <w:p w14:paraId="33C212CE" w14:textId="77777777" w:rsidR="00EE6E72" w:rsidRDefault="00EE6E72" w:rsidP="00424E40">
      <w:pPr>
        <w:rPr>
          <w:szCs w:val="22"/>
        </w:rPr>
      </w:pPr>
    </w:p>
    <w:p w14:paraId="37584167" w14:textId="77777777" w:rsidR="00EE6E72" w:rsidRDefault="0097628E" w:rsidP="00424E40">
      <w:pPr>
        <w:rPr>
          <w:i/>
          <w:iCs/>
          <w:szCs w:val="22"/>
        </w:rPr>
      </w:pPr>
      <w:r w:rsidRPr="009B5E44">
        <w:rPr>
          <w:i/>
          <w:iCs/>
          <w:szCs w:val="22"/>
        </w:rPr>
        <w:t>Vytekajúce kapsuly</w:t>
      </w:r>
    </w:p>
    <w:p w14:paraId="4FD1DAB8" w14:textId="77777777" w:rsidR="00EE6E72" w:rsidRDefault="0097628E" w:rsidP="00424E40">
      <w:pPr>
        <w:rPr>
          <w:szCs w:val="22"/>
        </w:rPr>
      </w:pPr>
      <w:r w:rsidRPr="009B5E44">
        <w:rPr>
          <w:szCs w:val="22"/>
        </w:rPr>
        <w:t>Dutasterid sa vstrebáva cez kožu, a preto sa ženy, deti a dospievajúci musia vyhnúť kontaktu s vytekajúcimi kapsulami (pozri časť 4.6). Ak došlo ku kontaktu s vytekajúcimi kapsulami, miesto kontaktu sa musí okamžite umyť mydlom a vodou.</w:t>
      </w:r>
    </w:p>
    <w:p w14:paraId="40C09791" w14:textId="77777777" w:rsidR="00EE6E72" w:rsidRDefault="00EE6E72" w:rsidP="00424E40">
      <w:pPr>
        <w:rPr>
          <w:szCs w:val="22"/>
        </w:rPr>
      </w:pPr>
    </w:p>
    <w:p w14:paraId="37835D88" w14:textId="77777777" w:rsidR="00EE6E72" w:rsidRDefault="0097628E" w:rsidP="00424E40">
      <w:pPr>
        <w:rPr>
          <w:i/>
          <w:szCs w:val="22"/>
        </w:rPr>
      </w:pPr>
      <w:r w:rsidRPr="009B5E44">
        <w:rPr>
          <w:i/>
          <w:szCs w:val="22"/>
        </w:rPr>
        <w:t>Inhibítory CYP3A4 a CYP2D6</w:t>
      </w:r>
    </w:p>
    <w:p w14:paraId="45A80BAA" w14:textId="77777777" w:rsidR="00EE6E72" w:rsidRDefault="0097628E" w:rsidP="00424E40">
      <w:pPr>
        <w:rPr>
          <w:szCs w:val="22"/>
        </w:rPr>
      </w:pPr>
      <w:r w:rsidRPr="009B5E44">
        <w:rPr>
          <w:szCs w:val="22"/>
        </w:rPr>
        <w:t>Súbežné podávanie tamsulozíniumchloridu so silnými inhibítormi CYP3A4 (napr. ketokonazol) alebo, v menšej miere, so silnými inhibítormi CYP2D6 (napr. paroxetín) môže zvýšiť expozíciu tamsulozínu (pozri časť 4.5). Tamsulozíniumchlorid sa preto neodporúča u pacientov, ktorí užívajú silný inhibítor CYP3A4 a má sa používať opatrne u pacientov, ktorí užívajú stredne silný inhibítor CYP3A4, silný alebo stredne silný inhibítor CYP2D6, kombináciu inhibítora CYP3A4 a inhibítora CYP2D6, alebo u pacientov, o ktorých je známe, že sú pomalými metabolizátormi CYP2D6.</w:t>
      </w:r>
    </w:p>
    <w:p w14:paraId="5AD449C1" w14:textId="77777777" w:rsidR="00EE6E72" w:rsidRDefault="00EE6E72" w:rsidP="00424E40">
      <w:pPr>
        <w:rPr>
          <w:szCs w:val="22"/>
        </w:rPr>
      </w:pPr>
    </w:p>
    <w:p w14:paraId="1D1E5884" w14:textId="77777777" w:rsidR="00EE6E72" w:rsidRDefault="0097628E" w:rsidP="00424E40">
      <w:pPr>
        <w:rPr>
          <w:i/>
          <w:iCs/>
          <w:szCs w:val="22"/>
        </w:rPr>
      </w:pPr>
      <w:r w:rsidRPr="009B5E44">
        <w:rPr>
          <w:i/>
          <w:iCs/>
          <w:szCs w:val="22"/>
        </w:rPr>
        <w:t>Porucha funkcie pečene</w:t>
      </w:r>
    </w:p>
    <w:p w14:paraId="30368CE8" w14:textId="32E4A3E6" w:rsidR="00EE6E72" w:rsidRDefault="00D91136" w:rsidP="00424E40">
      <w:pPr>
        <w:rPr>
          <w:szCs w:val="22"/>
        </w:rPr>
      </w:pPr>
      <w:r>
        <w:rPr>
          <w:szCs w:val="22"/>
        </w:rPr>
        <w:t>Dutasterid/tamsulozí</w:t>
      </w:r>
      <w:r w:rsidR="00EE6E72">
        <w:rPr>
          <w:szCs w:val="22"/>
        </w:rPr>
        <w:t>n</w:t>
      </w:r>
      <w:r w:rsidR="00424E40">
        <w:rPr>
          <w:szCs w:val="22"/>
        </w:rPr>
        <w:t xml:space="preserve"> </w:t>
      </w:r>
      <w:r w:rsidR="0097628E" w:rsidRPr="009B5E44">
        <w:rPr>
          <w:szCs w:val="22"/>
        </w:rPr>
        <w:t xml:space="preserve">sa neskúmal u pacientov s ochorením pečene. </w:t>
      </w:r>
      <w:r w:rsidR="00993962">
        <w:rPr>
          <w:szCs w:val="22"/>
        </w:rPr>
        <w:t>Tedez</w:t>
      </w:r>
      <w:r w:rsidR="0097628E" w:rsidRPr="009B5E44">
        <w:rPr>
          <w:szCs w:val="22"/>
        </w:rPr>
        <w:t xml:space="preserve"> sa má podávať s opatrnosťou pacientom s miernou až stredne </w:t>
      </w:r>
      <w:r w:rsidR="00B5765E">
        <w:rPr>
          <w:szCs w:val="22"/>
        </w:rPr>
        <w:t xml:space="preserve">závažnou </w:t>
      </w:r>
      <w:r w:rsidR="0097628E" w:rsidRPr="009B5E44">
        <w:rPr>
          <w:szCs w:val="22"/>
        </w:rPr>
        <w:t>poruchou funkcie pečene (pozri časť 4.2, časť 4.3 a časť 5.2).</w:t>
      </w:r>
    </w:p>
    <w:p w14:paraId="37C868AA" w14:textId="77777777" w:rsidR="00EE6E72" w:rsidRDefault="00EE6E72" w:rsidP="00424E40">
      <w:pPr>
        <w:rPr>
          <w:szCs w:val="22"/>
        </w:rPr>
      </w:pPr>
    </w:p>
    <w:p w14:paraId="1E640712" w14:textId="77777777" w:rsidR="00EE6E72" w:rsidRDefault="000D2494" w:rsidP="00424E40">
      <w:pPr>
        <w:rPr>
          <w:i/>
          <w:iCs/>
          <w:szCs w:val="22"/>
        </w:rPr>
      </w:pPr>
      <w:r>
        <w:rPr>
          <w:i/>
          <w:iCs/>
          <w:szCs w:val="22"/>
        </w:rPr>
        <w:t>Sodík</w:t>
      </w:r>
    </w:p>
    <w:p w14:paraId="7E6FF1B0" w14:textId="77777777" w:rsidR="00B5765E" w:rsidRDefault="00B5765E" w:rsidP="00B5765E">
      <w:r>
        <w:t>Tento liek obsahuje menej ako 1 mmol sodíka (23 mg) v kapsule, t.j. v podstate zanedbateľné množstvo sodíka.</w:t>
      </w:r>
    </w:p>
    <w:p w14:paraId="071E761C" w14:textId="77777777" w:rsidR="00812D16" w:rsidRPr="00BF5AB0" w:rsidRDefault="00812D16" w:rsidP="00487B0F">
      <w:pPr>
        <w:spacing w:line="240" w:lineRule="auto"/>
        <w:outlineLvl w:val="0"/>
      </w:pPr>
    </w:p>
    <w:p w14:paraId="36A5C260" w14:textId="77777777" w:rsidR="00812D16" w:rsidRPr="00891D76" w:rsidRDefault="00B81AFC" w:rsidP="00487B0F">
      <w:pPr>
        <w:keepNext/>
        <w:numPr>
          <w:ilvl w:val="1"/>
          <w:numId w:val="6"/>
        </w:numPr>
        <w:spacing w:line="240" w:lineRule="auto"/>
        <w:outlineLvl w:val="0"/>
      </w:pPr>
      <w:r w:rsidRPr="00BF5AB0">
        <w:rPr>
          <w:b/>
        </w:rPr>
        <w:t>Liekové a iné interakcie</w:t>
      </w:r>
    </w:p>
    <w:p w14:paraId="101EAB2E" w14:textId="77777777" w:rsidR="00812D16" w:rsidRPr="0082445A" w:rsidRDefault="00812D16" w:rsidP="00487B0F">
      <w:pPr>
        <w:keepNext/>
        <w:spacing w:line="240" w:lineRule="auto"/>
      </w:pPr>
    </w:p>
    <w:p w14:paraId="0399B013" w14:textId="32ECA3F1" w:rsidR="00EE6E72" w:rsidRDefault="0097628E" w:rsidP="00424E40">
      <w:pPr>
        <w:keepNext/>
        <w:keepLines/>
        <w:rPr>
          <w:bCs/>
          <w:iCs/>
          <w:szCs w:val="22"/>
        </w:rPr>
      </w:pPr>
      <w:r w:rsidRPr="009B5E44">
        <w:rPr>
          <w:bCs/>
          <w:iCs/>
          <w:szCs w:val="22"/>
        </w:rPr>
        <w:t xml:space="preserve">Pre </w:t>
      </w:r>
      <w:r w:rsidR="00723675">
        <w:rPr>
          <w:bCs/>
          <w:iCs/>
          <w:szCs w:val="22"/>
        </w:rPr>
        <w:t>kombináciu</w:t>
      </w:r>
      <w:r w:rsidR="003A44A2">
        <w:rPr>
          <w:szCs w:val="22"/>
        </w:rPr>
        <w:t>dutasterid/tamsulo</w:t>
      </w:r>
      <w:r w:rsidR="0079752F">
        <w:rPr>
          <w:szCs w:val="22"/>
        </w:rPr>
        <w:t>zí</w:t>
      </w:r>
      <w:r w:rsidR="003A44A2">
        <w:rPr>
          <w:szCs w:val="22"/>
        </w:rPr>
        <w:t>n</w:t>
      </w:r>
      <w:r w:rsidRPr="009B5E44">
        <w:rPr>
          <w:szCs w:val="22"/>
        </w:rPr>
        <w:t xml:space="preserve"> sa nevykonali žiadne štúdie interakcií</w:t>
      </w:r>
      <w:r w:rsidRPr="009B5E44">
        <w:rPr>
          <w:bCs/>
          <w:iCs/>
          <w:szCs w:val="22"/>
        </w:rPr>
        <w:t>. Nasledovné údaje odrážajú informácie dostupné pre jednotlivé zložky.</w:t>
      </w:r>
    </w:p>
    <w:p w14:paraId="3A046A65" w14:textId="77777777" w:rsidR="00EE6E72" w:rsidRDefault="00EE6E72" w:rsidP="00424E40">
      <w:pPr>
        <w:rPr>
          <w:bCs/>
          <w:iCs/>
          <w:szCs w:val="22"/>
        </w:rPr>
      </w:pPr>
    </w:p>
    <w:p w14:paraId="567285F3" w14:textId="77777777" w:rsidR="00EE6E72" w:rsidRDefault="0097628E" w:rsidP="00424E40">
      <w:pPr>
        <w:keepNext/>
        <w:keepLines/>
        <w:rPr>
          <w:bCs/>
          <w:i/>
          <w:szCs w:val="22"/>
        </w:rPr>
      </w:pPr>
      <w:r w:rsidRPr="009B5E44">
        <w:rPr>
          <w:bCs/>
          <w:i/>
          <w:szCs w:val="22"/>
        </w:rPr>
        <w:lastRenderedPageBreak/>
        <w:t>Dutasterid</w:t>
      </w:r>
    </w:p>
    <w:p w14:paraId="02898C47" w14:textId="77777777" w:rsidR="00EE6E72" w:rsidRDefault="0097628E" w:rsidP="00424E40">
      <w:pPr>
        <w:keepNext/>
        <w:keepLines/>
        <w:rPr>
          <w:szCs w:val="22"/>
        </w:rPr>
      </w:pPr>
      <w:r w:rsidRPr="009B5E44">
        <w:rPr>
          <w:szCs w:val="22"/>
        </w:rPr>
        <w:t>Informáciu o znížení sérových hladín PSA počas liečby dutasteridom a odporúčania týkajúce sa detekcie rakoviny prostaty, pozri časť 4.4.</w:t>
      </w:r>
    </w:p>
    <w:p w14:paraId="71D740D4" w14:textId="77777777" w:rsidR="00EE6E72" w:rsidRDefault="00EE6E72" w:rsidP="00424E40">
      <w:pPr>
        <w:rPr>
          <w:szCs w:val="22"/>
        </w:rPr>
      </w:pPr>
    </w:p>
    <w:p w14:paraId="69DEF855" w14:textId="3B5A2E2A" w:rsidR="00EE6E72" w:rsidRDefault="0097628E" w:rsidP="00424E40">
      <w:pPr>
        <w:pStyle w:val="Nadpis2"/>
        <w:rPr>
          <w:rFonts w:ascii="Times New Roman" w:hAnsi="Times New Roman"/>
          <w:sz w:val="22"/>
          <w:szCs w:val="22"/>
        </w:rPr>
      </w:pPr>
      <w:r w:rsidRPr="009B5E44">
        <w:rPr>
          <w:rFonts w:ascii="Times New Roman" w:hAnsi="Times New Roman"/>
          <w:sz w:val="22"/>
          <w:szCs w:val="22"/>
        </w:rPr>
        <w:t>Účinky iných lie</w:t>
      </w:r>
      <w:r w:rsidR="00723675">
        <w:rPr>
          <w:rFonts w:ascii="Times New Roman" w:hAnsi="Times New Roman"/>
          <w:sz w:val="22"/>
          <w:szCs w:val="22"/>
        </w:rPr>
        <w:t>čiv</w:t>
      </w:r>
      <w:r w:rsidRPr="009B5E44">
        <w:rPr>
          <w:rFonts w:ascii="Times New Roman" w:hAnsi="Times New Roman"/>
          <w:sz w:val="22"/>
          <w:szCs w:val="22"/>
        </w:rPr>
        <w:t xml:space="preserve"> na farmakokinetiku dutasteridu</w:t>
      </w:r>
    </w:p>
    <w:p w14:paraId="29E9B444" w14:textId="55B552F2" w:rsidR="00EE6E72" w:rsidRDefault="0097628E" w:rsidP="00424E40">
      <w:pPr>
        <w:pStyle w:val="Pta"/>
        <w:tabs>
          <w:tab w:val="clear" w:pos="4320"/>
          <w:tab w:val="clear" w:pos="8640"/>
        </w:tabs>
        <w:rPr>
          <w:rFonts w:ascii="Times New Roman" w:hAnsi="Times New Roman"/>
          <w:sz w:val="22"/>
          <w:szCs w:val="22"/>
        </w:rPr>
      </w:pPr>
      <w:r w:rsidRPr="009B5E44">
        <w:rPr>
          <w:rFonts w:ascii="Times New Roman" w:hAnsi="Times New Roman"/>
          <w:sz w:val="22"/>
          <w:szCs w:val="22"/>
        </w:rPr>
        <w:t xml:space="preserve">Dutasterid </w:t>
      </w:r>
      <w:r w:rsidR="00723675">
        <w:rPr>
          <w:rFonts w:ascii="Times New Roman" w:hAnsi="Times New Roman"/>
          <w:sz w:val="22"/>
          <w:szCs w:val="22"/>
        </w:rPr>
        <w:t>sa eliminuje</w:t>
      </w:r>
      <w:r w:rsidRPr="009B5E44">
        <w:rPr>
          <w:rFonts w:ascii="Times New Roman" w:hAnsi="Times New Roman"/>
          <w:sz w:val="22"/>
          <w:szCs w:val="22"/>
        </w:rPr>
        <w:t xml:space="preserve"> prevažne metaboli</w:t>
      </w:r>
      <w:r w:rsidR="00723675">
        <w:rPr>
          <w:rFonts w:ascii="Times New Roman" w:hAnsi="Times New Roman"/>
          <w:sz w:val="22"/>
          <w:szCs w:val="22"/>
        </w:rPr>
        <w:t>záciou</w:t>
      </w:r>
      <w:r w:rsidRPr="009B5E44">
        <w:rPr>
          <w:rFonts w:ascii="Times New Roman" w:hAnsi="Times New Roman"/>
          <w:sz w:val="22"/>
          <w:szCs w:val="22"/>
        </w:rPr>
        <w:t xml:space="preserve">. </w:t>
      </w:r>
      <w:r w:rsidRPr="009B5E44">
        <w:rPr>
          <w:rFonts w:ascii="Times New Roman" w:hAnsi="Times New Roman"/>
          <w:i/>
          <w:sz w:val="22"/>
          <w:szCs w:val="22"/>
        </w:rPr>
        <w:t xml:space="preserve">In vitro </w:t>
      </w:r>
      <w:r w:rsidRPr="009B5E44">
        <w:rPr>
          <w:rFonts w:ascii="Times New Roman" w:hAnsi="Times New Roman"/>
          <w:sz w:val="22"/>
          <w:szCs w:val="22"/>
        </w:rPr>
        <w:t>štúdie ukazujú, že tento metabolizmus je katalyzovaný prostredníctvom CYP3A4 a CYP3A5. Neuskutočnili sa žiadne formálne interakčné štúdie s potentnými inhibítormi CYP3A4. V populačnej farmakokinetickej štúdii však boli sérové koncentrácie dutasteridu v priemere 1,6</w:t>
      </w:r>
      <w:r w:rsidRPr="009B5E44">
        <w:rPr>
          <w:rFonts w:ascii="Times New Roman" w:hAnsi="Times New Roman"/>
          <w:sz w:val="22"/>
          <w:szCs w:val="22"/>
        </w:rPr>
        <w:noBreakHyphen/>
        <w:t> až 1,8</w:t>
      </w:r>
      <w:r w:rsidRPr="009B5E44">
        <w:rPr>
          <w:rFonts w:ascii="Times New Roman" w:hAnsi="Times New Roman"/>
          <w:sz w:val="22"/>
          <w:szCs w:val="22"/>
        </w:rPr>
        <w:noBreakHyphen/>
        <w:t>násobne vyššie u malého počtu pacientov liečených sú</w:t>
      </w:r>
      <w:r w:rsidR="00723675">
        <w:rPr>
          <w:rFonts w:ascii="Times New Roman" w:hAnsi="Times New Roman"/>
          <w:sz w:val="22"/>
          <w:szCs w:val="22"/>
        </w:rPr>
        <w:t>bežne</w:t>
      </w:r>
      <w:r w:rsidRPr="009B5E44">
        <w:rPr>
          <w:rFonts w:ascii="Times New Roman" w:hAnsi="Times New Roman"/>
          <w:sz w:val="22"/>
          <w:szCs w:val="22"/>
        </w:rPr>
        <w:t xml:space="preserve"> verapamilom alebo diltiazemom (stredne silné inhibítory CYP3A4 a inhibítory P</w:t>
      </w:r>
      <w:r w:rsidRPr="009B5E44">
        <w:rPr>
          <w:rFonts w:ascii="Times New Roman" w:hAnsi="Times New Roman"/>
          <w:sz w:val="22"/>
          <w:szCs w:val="22"/>
        </w:rPr>
        <w:noBreakHyphen/>
        <w:t>glykoproteínu) ako u iných pacientov.</w:t>
      </w:r>
    </w:p>
    <w:p w14:paraId="05B550F3" w14:textId="77777777" w:rsidR="0097628E" w:rsidRPr="009B5E44" w:rsidRDefault="0097628E" w:rsidP="00487B0F">
      <w:pPr>
        <w:pStyle w:val="Pta"/>
        <w:tabs>
          <w:tab w:val="clear" w:pos="4320"/>
          <w:tab w:val="clear" w:pos="8640"/>
        </w:tabs>
        <w:rPr>
          <w:rFonts w:ascii="Times New Roman" w:hAnsi="Times New Roman"/>
          <w:sz w:val="22"/>
          <w:szCs w:val="22"/>
        </w:rPr>
      </w:pPr>
    </w:p>
    <w:p w14:paraId="17EF2F41" w14:textId="1CAF8EDE" w:rsidR="00EE6E72" w:rsidRDefault="0097628E" w:rsidP="00424E40">
      <w:pPr>
        <w:pStyle w:val="Pta"/>
        <w:keepNext/>
        <w:keepLines/>
        <w:tabs>
          <w:tab w:val="clear" w:pos="4320"/>
          <w:tab w:val="clear" w:pos="8640"/>
        </w:tabs>
        <w:rPr>
          <w:rFonts w:ascii="Times New Roman" w:hAnsi="Times New Roman"/>
          <w:sz w:val="22"/>
          <w:szCs w:val="22"/>
        </w:rPr>
      </w:pPr>
      <w:r w:rsidRPr="009B5E44">
        <w:rPr>
          <w:rFonts w:ascii="Times New Roman" w:hAnsi="Times New Roman"/>
          <w:sz w:val="22"/>
          <w:szCs w:val="22"/>
        </w:rPr>
        <w:t>Dlhodobá kombinácia dutasteridu a iných li</w:t>
      </w:r>
      <w:r w:rsidR="00723675">
        <w:rPr>
          <w:rFonts w:ascii="Times New Roman" w:hAnsi="Times New Roman"/>
          <w:sz w:val="22"/>
          <w:szCs w:val="22"/>
        </w:rPr>
        <w:t>ečiv</w:t>
      </w:r>
      <w:r w:rsidRPr="009B5E44">
        <w:rPr>
          <w:rFonts w:ascii="Times New Roman" w:hAnsi="Times New Roman"/>
          <w:sz w:val="22"/>
          <w:szCs w:val="22"/>
        </w:rPr>
        <w:t>, ktoré sú potentnými inhíbitormi enzýmu CYP3A4 (napr. ritonavir, indinavir, nefazodón, itrakonazol, ketokonazol podávané perorálne) môže zvýšiť sérové koncentrácie dutasteridu. Ďalšia inhibícia 5</w:t>
      </w:r>
      <w:r w:rsidRPr="009B5E44">
        <w:rPr>
          <w:rFonts w:ascii="Times New Roman" w:hAnsi="Times New Roman"/>
          <w:sz w:val="22"/>
          <w:szCs w:val="22"/>
        </w:rPr>
        <w:noBreakHyphen/>
        <w:t>alfa</w:t>
      </w:r>
      <w:r w:rsidRPr="009B5E44">
        <w:rPr>
          <w:rFonts w:ascii="Times New Roman" w:hAnsi="Times New Roman"/>
          <w:sz w:val="22"/>
          <w:szCs w:val="22"/>
        </w:rPr>
        <w:noBreakHyphen/>
        <w:t xml:space="preserve">reduktázy pri zvýšenej expozícii dutasteridu nie je pravdepodobná. Zníženie frekvencie dávok dutasteridu sa však môže zvážiť, ak sa spozorujú </w:t>
      </w:r>
      <w:r w:rsidR="00723675">
        <w:rPr>
          <w:rFonts w:ascii="Times New Roman" w:hAnsi="Times New Roman"/>
          <w:sz w:val="22"/>
          <w:szCs w:val="22"/>
        </w:rPr>
        <w:t>nežiaduce</w:t>
      </w:r>
      <w:r w:rsidR="00723675" w:rsidRPr="009B5E44">
        <w:rPr>
          <w:rFonts w:ascii="Times New Roman" w:hAnsi="Times New Roman"/>
          <w:sz w:val="22"/>
          <w:szCs w:val="22"/>
        </w:rPr>
        <w:t xml:space="preserve"> </w:t>
      </w:r>
      <w:r w:rsidRPr="009B5E44">
        <w:rPr>
          <w:rFonts w:ascii="Times New Roman" w:hAnsi="Times New Roman"/>
          <w:sz w:val="22"/>
          <w:szCs w:val="22"/>
        </w:rPr>
        <w:t>účinky. Je potrebné vziať na vedomie, že v prípade inhibície enzýmu sa môže dlhý polčas ďalej predĺžiť a môže trvať viac ako 6 mesiacov súbežnej liečby, kým sa dosiahne nový rovnovážny stav.</w:t>
      </w:r>
    </w:p>
    <w:p w14:paraId="4DF49433" w14:textId="77777777" w:rsidR="00EE6E72" w:rsidRDefault="00EE6E72" w:rsidP="00424E40">
      <w:pPr>
        <w:pStyle w:val="Pta"/>
        <w:tabs>
          <w:tab w:val="clear" w:pos="4320"/>
          <w:tab w:val="clear" w:pos="8640"/>
        </w:tabs>
        <w:rPr>
          <w:rFonts w:ascii="Times New Roman" w:hAnsi="Times New Roman"/>
          <w:sz w:val="22"/>
          <w:szCs w:val="22"/>
        </w:rPr>
      </w:pPr>
    </w:p>
    <w:p w14:paraId="3AE63C39" w14:textId="16088F8D" w:rsidR="00EE6E72" w:rsidRDefault="0097628E" w:rsidP="00424E40">
      <w:pPr>
        <w:pStyle w:val="Pta"/>
        <w:tabs>
          <w:tab w:val="clear" w:pos="4320"/>
          <w:tab w:val="clear" w:pos="8640"/>
        </w:tabs>
        <w:rPr>
          <w:rFonts w:ascii="Times New Roman" w:hAnsi="Times New Roman"/>
          <w:sz w:val="22"/>
          <w:szCs w:val="22"/>
        </w:rPr>
      </w:pPr>
      <w:r w:rsidRPr="009B5E44">
        <w:rPr>
          <w:rFonts w:ascii="Times New Roman" w:hAnsi="Times New Roman"/>
          <w:sz w:val="22"/>
          <w:szCs w:val="22"/>
        </w:rPr>
        <w:t xml:space="preserve">Podávanie 12 g kolestyramínu hodinu po podaní  jednorazovej dávky </w:t>
      </w:r>
      <w:r w:rsidR="00723675">
        <w:rPr>
          <w:rFonts w:ascii="Times New Roman" w:hAnsi="Times New Roman"/>
          <w:sz w:val="22"/>
          <w:szCs w:val="22"/>
        </w:rPr>
        <w:t xml:space="preserve">5 mg </w:t>
      </w:r>
      <w:r w:rsidRPr="009B5E44">
        <w:rPr>
          <w:rFonts w:ascii="Times New Roman" w:hAnsi="Times New Roman"/>
          <w:sz w:val="22"/>
          <w:szCs w:val="22"/>
        </w:rPr>
        <w:t>dutasteridu nemá vplyv na farmakokinetiku dutasteridu.</w:t>
      </w:r>
    </w:p>
    <w:p w14:paraId="2DA12C6D" w14:textId="77777777" w:rsidR="00EE6E72" w:rsidRDefault="00EE6E72" w:rsidP="00424E40">
      <w:pPr>
        <w:pStyle w:val="Pta"/>
        <w:tabs>
          <w:tab w:val="clear" w:pos="4320"/>
          <w:tab w:val="clear" w:pos="8640"/>
        </w:tabs>
        <w:rPr>
          <w:rFonts w:ascii="Times New Roman" w:hAnsi="Times New Roman"/>
          <w:i/>
          <w:sz w:val="22"/>
          <w:szCs w:val="22"/>
        </w:rPr>
      </w:pPr>
    </w:p>
    <w:p w14:paraId="1B3223A6" w14:textId="6177D0D7" w:rsidR="00EE6E72" w:rsidRDefault="0097628E" w:rsidP="00424E40">
      <w:pPr>
        <w:pStyle w:val="Pta"/>
        <w:tabs>
          <w:tab w:val="clear" w:pos="4320"/>
          <w:tab w:val="clear" w:pos="8640"/>
        </w:tabs>
        <w:rPr>
          <w:rFonts w:ascii="Times New Roman" w:hAnsi="Times New Roman"/>
          <w:i/>
          <w:sz w:val="22"/>
          <w:szCs w:val="22"/>
        </w:rPr>
      </w:pPr>
      <w:r w:rsidRPr="009B5E44">
        <w:rPr>
          <w:rFonts w:ascii="Times New Roman" w:hAnsi="Times New Roman"/>
          <w:i/>
          <w:sz w:val="22"/>
          <w:szCs w:val="22"/>
        </w:rPr>
        <w:t>Účinky dutasteridu na farmakokinetiku iných lie</w:t>
      </w:r>
      <w:r w:rsidR="00723675">
        <w:rPr>
          <w:rFonts w:ascii="Times New Roman" w:hAnsi="Times New Roman"/>
          <w:i/>
          <w:sz w:val="22"/>
          <w:szCs w:val="22"/>
        </w:rPr>
        <w:t>čiv</w:t>
      </w:r>
    </w:p>
    <w:p w14:paraId="6D8E46CF" w14:textId="4C939FEC" w:rsidR="00EE6E72" w:rsidRDefault="0097628E" w:rsidP="00424E40">
      <w:pPr>
        <w:pStyle w:val="Pta"/>
        <w:tabs>
          <w:tab w:val="clear" w:pos="4320"/>
          <w:tab w:val="clear" w:pos="8640"/>
        </w:tabs>
        <w:rPr>
          <w:rFonts w:ascii="Times New Roman" w:hAnsi="Times New Roman"/>
          <w:sz w:val="22"/>
          <w:szCs w:val="22"/>
        </w:rPr>
      </w:pPr>
      <w:r w:rsidRPr="009B5E44">
        <w:rPr>
          <w:rFonts w:ascii="Times New Roman" w:hAnsi="Times New Roman"/>
          <w:sz w:val="22"/>
          <w:szCs w:val="22"/>
        </w:rPr>
        <w:t xml:space="preserve">V malej dvojtýždňovej štúdii (n = 24) u zdravých mužov dutasterid (0,5 mg denne) nemal žiaden účinok na farmakokinetiku tamsulozínu alebo terazosínu. V tejto štúdii neboli ani žiadne </w:t>
      </w:r>
      <w:r w:rsidR="00723675">
        <w:rPr>
          <w:rFonts w:ascii="Times New Roman" w:hAnsi="Times New Roman"/>
          <w:sz w:val="22"/>
          <w:szCs w:val="22"/>
        </w:rPr>
        <w:t xml:space="preserve">náznaky </w:t>
      </w:r>
      <w:r w:rsidRPr="009B5E44">
        <w:rPr>
          <w:rFonts w:ascii="Times New Roman" w:hAnsi="Times New Roman"/>
          <w:sz w:val="22"/>
          <w:szCs w:val="22"/>
        </w:rPr>
        <w:t>farmakodynamickej interakcie.</w:t>
      </w:r>
    </w:p>
    <w:p w14:paraId="063F5330" w14:textId="77777777" w:rsidR="00EE6E72" w:rsidRDefault="00EE6E72" w:rsidP="00424E40">
      <w:pPr>
        <w:pStyle w:val="Pta"/>
        <w:tabs>
          <w:tab w:val="clear" w:pos="4320"/>
          <w:tab w:val="clear" w:pos="8640"/>
        </w:tabs>
        <w:rPr>
          <w:rFonts w:ascii="Times New Roman" w:hAnsi="Times New Roman"/>
          <w:sz w:val="22"/>
          <w:szCs w:val="22"/>
        </w:rPr>
      </w:pPr>
    </w:p>
    <w:p w14:paraId="4666FFC6" w14:textId="566AF614" w:rsidR="00EE6E72" w:rsidRDefault="0097628E" w:rsidP="00424E40">
      <w:pPr>
        <w:pStyle w:val="Pta"/>
        <w:tabs>
          <w:tab w:val="clear" w:pos="4320"/>
          <w:tab w:val="clear" w:pos="8640"/>
        </w:tabs>
        <w:rPr>
          <w:rFonts w:ascii="Times New Roman" w:hAnsi="Times New Roman"/>
          <w:sz w:val="22"/>
          <w:szCs w:val="22"/>
        </w:rPr>
      </w:pPr>
      <w:r w:rsidRPr="009B5E44">
        <w:rPr>
          <w:rFonts w:ascii="Times New Roman" w:hAnsi="Times New Roman"/>
          <w:sz w:val="22"/>
          <w:szCs w:val="22"/>
        </w:rPr>
        <w:t>Dutasterid nemá žiadny účinok na farmakokinetiku warfarínu alebo digoxínu. To svedčí o tom, že dutasterid neinhibuje/neindukuje CYP2C9 alebo transportér P</w:t>
      </w:r>
      <w:r w:rsidRPr="009B5E44">
        <w:rPr>
          <w:rFonts w:ascii="Times New Roman" w:hAnsi="Times New Roman"/>
          <w:sz w:val="22"/>
          <w:szCs w:val="22"/>
        </w:rPr>
        <w:noBreakHyphen/>
        <w:t xml:space="preserve">glykoproteín. </w:t>
      </w:r>
      <w:r w:rsidRPr="009B5E44">
        <w:rPr>
          <w:rFonts w:ascii="Times New Roman" w:hAnsi="Times New Roman"/>
          <w:i/>
          <w:sz w:val="22"/>
          <w:szCs w:val="22"/>
        </w:rPr>
        <w:t xml:space="preserve">In vitro </w:t>
      </w:r>
      <w:r w:rsidRPr="009B5E44">
        <w:rPr>
          <w:rFonts w:ascii="Times New Roman" w:hAnsi="Times New Roman"/>
          <w:sz w:val="22"/>
          <w:szCs w:val="22"/>
        </w:rPr>
        <w:t>interakčné štúdie ukazujú, že dutasterid neinhibuje enzýmy CYP1A2, CYP2D6, CYP2C9, CYP2C19 alebo CYP3A4.</w:t>
      </w:r>
    </w:p>
    <w:p w14:paraId="786F36A1" w14:textId="77777777" w:rsidR="00EE6E72" w:rsidRDefault="00EE6E72" w:rsidP="00424E40">
      <w:pPr>
        <w:pStyle w:val="Pta"/>
        <w:tabs>
          <w:tab w:val="clear" w:pos="4320"/>
          <w:tab w:val="clear" w:pos="8640"/>
        </w:tabs>
        <w:rPr>
          <w:rFonts w:ascii="Times New Roman" w:hAnsi="Times New Roman"/>
          <w:sz w:val="22"/>
          <w:szCs w:val="22"/>
        </w:rPr>
      </w:pPr>
    </w:p>
    <w:p w14:paraId="5D8FA750" w14:textId="77777777" w:rsidR="00EE6E72" w:rsidRDefault="0097628E" w:rsidP="00424E40">
      <w:pPr>
        <w:rPr>
          <w:bCs/>
          <w:i/>
          <w:iCs/>
          <w:szCs w:val="22"/>
        </w:rPr>
      </w:pPr>
      <w:r w:rsidRPr="009B5E44">
        <w:rPr>
          <w:bCs/>
          <w:i/>
          <w:iCs/>
          <w:szCs w:val="22"/>
        </w:rPr>
        <w:t>Tamsulozín</w:t>
      </w:r>
    </w:p>
    <w:p w14:paraId="6B128665" w14:textId="24FDFFDB" w:rsidR="00EE6E72" w:rsidRDefault="0097628E" w:rsidP="00424E40">
      <w:pPr>
        <w:rPr>
          <w:bCs/>
          <w:szCs w:val="22"/>
        </w:rPr>
      </w:pPr>
      <w:r w:rsidRPr="009B5E44">
        <w:rPr>
          <w:bCs/>
          <w:szCs w:val="22"/>
        </w:rPr>
        <w:t xml:space="preserve">Súbežné podávanie </w:t>
      </w:r>
      <w:r w:rsidRPr="009B5E44">
        <w:rPr>
          <w:szCs w:val="22"/>
        </w:rPr>
        <w:t>tamsulozíniumchloridu</w:t>
      </w:r>
      <w:r w:rsidRPr="009B5E44">
        <w:rPr>
          <w:bCs/>
          <w:szCs w:val="22"/>
        </w:rPr>
        <w:t xml:space="preserve"> s liečivami, ktoré môžu znižovať krvný tlak vrátane anestetík, inhibítorov PDE5 a iných antagonistov alfa</w:t>
      </w:r>
      <w:r w:rsidRPr="009B5E44">
        <w:rPr>
          <w:szCs w:val="22"/>
          <w:vertAlign w:val="subscript"/>
        </w:rPr>
        <w:t>1</w:t>
      </w:r>
      <w:r w:rsidRPr="009B5E44">
        <w:rPr>
          <w:szCs w:val="22"/>
        </w:rPr>
        <w:t>-adrenergických receptorov</w:t>
      </w:r>
      <w:r w:rsidRPr="009B5E44">
        <w:rPr>
          <w:bCs/>
          <w:szCs w:val="22"/>
        </w:rPr>
        <w:t xml:space="preserve"> môže viesť k zvýšeným</w:t>
      </w:r>
      <w:r w:rsidRPr="009B5E44">
        <w:rPr>
          <w:szCs w:val="22"/>
        </w:rPr>
        <w:t xml:space="preserve"> hypotenz</w:t>
      </w:r>
      <w:r w:rsidR="00723675">
        <w:rPr>
          <w:szCs w:val="22"/>
        </w:rPr>
        <w:t>ívnym</w:t>
      </w:r>
      <w:r w:rsidRPr="009B5E44">
        <w:rPr>
          <w:szCs w:val="22"/>
        </w:rPr>
        <w:t xml:space="preserve"> účinkom</w:t>
      </w:r>
      <w:r w:rsidRPr="009B5E44">
        <w:rPr>
          <w:bCs/>
          <w:szCs w:val="22"/>
        </w:rPr>
        <w:t xml:space="preserve">. </w:t>
      </w:r>
      <w:r w:rsidRPr="009B5E44">
        <w:rPr>
          <w:szCs w:val="22"/>
        </w:rPr>
        <w:t>Dutasterid</w:t>
      </w:r>
      <w:r w:rsidR="00723675">
        <w:rPr>
          <w:szCs w:val="22"/>
        </w:rPr>
        <w:t>/</w:t>
      </w:r>
      <w:r w:rsidRPr="009B5E44">
        <w:rPr>
          <w:szCs w:val="22"/>
        </w:rPr>
        <w:t>tamsulozín sa nemá používať v kombinácii s inými antagonistami alfa</w:t>
      </w:r>
      <w:r w:rsidRPr="009B5E44">
        <w:rPr>
          <w:szCs w:val="22"/>
          <w:vertAlign w:val="subscript"/>
        </w:rPr>
        <w:t>1</w:t>
      </w:r>
      <w:r w:rsidRPr="009B5E44">
        <w:rPr>
          <w:szCs w:val="22"/>
        </w:rPr>
        <w:t>-adrenergických receptorov</w:t>
      </w:r>
      <w:r w:rsidRPr="009B5E44">
        <w:rPr>
          <w:bCs/>
          <w:szCs w:val="22"/>
        </w:rPr>
        <w:t>.</w:t>
      </w:r>
    </w:p>
    <w:p w14:paraId="40BAC4D5" w14:textId="77777777" w:rsidR="00EE6E72" w:rsidRDefault="00EE6E72" w:rsidP="00424E40">
      <w:pPr>
        <w:rPr>
          <w:bCs/>
          <w:szCs w:val="22"/>
        </w:rPr>
      </w:pPr>
    </w:p>
    <w:p w14:paraId="581DE7D5" w14:textId="77777777" w:rsidR="00EE6E72" w:rsidRDefault="0097628E" w:rsidP="00424E40">
      <w:pPr>
        <w:rPr>
          <w:bCs/>
          <w:szCs w:val="22"/>
        </w:rPr>
      </w:pPr>
      <w:r w:rsidRPr="009B5E44">
        <w:rPr>
          <w:bCs/>
          <w:szCs w:val="22"/>
        </w:rPr>
        <w:t>Súbežné podávanie tamsulozíniumchloridu a ketokonazolu (silný inhibítor CYP3A4) viedlo k 2,2</w:t>
      </w:r>
      <w:r w:rsidRPr="009B5E44">
        <w:rPr>
          <w:bCs/>
          <w:szCs w:val="22"/>
        </w:rPr>
        <w:noBreakHyphen/>
        <w:t>násobnému zvýšeniu C</w:t>
      </w:r>
      <w:r w:rsidRPr="009B5E44">
        <w:rPr>
          <w:bCs/>
          <w:szCs w:val="22"/>
          <w:vertAlign w:val="subscript"/>
        </w:rPr>
        <w:t>max</w:t>
      </w:r>
      <w:r w:rsidRPr="009B5E44">
        <w:rPr>
          <w:bCs/>
          <w:szCs w:val="22"/>
        </w:rPr>
        <w:t xml:space="preserve"> a k 2,8</w:t>
      </w:r>
      <w:r w:rsidRPr="009B5E44">
        <w:rPr>
          <w:bCs/>
          <w:szCs w:val="22"/>
        </w:rPr>
        <w:noBreakHyphen/>
        <w:t>násobnému zvýšeniu AUC tamsulozíniumchloridu. Súbežné podávanie tamsulozíniumchloridu a paroxetínu (silný inhibítor CYP2D6) viedlo k 1,3</w:t>
      </w:r>
      <w:r w:rsidRPr="009B5E44">
        <w:rPr>
          <w:bCs/>
          <w:szCs w:val="22"/>
        </w:rPr>
        <w:noBreakHyphen/>
        <w:t>násobnému zvýšeniu C</w:t>
      </w:r>
      <w:r w:rsidRPr="009B5E44">
        <w:rPr>
          <w:bCs/>
          <w:szCs w:val="22"/>
          <w:vertAlign w:val="subscript"/>
        </w:rPr>
        <w:t>max</w:t>
      </w:r>
      <w:r w:rsidRPr="009B5E44">
        <w:rPr>
          <w:bCs/>
          <w:szCs w:val="22"/>
        </w:rPr>
        <w:t xml:space="preserve"> a k 1,6</w:t>
      </w:r>
      <w:r w:rsidRPr="009B5E44">
        <w:rPr>
          <w:bCs/>
          <w:szCs w:val="22"/>
        </w:rPr>
        <w:noBreakHyphen/>
        <w:t>násobnému zvýšeniu AUC tamsulozíniumchloridu. Podobné zvýšenie expozície sa očakáva u pomalých metabolizátorov CYP2D6 v porovnaní s rýchlymi metabolizátormi, keď sa tamsulozíniumchlorid podáva súbežne so silným inhibítorom CYP3A4. Účinky súbežného podávania inhibítora CYP3A4 aj inhibítora CYP2D6 s tamsulozíniumchloridom sa klinicky nehodnotili, existuje však možnosť významného zvýšenia expozície tamsulozínu (pozri časť 4.4).</w:t>
      </w:r>
    </w:p>
    <w:p w14:paraId="0E53C906" w14:textId="77777777" w:rsidR="00EE6E72" w:rsidRDefault="00EE6E72" w:rsidP="00424E40">
      <w:pPr>
        <w:rPr>
          <w:bCs/>
          <w:szCs w:val="22"/>
        </w:rPr>
      </w:pPr>
    </w:p>
    <w:p w14:paraId="3F539B36" w14:textId="5F5B914E" w:rsidR="00EE6E72" w:rsidRDefault="0097628E" w:rsidP="00424E40">
      <w:pPr>
        <w:rPr>
          <w:bCs/>
          <w:szCs w:val="22"/>
        </w:rPr>
      </w:pPr>
      <w:r w:rsidRPr="009B5E44">
        <w:rPr>
          <w:bCs/>
          <w:szCs w:val="22"/>
        </w:rPr>
        <w:t xml:space="preserve">Súbežné podávanie </w:t>
      </w:r>
      <w:r w:rsidRPr="009B5E44">
        <w:rPr>
          <w:szCs w:val="22"/>
        </w:rPr>
        <w:t>tamsulozíniumchloridu</w:t>
      </w:r>
      <w:r w:rsidRPr="009B5E44">
        <w:rPr>
          <w:bCs/>
          <w:szCs w:val="22"/>
        </w:rPr>
        <w:t xml:space="preserve"> (0,4 mg) a cimetidínu (400 mg každých šesť hodín počas šiestich dní) malo za následok znížený klírens (26 %) a zvýšenú AUC (44 %) </w:t>
      </w:r>
      <w:r w:rsidRPr="009B5E44">
        <w:rPr>
          <w:szCs w:val="22"/>
        </w:rPr>
        <w:t>tamsulozíniumchloridu</w:t>
      </w:r>
      <w:r w:rsidRPr="009B5E44">
        <w:rPr>
          <w:bCs/>
          <w:szCs w:val="22"/>
        </w:rPr>
        <w:t xml:space="preserve">. Ak sa </w:t>
      </w:r>
      <w:r w:rsidR="00424E40">
        <w:rPr>
          <w:szCs w:val="22"/>
        </w:rPr>
        <w:t>dutasterid/</w:t>
      </w:r>
      <w:r w:rsidRPr="009B5E44">
        <w:rPr>
          <w:szCs w:val="22"/>
        </w:rPr>
        <w:t>tamsulozín používa v kombinácii s cimetidínom, je potrebná opatrnosť</w:t>
      </w:r>
      <w:r w:rsidRPr="009B5E44">
        <w:rPr>
          <w:bCs/>
          <w:szCs w:val="22"/>
        </w:rPr>
        <w:t>.</w:t>
      </w:r>
    </w:p>
    <w:p w14:paraId="05762AA8" w14:textId="77777777" w:rsidR="00EE6E72" w:rsidRDefault="00EE6E72" w:rsidP="00424E40">
      <w:pPr>
        <w:rPr>
          <w:bCs/>
          <w:szCs w:val="22"/>
        </w:rPr>
      </w:pPr>
    </w:p>
    <w:p w14:paraId="214F1FD0" w14:textId="195C34B6" w:rsidR="00EE6E72" w:rsidRDefault="0097628E" w:rsidP="00424E40">
      <w:pPr>
        <w:rPr>
          <w:bCs/>
          <w:szCs w:val="22"/>
        </w:rPr>
      </w:pPr>
      <w:r w:rsidRPr="009B5E44">
        <w:rPr>
          <w:bCs/>
          <w:szCs w:val="22"/>
        </w:rPr>
        <w:t xml:space="preserve">Definitívna štúdia interakcií liečiv medzi </w:t>
      </w:r>
      <w:r w:rsidRPr="009B5E44">
        <w:rPr>
          <w:szCs w:val="22"/>
        </w:rPr>
        <w:t xml:space="preserve">tamsulozíniumchloridom </w:t>
      </w:r>
      <w:r w:rsidRPr="009B5E44">
        <w:rPr>
          <w:bCs/>
          <w:szCs w:val="22"/>
        </w:rPr>
        <w:t xml:space="preserve">a warfarínom sa nevykonala. </w:t>
      </w:r>
      <w:r w:rsidR="00723675">
        <w:rPr>
          <w:bCs/>
          <w:szCs w:val="22"/>
        </w:rPr>
        <w:t>Limitované v</w:t>
      </w:r>
      <w:r w:rsidRPr="009B5E44">
        <w:rPr>
          <w:bCs/>
          <w:szCs w:val="22"/>
        </w:rPr>
        <w:t>ýsledky  štúdií</w:t>
      </w:r>
      <w:r w:rsidRPr="009B5E44">
        <w:rPr>
          <w:bCs/>
          <w:i/>
          <w:szCs w:val="22"/>
        </w:rPr>
        <w:t xml:space="preserve"> in vitro </w:t>
      </w:r>
      <w:r w:rsidRPr="009B5E44">
        <w:rPr>
          <w:bCs/>
          <w:szCs w:val="22"/>
        </w:rPr>
        <w:t xml:space="preserve">a </w:t>
      </w:r>
      <w:r w:rsidRPr="009B5E44">
        <w:rPr>
          <w:bCs/>
          <w:i/>
          <w:szCs w:val="22"/>
        </w:rPr>
        <w:t>in vivo</w:t>
      </w:r>
      <w:r w:rsidRPr="009B5E44">
        <w:rPr>
          <w:bCs/>
          <w:szCs w:val="22"/>
        </w:rPr>
        <w:t xml:space="preserve"> </w:t>
      </w:r>
      <w:r w:rsidR="00723675">
        <w:rPr>
          <w:bCs/>
          <w:szCs w:val="22"/>
        </w:rPr>
        <w:t>sú nejednoznačné.</w:t>
      </w:r>
      <w:r w:rsidRPr="009B5E44">
        <w:rPr>
          <w:bCs/>
          <w:szCs w:val="22"/>
        </w:rPr>
        <w:t xml:space="preserve"> Diklofenak a warfarín však môžu zvýšiť rýchlosť eliminácie tamsulozínu. Pri súbežnom podávaní warfarínu a </w:t>
      </w:r>
      <w:r w:rsidRPr="009B5E44">
        <w:rPr>
          <w:szCs w:val="22"/>
        </w:rPr>
        <w:t>tamsulozíniumchloridu sa vyžaduje opatrnosť</w:t>
      </w:r>
      <w:r w:rsidRPr="009B5E44">
        <w:rPr>
          <w:bCs/>
          <w:szCs w:val="22"/>
        </w:rPr>
        <w:t>.</w:t>
      </w:r>
    </w:p>
    <w:p w14:paraId="73842B8D" w14:textId="77777777" w:rsidR="00EE6E72" w:rsidRDefault="00EE6E72" w:rsidP="00424E40">
      <w:pPr>
        <w:rPr>
          <w:bCs/>
          <w:szCs w:val="22"/>
        </w:rPr>
      </w:pPr>
    </w:p>
    <w:p w14:paraId="3087BAE2" w14:textId="77777777" w:rsidR="00EE6E72" w:rsidRDefault="0097628E" w:rsidP="00424E40">
      <w:pPr>
        <w:rPr>
          <w:szCs w:val="22"/>
        </w:rPr>
      </w:pPr>
      <w:r w:rsidRPr="009B5E44">
        <w:rPr>
          <w:szCs w:val="22"/>
        </w:rPr>
        <w:t>Nepozorovali sa žiadne interakcie pri podávaní tamsulozíniumchloridu súbežne s atenololom, enalaprilom, nifedipínom alebo teofylínom. Súbežne podávaný furosemid znižuje plazmatické koncentrácie tamsulozínu, no keďže koncentrácia tamsulozínu zotrváva v normálnom rozmedzí, nie je potrebné upravovať dávkovanie.</w:t>
      </w:r>
    </w:p>
    <w:p w14:paraId="621930EA" w14:textId="77777777" w:rsidR="00EE6E72" w:rsidRDefault="00EE6E72" w:rsidP="00424E40">
      <w:pPr>
        <w:rPr>
          <w:bCs/>
          <w:szCs w:val="22"/>
        </w:rPr>
      </w:pPr>
    </w:p>
    <w:p w14:paraId="7B765F6A" w14:textId="77777777" w:rsidR="00EE6E72" w:rsidRDefault="0097628E" w:rsidP="00424E40">
      <w:pPr>
        <w:rPr>
          <w:szCs w:val="22"/>
        </w:rPr>
      </w:pPr>
      <w:r w:rsidRPr="009B5E44">
        <w:rPr>
          <w:szCs w:val="22"/>
        </w:rPr>
        <w:t xml:space="preserve">Ani diazepam, ani propranolol, trichlórmetiazid, chlórmadinón, amitriptylín, diklofenak, glibenklamid, a simvastatín </w:t>
      </w:r>
      <w:r w:rsidRPr="009B5E44">
        <w:rPr>
          <w:i/>
          <w:iCs/>
          <w:szCs w:val="22"/>
        </w:rPr>
        <w:t>in vitro</w:t>
      </w:r>
      <w:r w:rsidRPr="009B5E44">
        <w:rPr>
          <w:szCs w:val="22"/>
        </w:rPr>
        <w:t xml:space="preserve"> nemenia voľnú frakciu tamsulozínu v ľudskej plazme. Ani tamsulozín nemení voľné frakcie diazepamu, propranololu, trichlórmetiazidu a chlórmadinónu.</w:t>
      </w:r>
    </w:p>
    <w:p w14:paraId="0737609E" w14:textId="77777777" w:rsidR="00EE6E72" w:rsidRDefault="00EE6E72" w:rsidP="00424E40">
      <w:pPr>
        <w:spacing w:line="240" w:lineRule="auto"/>
      </w:pPr>
    </w:p>
    <w:p w14:paraId="728251A8" w14:textId="77777777" w:rsidR="00EE6E72" w:rsidRDefault="00B81AFC" w:rsidP="00424E40">
      <w:pPr>
        <w:keepNext/>
        <w:numPr>
          <w:ilvl w:val="1"/>
          <w:numId w:val="6"/>
        </w:numPr>
        <w:spacing w:line="240" w:lineRule="auto"/>
        <w:outlineLvl w:val="0"/>
      </w:pPr>
      <w:r w:rsidRPr="00BF5AB0">
        <w:rPr>
          <w:b/>
        </w:rPr>
        <w:t>Fertilita, gravidita a laktácia</w:t>
      </w:r>
    </w:p>
    <w:p w14:paraId="0C838615" w14:textId="77777777" w:rsidR="00EE6E72" w:rsidRDefault="00EE6E72" w:rsidP="00424E40">
      <w:pPr>
        <w:keepNext/>
        <w:spacing w:line="240" w:lineRule="auto"/>
      </w:pPr>
    </w:p>
    <w:p w14:paraId="2CBB8469" w14:textId="30DD9114" w:rsidR="00EE6E72" w:rsidRDefault="0097628E" w:rsidP="00424E40">
      <w:pPr>
        <w:keepNext/>
        <w:keepLines/>
        <w:spacing w:line="240" w:lineRule="auto"/>
        <w:rPr>
          <w:bCs/>
          <w:iCs/>
          <w:szCs w:val="22"/>
        </w:rPr>
      </w:pPr>
      <w:r w:rsidRPr="009B5E44">
        <w:rPr>
          <w:szCs w:val="22"/>
        </w:rPr>
        <w:t xml:space="preserve">Používanie </w:t>
      </w:r>
      <w:r w:rsidR="008C7786">
        <w:rPr>
          <w:szCs w:val="22"/>
        </w:rPr>
        <w:t>Tedez</w:t>
      </w:r>
      <w:r w:rsidRPr="009B5E44">
        <w:rPr>
          <w:szCs w:val="22"/>
        </w:rPr>
        <w:t xml:space="preserve">u je u žien kontraindikované. Nie sú žiadne štúdie, ktoré skúmajú účinok </w:t>
      </w:r>
      <w:r w:rsidR="00D91136">
        <w:rPr>
          <w:bCs/>
          <w:iCs/>
          <w:szCs w:val="22"/>
        </w:rPr>
        <w:t>dutasteridu/tamsulozí</w:t>
      </w:r>
      <w:r w:rsidR="00EE6E72">
        <w:rPr>
          <w:bCs/>
          <w:iCs/>
          <w:szCs w:val="22"/>
        </w:rPr>
        <w:t>nu</w:t>
      </w:r>
      <w:r w:rsidRPr="009B5E44">
        <w:rPr>
          <w:bCs/>
          <w:iCs/>
          <w:szCs w:val="22"/>
        </w:rPr>
        <w:t xml:space="preserve"> na graviditu, laktáciu a fertilitu. Nasledovné údaje odrážajú informácie dostupné zo štúdií pre jednotlivé zložky </w:t>
      </w:r>
      <w:r w:rsidRPr="009B5E44">
        <w:rPr>
          <w:szCs w:val="22"/>
          <w:lang w:eastAsia="en-GB"/>
        </w:rPr>
        <w:t>(pozri časť 5.3)</w:t>
      </w:r>
      <w:r w:rsidRPr="009B5E44">
        <w:rPr>
          <w:bCs/>
          <w:iCs/>
          <w:szCs w:val="22"/>
        </w:rPr>
        <w:t>.</w:t>
      </w:r>
    </w:p>
    <w:p w14:paraId="30D36D23" w14:textId="77777777" w:rsidR="00EE6E72" w:rsidRDefault="00EE6E72" w:rsidP="00424E40">
      <w:pPr>
        <w:pStyle w:val="Zkladntext2"/>
        <w:spacing w:line="240" w:lineRule="auto"/>
        <w:rPr>
          <w:szCs w:val="22"/>
        </w:rPr>
      </w:pPr>
    </w:p>
    <w:p w14:paraId="3A0EAC03" w14:textId="77777777" w:rsidR="00EE6E72" w:rsidRDefault="0097628E" w:rsidP="00424E40">
      <w:pPr>
        <w:pStyle w:val="Nadpis5"/>
        <w:spacing w:line="240" w:lineRule="auto"/>
        <w:rPr>
          <w:rFonts w:ascii="Times New Roman" w:hAnsi="Times New Roman"/>
          <w:iCs/>
          <w:color w:val="auto"/>
          <w:szCs w:val="22"/>
          <w:u w:val="single"/>
        </w:rPr>
      </w:pPr>
      <w:r w:rsidRPr="0097628E">
        <w:rPr>
          <w:rFonts w:ascii="Times New Roman" w:hAnsi="Times New Roman"/>
          <w:iCs/>
          <w:color w:val="auto"/>
          <w:szCs w:val="22"/>
          <w:u w:val="single"/>
        </w:rPr>
        <w:t>Gravidita</w:t>
      </w:r>
    </w:p>
    <w:p w14:paraId="5FE9AFD4" w14:textId="25C2A25A" w:rsidR="00EE6E72" w:rsidRDefault="0097628E" w:rsidP="00424E40">
      <w:pPr>
        <w:pStyle w:val="Zkladntext2"/>
        <w:spacing w:after="0" w:line="240" w:lineRule="auto"/>
        <w:rPr>
          <w:szCs w:val="22"/>
        </w:rPr>
      </w:pPr>
      <w:r w:rsidRPr="009B5E44">
        <w:rPr>
          <w:szCs w:val="22"/>
        </w:rPr>
        <w:t>Dutasterid</w:t>
      </w:r>
      <w:r w:rsidR="00723675">
        <w:rPr>
          <w:szCs w:val="22"/>
        </w:rPr>
        <w:t>,</w:t>
      </w:r>
      <w:r w:rsidRPr="009B5E44">
        <w:rPr>
          <w:szCs w:val="22"/>
        </w:rPr>
        <w:t xml:space="preserve"> tak ako iné inhibítory 5</w:t>
      </w:r>
      <w:r w:rsidRPr="009B5E44">
        <w:rPr>
          <w:szCs w:val="22"/>
        </w:rPr>
        <w:noBreakHyphen/>
        <w:t>alfa</w:t>
      </w:r>
      <w:r w:rsidRPr="009B5E44">
        <w:rPr>
          <w:szCs w:val="22"/>
        </w:rPr>
        <w:noBreakHyphen/>
        <w:t>reduktázy</w:t>
      </w:r>
      <w:r w:rsidR="00723675">
        <w:rPr>
          <w:szCs w:val="22"/>
        </w:rPr>
        <w:t>,</w:t>
      </w:r>
      <w:r w:rsidRPr="009B5E44">
        <w:rPr>
          <w:szCs w:val="22"/>
        </w:rPr>
        <w:t xml:space="preserve"> inhibuje konverziu testosterónu na dihydrotestosterón, a ak je podávaný </w:t>
      </w:r>
      <w:r w:rsidR="00723675">
        <w:rPr>
          <w:szCs w:val="22"/>
        </w:rPr>
        <w:t xml:space="preserve">tehotnej </w:t>
      </w:r>
      <w:r w:rsidRPr="009B5E44">
        <w:rPr>
          <w:szCs w:val="22"/>
        </w:rPr>
        <w:t>žene</w:t>
      </w:r>
      <w:r w:rsidR="00723675">
        <w:rPr>
          <w:szCs w:val="22"/>
        </w:rPr>
        <w:t xml:space="preserve"> s plodom mužského pohlavia</w:t>
      </w:r>
      <w:r w:rsidRPr="009B5E44">
        <w:rPr>
          <w:szCs w:val="22"/>
        </w:rPr>
        <w:t>, môže zabrániť výv</w:t>
      </w:r>
      <w:r w:rsidR="00723675">
        <w:rPr>
          <w:szCs w:val="22"/>
        </w:rPr>
        <w:t>inu</w:t>
      </w:r>
      <w:r w:rsidRPr="009B5E44">
        <w:rPr>
          <w:szCs w:val="22"/>
        </w:rPr>
        <w:t xml:space="preserve"> vonkajších pohlavných orgánov plodu (pozri časť 4.4).</w:t>
      </w:r>
      <w:r w:rsidRPr="009B5E44">
        <w:rPr>
          <w:color w:val="00FF00"/>
          <w:szCs w:val="22"/>
        </w:rPr>
        <w:t xml:space="preserve"> </w:t>
      </w:r>
      <w:r w:rsidRPr="009B5E44">
        <w:rPr>
          <w:szCs w:val="22"/>
        </w:rPr>
        <w:t xml:space="preserve">Malé množstvá dutasteridu sa získali zo spermií </w:t>
      </w:r>
      <w:r w:rsidR="00723675">
        <w:rPr>
          <w:szCs w:val="22"/>
        </w:rPr>
        <w:t>osôb</w:t>
      </w:r>
      <w:r w:rsidR="00723675" w:rsidRPr="009B5E44">
        <w:rPr>
          <w:szCs w:val="22"/>
        </w:rPr>
        <w:t xml:space="preserve"> </w:t>
      </w:r>
      <w:r w:rsidRPr="009B5E44">
        <w:rPr>
          <w:szCs w:val="22"/>
        </w:rPr>
        <w:t xml:space="preserve">užívajúcich dutasterid. Nie je známe, či bude mužský plod nepriaznivo postihnutý, ak je jeho matka vystavená spermiám pacienta liečeného </w:t>
      </w:r>
      <w:r w:rsidR="00723675">
        <w:rPr>
          <w:szCs w:val="22"/>
        </w:rPr>
        <w:t xml:space="preserve">dutasteridom </w:t>
      </w:r>
      <w:r w:rsidRPr="009B5E44">
        <w:rPr>
          <w:szCs w:val="22"/>
        </w:rPr>
        <w:t>(takéto riziko je vyššie počas prvých 16 týždňov gravidity).</w:t>
      </w:r>
    </w:p>
    <w:p w14:paraId="230B2F76" w14:textId="77777777" w:rsidR="00EE6E72" w:rsidRDefault="00EE6E72" w:rsidP="00424E40">
      <w:pPr>
        <w:pStyle w:val="Zkladntext2"/>
        <w:spacing w:after="0" w:line="240" w:lineRule="auto"/>
        <w:rPr>
          <w:szCs w:val="22"/>
        </w:rPr>
      </w:pPr>
    </w:p>
    <w:p w14:paraId="7F28745E" w14:textId="1F92789A" w:rsidR="00EE6E72" w:rsidRDefault="0097628E" w:rsidP="00424E40">
      <w:pPr>
        <w:pStyle w:val="Zkladntext2"/>
        <w:spacing w:after="0" w:line="240" w:lineRule="auto"/>
        <w:rPr>
          <w:szCs w:val="22"/>
        </w:rPr>
      </w:pPr>
      <w:r w:rsidRPr="009B5E44">
        <w:rPr>
          <w:szCs w:val="22"/>
        </w:rPr>
        <w:t xml:space="preserve">Tak ako </w:t>
      </w:r>
      <w:r w:rsidR="00723675">
        <w:rPr>
          <w:szCs w:val="22"/>
        </w:rPr>
        <w:t>pri</w:t>
      </w:r>
      <w:r w:rsidRPr="009B5E44">
        <w:rPr>
          <w:szCs w:val="22"/>
        </w:rPr>
        <w:t xml:space="preserve"> iných inhibítoro</w:t>
      </w:r>
      <w:r w:rsidR="00723675">
        <w:rPr>
          <w:szCs w:val="22"/>
        </w:rPr>
        <w:t>ch</w:t>
      </w:r>
      <w:r w:rsidRPr="009B5E44">
        <w:rPr>
          <w:szCs w:val="22"/>
        </w:rPr>
        <w:t xml:space="preserve"> 5</w:t>
      </w:r>
      <w:r w:rsidRPr="009B5E44">
        <w:rPr>
          <w:szCs w:val="22"/>
        </w:rPr>
        <w:noBreakHyphen/>
        <w:t>alfa</w:t>
      </w:r>
      <w:r w:rsidRPr="009B5E44">
        <w:rPr>
          <w:szCs w:val="22"/>
        </w:rPr>
        <w:noBreakHyphen/>
        <w:t>reduktázy sa odporúča, aby v prípadoch, ke</w:t>
      </w:r>
      <w:r w:rsidR="00723675">
        <w:rPr>
          <w:szCs w:val="22"/>
        </w:rPr>
        <w:t>ď</w:t>
      </w:r>
      <w:r w:rsidRPr="009B5E44">
        <w:rPr>
          <w:szCs w:val="22"/>
        </w:rPr>
        <w:t xml:space="preserve"> pacientova partnerka je alebo pravdepodobne môže byť </w:t>
      </w:r>
      <w:r w:rsidR="00723675">
        <w:rPr>
          <w:szCs w:val="22"/>
        </w:rPr>
        <w:t>tehotná</w:t>
      </w:r>
      <w:r w:rsidRPr="009B5E44">
        <w:rPr>
          <w:szCs w:val="22"/>
        </w:rPr>
        <w:t>, pacient zabránil expozícii partnerky spermiám použitím prezervatívu.</w:t>
      </w:r>
    </w:p>
    <w:p w14:paraId="4E052452" w14:textId="77777777" w:rsidR="00EE6E72" w:rsidRDefault="00EE6E72" w:rsidP="00424E40">
      <w:pPr>
        <w:pStyle w:val="Zkladntext2"/>
        <w:spacing w:after="0" w:line="240" w:lineRule="auto"/>
        <w:rPr>
          <w:szCs w:val="22"/>
        </w:rPr>
      </w:pPr>
    </w:p>
    <w:p w14:paraId="364F4677" w14:textId="3B7DC110" w:rsidR="00EE6E72" w:rsidRDefault="0097628E" w:rsidP="00424E40">
      <w:pPr>
        <w:spacing w:line="240" w:lineRule="auto"/>
        <w:rPr>
          <w:szCs w:val="22"/>
        </w:rPr>
      </w:pPr>
      <w:r w:rsidRPr="009B5E44">
        <w:rPr>
          <w:szCs w:val="22"/>
        </w:rPr>
        <w:t xml:space="preserve">Podávanie tamsulozíniumchloridu </w:t>
      </w:r>
      <w:r w:rsidR="00723675">
        <w:rPr>
          <w:szCs w:val="22"/>
        </w:rPr>
        <w:t>brezivým</w:t>
      </w:r>
      <w:r w:rsidR="00723675" w:rsidRPr="009B5E44">
        <w:rPr>
          <w:szCs w:val="22"/>
        </w:rPr>
        <w:t xml:space="preserve"> </w:t>
      </w:r>
      <w:r w:rsidRPr="009B5E44">
        <w:rPr>
          <w:szCs w:val="22"/>
        </w:rPr>
        <w:t xml:space="preserve">samiciam potkanov a králikov neukázalo žiadne </w:t>
      </w:r>
      <w:r w:rsidR="00723675">
        <w:rPr>
          <w:szCs w:val="22"/>
        </w:rPr>
        <w:t>náznaky</w:t>
      </w:r>
      <w:r w:rsidR="00723675" w:rsidRPr="009B5E44">
        <w:rPr>
          <w:szCs w:val="22"/>
        </w:rPr>
        <w:t xml:space="preserve"> </w:t>
      </w:r>
      <w:r w:rsidRPr="009B5E44">
        <w:rPr>
          <w:szCs w:val="22"/>
        </w:rPr>
        <w:t>poškodenia plodu.</w:t>
      </w:r>
    </w:p>
    <w:p w14:paraId="1A4F138E" w14:textId="77777777" w:rsidR="00EE6E72" w:rsidRDefault="00EE6E72" w:rsidP="00424E40">
      <w:pPr>
        <w:pStyle w:val="Zkladntext2"/>
        <w:spacing w:after="0" w:line="240" w:lineRule="auto"/>
        <w:rPr>
          <w:szCs w:val="22"/>
        </w:rPr>
      </w:pPr>
    </w:p>
    <w:p w14:paraId="66ADFDA2" w14:textId="77777777" w:rsidR="00EE6E72" w:rsidRDefault="0097628E" w:rsidP="00424E40">
      <w:pPr>
        <w:pStyle w:val="Zkladntext2"/>
        <w:spacing w:after="0" w:line="240" w:lineRule="auto"/>
        <w:rPr>
          <w:szCs w:val="22"/>
        </w:rPr>
      </w:pPr>
      <w:r w:rsidRPr="009B5E44">
        <w:rPr>
          <w:szCs w:val="22"/>
        </w:rPr>
        <w:t>Informácie o predklinických údajoch si pozrite v časti 5.3.</w:t>
      </w:r>
    </w:p>
    <w:p w14:paraId="3BE821E5" w14:textId="77777777" w:rsidR="00EE6E72" w:rsidRDefault="00EE6E72" w:rsidP="00424E40">
      <w:pPr>
        <w:pStyle w:val="Zkladntext2"/>
        <w:spacing w:after="0" w:line="240" w:lineRule="auto"/>
        <w:rPr>
          <w:szCs w:val="22"/>
        </w:rPr>
      </w:pPr>
    </w:p>
    <w:p w14:paraId="53691333" w14:textId="77777777" w:rsidR="00EE6E72" w:rsidRDefault="0097628E" w:rsidP="00424E40">
      <w:pPr>
        <w:pStyle w:val="Zkladntext2"/>
        <w:spacing w:after="0" w:line="240" w:lineRule="auto"/>
        <w:rPr>
          <w:szCs w:val="22"/>
          <w:u w:val="single"/>
        </w:rPr>
      </w:pPr>
      <w:r w:rsidRPr="009B5E44">
        <w:rPr>
          <w:szCs w:val="22"/>
          <w:u w:val="single"/>
        </w:rPr>
        <w:t>Dojčenie</w:t>
      </w:r>
    </w:p>
    <w:p w14:paraId="01127089" w14:textId="77777777" w:rsidR="00EE6E72" w:rsidRDefault="0097628E" w:rsidP="00424E40">
      <w:pPr>
        <w:pStyle w:val="Zkladntext2"/>
        <w:spacing w:after="0" w:line="240" w:lineRule="auto"/>
        <w:rPr>
          <w:szCs w:val="22"/>
        </w:rPr>
      </w:pPr>
      <w:r w:rsidRPr="009B5E44">
        <w:rPr>
          <w:szCs w:val="22"/>
        </w:rPr>
        <w:t>Nie je známe, či sa dutasterid alebo tamsulozín vylučujú do materského mlieka u ľudí.</w:t>
      </w:r>
    </w:p>
    <w:p w14:paraId="3B73E58D" w14:textId="77777777" w:rsidR="00EE6E72" w:rsidRDefault="00EE6E72" w:rsidP="00424E40">
      <w:pPr>
        <w:rPr>
          <w:szCs w:val="22"/>
        </w:rPr>
      </w:pPr>
    </w:p>
    <w:p w14:paraId="683A2B63" w14:textId="77777777" w:rsidR="00EE6E72" w:rsidRDefault="0097628E" w:rsidP="00424E40">
      <w:pPr>
        <w:pStyle w:val="Zkladntext2"/>
        <w:spacing w:after="0" w:line="240" w:lineRule="auto"/>
        <w:rPr>
          <w:szCs w:val="22"/>
          <w:u w:val="single"/>
        </w:rPr>
      </w:pPr>
      <w:r w:rsidRPr="009B5E44">
        <w:rPr>
          <w:szCs w:val="22"/>
          <w:u w:val="single"/>
        </w:rPr>
        <w:t>Fertilita</w:t>
      </w:r>
    </w:p>
    <w:p w14:paraId="1A9F601D" w14:textId="77777777" w:rsidR="00EE6E72" w:rsidRDefault="0097628E" w:rsidP="00424E40">
      <w:pPr>
        <w:rPr>
          <w:szCs w:val="22"/>
        </w:rPr>
      </w:pPr>
      <w:r w:rsidRPr="009B5E44">
        <w:rPr>
          <w:szCs w:val="22"/>
        </w:rPr>
        <w:t>Bolo hlásené, že dutasterid má vplyv na charakteristické vlastnosti spermy (zníženie počtu spermií, objem spermy a motilita spermií) u zdravých mužov (pozri časť 5.1). Možnosť zníženej mužskej fertility nie je možné vylúčiť.</w:t>
      </w:r>
    </w:p>
    <w:p w14:paraId="6F3708A2" w14:textId="77777777" w:rsidR="00EE6E72" w:rsidRDefault="00EE6E72" w:rsidP="00424E40">
      <w:pPr>
        <w:rPr>
          <w:szCs w:val="22"/>
        </w:rPr>
      </w:pPr>
    </w:p>
    <w:p w14:paraId="2D530F5C" w14:textId="77777777" w:rsidR="00EE6E72" w:rsidRDefault="0097628E" w:rsidP="00424E40">
      <w:pPr>
        <w:spacing w:line="240" w:lineRule="auto"/>
      </w:pPr>
      <w:r w:rsidRPr="009B5E44">
        <w:rPr>
          <w:color w:val="000000"/>
          <w:szCs w:val="22"/>
        </w:rPr>
        <w:t xml:space="preserve">Účinky </w:t>
      </w:r>
      <w:r w:rsidRPr="009B5E44">
        <w:rPr>
          <w:szCs w:val="22"/>
        </w:rPr>
        <w:t xml:space="preserve">tamsulozíniumchloridu na počet spermií alebo funkciu spermií sa </w:t>
      </w:r>
      <w:r w:rsidRPr="009B5E44">
        <w:rPr>
          <w:color w:val="000000"/>
          <w:szCs w:val="22"/>
        </w:rPr>
        <w:t>nehodnotili.</w:t>
      </w:r>
    </w:p>
    <w:p w14:paraId="66811476" w14:textId="77777777" w:rsidR="00EE6E72" w:rsidRDefault="00EE6E72" w:rsidP="00424E40">
      <w:pPr>
        <w:spacing w:line="240" w:lineRule="auto"/>
        <w:rPr>
          <w:i/>
        </w:rPr>
      </w:pPr>
    </w:p>
    <w:p w14:paraId="00FADD1F" w14:textId="77777777" w:rsidR="00EE6E72" w:rsidRDefault="00B81AFC" w:rsidP="00424E40">
      <w:pPr>
        <w:keepNext/>
        <w:numPr>
          <w:ilvl w:val="1"/>
          <w:numId w:val="6"/>
        </w:numPr>
        <w:spacing w:line="240" w:lineRule="auto"/>
        <w:outlineLvl w:val="0"/>
      </w:pPr>
      <w:r w:rsidRPr="00BF5AB0">
        <w:rPr>
          <w:b/>
        </w:rPr>
        <w:t>Ovplyvnenie schopnosti viesť vozidlá a obsluhovať stroje</w:t>
      </w:r>
    </w:p>
    <w:p w14:paraId="3301911B" w14:textId="77777777" w:rsidR="00EE6E72" w:rsidRDefault="00EE6E72" w:rsidP="00424E40">
      <w:pPr>
        <w:keepNext/>
        <w:spacing w:line="240" w:lineRule="auto"/>
      </w:pPr>
    </w:p>
    <w:p w14:paraId="5E287E0B" w14:textId="3D1B5D2C" w:rsidR="00EE6E72" w:rsidRDefault="0097628E" w:rsidP="00424E40">
      <w:pPr>
        <w:rPr>
          <w:szCs w:val="22"/>
        </w:rPr>
      </w:pPr>
      <w:r w:rsidRPr="009B5E44">
        <w:rPr>
          <w:noProof/>
          <w:szCs w:val="22"/>
        </w:rPr>
        <w:t xml:space="preserve">Nevykonali sa žiadne štúdie o účinkoch </w:t>
      </w:r>
      <w:r w:rsidR="00D91136">
        <w:rPr>
          <w:bCs/>
          <w:iCs/>
          <w:szCs w:val="22"/>
        </w:rPr>
        <w:t>dutasteridu/tamsulozí</w:t>
      </w:r>
      <w:r w:rsidR="00EE6E72">
        <w:rPr>
          <w:bCs/>
          <w:iCs/>
          <w:szCs w:val="22"/>
        </w:rPr>
        <w:t>nu</w:t>
      </w:r>
      <w:r w:rsidRPr="009B5E44">
        <w:rPr>
          <w:bCs/>
          <w:iCs/>
          <w:szCs w:val="22"/>
        </w:rPr>
        <w:t xml:space="preserve"> </w:t>
      </w:r>
      <w:r w:rsidRPr="009B5E44">
        <w:rPr>
          <w:noProof/>
          <w:szCs w:val="22"/>
        </w:rPr>
        <w:t xml:space="preserve">na schopnosť viesť vozidlá a obsluhovať stroje. </w:t>
      </w:r>
      <w:r w:rsidRPr="009B5E44">
        <w:rPr>
          <w:szCs w:val="22"/>
        </w:rPr>
        <w:t xml:space="preserve">Pri užívaní </w:t>
      </w:r>
      <w:r w:rsidR="008C7786">
        <w:rPr>
          <w:szCs w:val="22"/>
        </w:rPr>
        <w:t>Tedez</w:t>
      </w:r>
      <w:r w:rsidRPr="009B5E44">
        <w:rPr>
          <w:szCs w:val="22"/>
        </w:rPr>
        <w:t>u však pacienti majú byť informovaní o možnom výskyte symptómov súvisiacich s ortostatickou hypotenziou, ako je závrat.</w:t>
      </w:r>
    </w:p>
    <w:p w14:paraId="52784B0B" w14:textId="77777777" w:rsidR="00EE6E72" w:rsidRDefault="00EE6E72" w:rsidP="00424E40">
      <w:pPr>
        <w:spacing w:line="240" w:lineRule="auto"/>
      </w:pPr>
    </w:p>
    <w:p w14:paraId="6BE3BB76" w14:textId="77777777" w:rsidR="00EE6E72" w:rsidRDefault="00B81AFC" w:rsidP="00424E40">
      <w:pPr>
        <w:keepNext/>
        <w:numPr>
          <w:ilvl w:val="1"/>
          <w:numId w:val="6"/>
        </w:numPr>
        <w:spacing w:line="240" w:lineRule="auto"/>
        <w:outlineLvl w:val="0"/>
        <w:rPr>
          <w:b/>
        </w:rPr>
      </w:pPr>
      <w:r w:rsidRPr="00BF5AB0">
        <w:rPr>
          <w:b/>
        </w:rPr>
        <w:lastRenderedPageBreak/>
        <w:t>Nežiaduce účinky</w:t>
      </w:r>
    </w:p>
    <w:p w14:paraId="1A9B8F3C" w14:textId="77777777" w:rsidR="00EE6E72" w:rsidRDefault="00EE6E72" w:rsidP="00424E40">
      <w:pPr>
        <w:keepNext/>
        <w:autoSpaceDE w:val="0"/>
        <w:autoSpaceDN w:val="0"/>
        <w:adjustRightInd w:val="0"/>
        <w:spacing w:line="240" w:lineRule="auto"/>
      </w:pPr>
    </w:p>
    <w:p w14:paraId="5CD2C3E4" w14:textId="56E23F4E" w:rsidR="00EE6E72" w:rsidRDefault="0097628E" w:rsidP="00424E40">
      <w:pPr>
        <w:keepNext/>
        <w:keepLines/>
        <w:rPr>
          <w:bCs/>
          <w:iCs/>
          <w:szCs w:val="22"/>
        </w:rPr>
      </w:pPr>
      <w:r w:rsidRPr="009B5E44">
        <w:rPr>
          <w:bCs/>
          <w:iCs/>
          <w:szCs w:val="22"/>
        </w:rPr>
        <w:t xml:space="preserve">Tu uvedené údaje sa vzťahujú k súbežnému podávaniu dutasteridu s tamsulozínom zo štvorročnej analýzy štúdie CombAT (Combination of Avodart and Tamsulosin), porovnávajú dutasterid 0,5 mg a tamsulozín 0,4 mg raz denne počas štyroch rokov ako súbežné podávanie alebo ako monoterapiu. Preukázala sa bioekvivalencia </w:t>
      </w:r>
      <w:r w:rsidR="00723675">
        <w:rPr>
          <w:bCs/>
          <w:iCs/>
          <w:szCs w:val="22"/>
        </w:rPr>
        <w:t>kombinácie dutasterid/tamsulozín</w:t>
      </w:r>
      <w:r w:rsidR="00723675" w:rsidRPr="009B5E44">
        <w:rPr>
          <w:bCs/>
          <w:iCs/>
          <w:szCs w:val="22"/>
        </w:rPr>
        <w:t xml:space="preserve"> </w:t>
      </w:r>
      <w:r w:rsidRPr="009B5E44">
        <w:rPr>
          <w:bCs/>
          <w:iCs/>
          <w:szCs w:val="22"/>
        </w:rPr>
        <w:t xml:space="preserve">a súbežného podávania dutasteridu a tamsulozínu (pozri časť 5.2). Poskytnuté sú aj informácie o profile nežiaducich účinkov jednotlivých zložiek (dutasterid a tamsulozín). Treba poznamenať, že nie všetky nežiaduce účinky hlásené pri jednotlivých zložkách boli hlásené aj pri </w:t>
      </w:r>
      <w:r w:rsidR="00EE6E72">
        <w:rPr>
          <w:bCs/>
          <w:iCs/>
          <w:szCs w:val="22"/>
        </w:rPr>
        <w:t>dutasteride/ta</w:t>
      </w:r>
      <w:r w:rsidR="00D91136">
        <w:rPr>
          <w:bCs/>
          <w:iCs/>
          <w:szCs w:val="22"/>
        </w:rPr>
        <w:t>msulozí</w:t>
      </w:r>
      <w:r w:rsidR="00EE6E72">
        <w:rPr>
          <w:bCs/>
          <w:iCs/>
          <w:szCs w:val="22"/>
        </w:rPr>
        <w:t>ne</w:t>
      </w:r>
      <w:r w:rsidR="00424E40">
        <w:rPr>
          <w:bCs/>
          <w:iCs/>
          <w:szCs w:val="22"/>
        </w:rPr>
        <w:t xml:space="preserve"> </w:t>
      </w:r>
      <w:r w:rsidRPr="009B5E44">
        <w:rPr>
          <w:bCs/>
          <w:iCs/>
          <w:szCs w:val="22"/>
        </w:rPr>
        <w:t>a takéto nežiaduce účinky sú zahrnuté pre informáciu predpisujúceho lekára.</w:t>
      </w:r>
    </w:p>
    <w:p w14:paraId="1CB1EC87" w14:textId="77777777" w:rsidR="00EE6E72" w:rsidRDefault="00EE6E72" w:rsidP="00424E40">
      <w:pPr>
        <w:rPr>
          <w:szCs w:val="22"/>
        </w:rPr>
      </w:pPr>
    </w:p>
    <w:p w14:paraId="70CBC3B1" w14:textId="77777777" w:rsidR="00EE6E72" w:rsidRDefault="0097628E" w:rsidP="00424E40">
      <w:pPr>
        <w:keepNext/>
        <w:keepLines/>
        <w:rPr>
          <w:szCs w:val="22"/>
        </w:rPr>
      </w:pPr>
      <w:r w:rsidRPr="009B5E44">
        <w:rPr>
          <w:szCs w:val="22"/>
        </w:rPr>
        <w:t>Údaje zo 4</w:t>
      </w:r>
      <w:r w:rsidRPr="009B5E44">
        <w:rPr>
          <w:szCs w:val="22"/>
        </w:rPr>
        <w:noBreakHyphen/>
        <w:t>ročnej štúdie CombAT ukázali, že incidencia všetkých skúšajúcimi posúdených nežiaducich udalostí súvisiacich s liekom počas prvého, druhého, tretieho a štvrtého roku liečby bola pri liečbe kombináciou dutasterid/tamsulozín 22 %, 6 %, 4 % a 2 %, v uvedenom poradí, pri monoterapii dutasteridom 15 %, 6 %, 3 % a 2 %, v uvedenom poradí, a pri monoterapii tamsulozínom 13 %, 5 %, 2 % a 2 %, v uvedenom poradí. Vyššia incidencia nežiaducich udalostí v skupine s kombinovanou liečbou počas prvého roku liečby bola v dôsledku vyššej incidencie ochorení reprodukčného systému, osobitne porúch ejakulácie pozorovaných v tejto skupine.</w:t>
      </w:r>
    </w:p>
    <w:p w14:paraId="541F5689" w14:textId="77777777" w:rsidR="00EE6E72" w:rsidRDefault="00EE6E72" w:rsidP="00424E40">
      <w:pPr>
        <w:rPr>
          <w:szCs w:val="22"/>
        </w:rPr>
      </w:pPr>
    </w:p>
    <w:p w14:paraId="51479BB6" w14:textId="098A41CC" w:rsidR="00EE6E72" w:rsidRDefault="0097628E" w:rsidP="00424E40">
      <w:pPr>
        <w:rPr>
          <w:szCs w:val="22"/>
        </w:rPr>
      </w:pPr>
      <w:r w:rsidRPr="009B5E44">
        <w:rPr>
          <w:szCs w:val="22"/>
        </w:rPr>
        <w:t>V nasledujúcej tabuľke sú uvedené skúšajúcimi posudzované nežiaduce udalosti súvisiace s liekom, ktoré boli hlásené s incidenciou vyššou alebo rovnou 1 % počas prvého roku liečby v štúdii CombAT, v klinických štúdiách monoterapie BH</w:t>
      </w:r>
      <w:r w:rsidR="00B5136C">
        <w:rPr>
          <w:szCs w:val="22"/>
        </w:rPr>
        <w:t>P</w:t>
      </w:r>
      <w:r w:rsidRPr="009B5E44">
        <w:rPr>
          <w:szCs w:val="22"/>
        </w:rPr>
        <w:t xml:space="preserve"> a v štúdii REDUCE.</w:t>
      </w:r>
    </w:p>
    <w:p w14:paraId="432D7C12" w14:textId="77777777" w:rsidR="00EE6E72" w:rsidRDefault="0097628E" w:rsidP="00424E40">
      <w:pPr>
        <w:rPr>
          <w:szCs w:val="22"/>
        </w:rPr>
      </w:pPr>
      <w:r w:rsidRPr="009B5E44">
        <w:rPr>
          <w:szCs w:val="22"/>
        </w:rPr>
        <w:t>Okrem toho sú uvedené nežiaduce účinky týkajúce sa tamsulozínu založené na informáciách dostupných verejne. Frekvencie výskytu nežiaducich udalostí sa môžu zvýšiť, keď sa používa kombinovaná liečba.</w:t>
      </w:r>
    </w:p>
    <w:p w14:paraId="42FD880B" w14:textId="77777777" w:rsidR="00EE6E72" w:rsidRDefault="00EE6E72" w:rsidP="00424E40">
      <w:pPr>
        <w:rPr>
          <w:szCs w:val="22"/>
        </w:rPr>
      </w:pPr>
    </w:p>
    <w:p w14:paraId="1358EF1B" w14:textId="77777777" w:rsidR="00EE6E72" w:rsidRDefault="0097628E" w:rsidP="00424E40">
      <w:pPr>
        <w:rPr>
          <w:szCs w:val="22"/>
        </w:rPr>
      </w:pPr>
      <w:r w:rsidRPr="009B5E44">
        <w:rPr>
          <w:szCs w:val="22"/>
        </w:rPr>
        <w:t>Frekvencia výskytu nežiaducich reakcií zistených v klinických skúšaniach:</w:t>
      </w:r>
    </w:p>
    <w:p w14:paraId="55D9A1DE" w14:textId="77777777" w:rsidR="00EE6E72" w:rsidRDefault="0097628E" w:rsidP="00424E40">
      <w:pPr>
        <w:rPr>
          <w:szCs w:val="22"/>
        </w:rPr>
      </w:pPr>
      <w:r w:rsidRPr="009B5E44">
        <w:rPr>
          <w:szCs w:val="22"/>
        </w:rPr>
        <w:t>Časté ≥ 1/100 až &lt; 1/10, menej časté ≥ 1/1 000 až &lt; 1/100, zriedkavé ≥ 1/10 000 až &lt; 1/1 000, veľmi zriedkavé &lt; 1/10 000. V rámci jednotlivých skupín frekvencií výskytu sú nežiaduce účinky usporiadané v poradí klesajúcej závažnosti.</w:t>
      </w:r>
    </w:p>
    <w:p w14:paraId="1923B14B" w14:textId="77777777" w:rsidR="00EE6E72" w:rsidRDefault="00EE6E72" w:rsidP="00424E40">
      <w:pPr>
        <w:rPr>
          <w:szCs w:val="22"/>
        </w:rPr>
      </w:pP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1417"/>
        <w:gridCol w:w="1418"/>
        <w:gridCol w:w="1809"/>
      </w:tblGrid>
      <w:tr w:rsidR="0097628E" w:rsidRPr="009B5E44" w14:paraId="7D291248" w14:textId="77777777" w:rsidTr="00723675">
        <w:trPr>
          <w:trHeight w:val="283"/>
          <w:tblHeader/>
        </w:trPr>
        <w:tc>
          <w:tcPr>
            <w:tcW w:w="1985" w:type="dxa"/>
            <w:tcBorders>
              <w:bottom w:val="single" w:sz="4" w:space="0" w:color="auto"/>
            </w:tcBorders>
          </w:tcPr>
          <w:p w14:paraId="09555674" w14:textId="77777777" w:rsidR="00EE6E72" w:rsidRDefault="0097628E" w:rsidP="00424E40">
            <w:pPr>
              <w:rPr>
                <w:b/>
                <w:bCs/>
                <w:iCs/>
                <w:szCs w:val="22"/>
              </w:rPr>
            </w:pPr>
            <w:r w:rsidRPr="009B5E44">
              <w:rPr>
                <w:b/>
                <w:bCs/>
                <w:iCs/>
                <w:szCs w:val="22"/>
              </w:rPr>
              <w:t>Trieda orgánových systémov</w:t>
            </w:r>
          </w:p>
        </w:tc>
        <w:tc>
          <w:tcPr>
            <w:tcW w:w="2410" w:type="dxa"/>
            <w:tcBorders>
              <w:bottom w:val="single" w:sz="4" w:space="0" w:color="auto"/>
            </w:tcBorders>
          </w:tcPr>
          <w:p w14:paraId="29E24934" w14:textId="77777777" w:rsidR="00EE6E72" w:rsidRDefault="0097628E" w:rsidP="00424E40">
            <w:pPr>
              <w:rPr>
                <w:b/>
                <w:bCs/>
                <w:iCs/>
                <w:szCs w:val="22"/>
              </w:rPr>
            </w:pPr>
            <w:r w:rsidRPr="009B5E44">
              <w:rPr>
                <w:b/>
                <w:bCs/>
                <w:iCs/>
                <w:szCs w:val="22"/>
              </w:rPr>
              <w:t>Nežiaduce reakcie</w:t>
            </w:r>
          </w:p>
        </w:tc>
        <w:tc>
          <w:tcPr>
            <w:tcW w:w="1417" w:type="dxa"/>
            <w:tcBorders>
              <w:bottom w:val="single" w:sz="4" w:space="0" w:color="auto"/>
            </w:tcBorders>
          </w:tcPr>
          <w:p w14:paraId="691F180B" w14:textId="77777777" w:rsidR="00EE6E72" w:rsidRDefault="0097628E" w:rsidP="00424E40">
            <w:pPr>
              <w:rPr>
                <w:b/>
                <w:bCs/>
                <w:iCs/>
                <w:szCs w:val="22"/>
              </w:rPr>
            </w:pPr>
            <w:r w:rsidRPr="009B5E44">
              <w:rPr>
                <w:b/>
                <w:bCs/>
                <w:iCs/>
                <w:szCs w:val="22"/>
              </w:rPr>
              <w:t>Dutasterid+</w:t>
            </w:r>
          </w:p>
          <w:p w14:paraId="68EA5B20" w14:textId="77777777" w:rsidR="00EE6E72" w:rsidRDefault="0097628E" w:rsidP="00424E40">
            <w:pPr>
              <w:rPr>
                <w:b/>
                <w:bCs/>
                <w:iCs/>
                <w:szCs w:val="22"/>
              </w:rPr>
            </w:pPr>
            <w:r w:rsidRPr="009B5E44">
              <w:rPr>
                <w:b/>
                <w:bCs/>
                <w:iCs/>
                <w:szCs w:val="22"/>
              </w:rPr>
              <w:t>tamsulozín</w:t>
            </w:r>
            <w:r w:rsidRPr="009B5E44">
              <w:rPr>
                <w:b/>
                <w:bCs/>
                <w:iCs/>
                <w:szCs w:val="22"/>
                <w:vertAlign w:val="superscript"/>
              </w:rPr>
              <w:t>a</w:t>
            </w:r>
          </w:p>
        </w:tc>
        <w:tc>
          <w:tcPr>
            <w:tcW w:w="1418" w:type="dxa"/>
            <w:tcBorders>
              <w:bottom w:val="single" w:sz="4" w:space="0" w:color="auto"/>
            </w:tcBorders>
          </w:tcPr>
          <w:p w14:paraId="01B6C181" w14:textId="77777777" w:rsidR="00EE6E72" w:rsidRDefault="0097628E" w:rsidP="00424E40">
            <w:pPr>
              <w:rPr>
                <w:b/>
                <w:bCs/>
                <w:iCs/>
                <w:szCs w:val="22"/>
              </w:rPr>
            </w:pPr>
            <w:r w:rsidRPr="009B5E44">
              <w:rPr>
                <w:b/>
                <w:bCs/>
                <w:iCs/>
                <w:szCs w:val="22"/>
              </w:rPr>
              <w:t>Dutasterid</w:t>
            </w:r>
          </w:p>
        </w:tc>
        <w:tc>
          <w:tcPr>
            <w:tcW w:w="1809" w:type="dxa"/>
            <w:tcBorders>
              <w:bottom w:val="single" w:sz="4" w:space="0" w:color="auto"/>
            </w:tcBorders>
          </w:tcPr>
          <w:p w14:paraId="5B2A3466" w14:textId="77777777" w:rsidR="00EE6E72" w:rsidRDefault="0097628E" w:rsidP="00424E40">
            <w:pPr>
              <w:rPr>
                <w:b/>
                <w:bCs/>
                <w:iCs/>
                <w:szCs w:val="22"/>
              </w:rPr>
            </w:pPr>
            <w:r w:rsidRPr="009B5E44">
              <w:rPr>
                <w:b/>
                <w:bCs/>
                <w:iCs/>
                <w:szCs w:val="22"/>
              </w:rPr>
              <w:t>Tamsulozín</w:t>
            </w:r>
            <w:r w:rsidRPr="009B5E44">
              <w:rPr>
                <w:b/>
                <w:bCs/>
                <w:iCs/>
                <w:szCs w:val="22"/>
                <w:vertAlign w:val="superscript"/>
              </w:rPr>
              <w:t>c</w:t>
            </w:r>
          </w:p>
        </w:tc>
      </w:tr>
      <w:tr w:rsidR="0097628E" w:rsidRPr="009B5E44" w14:paraId="3B27B6C6" w14:textId="77777777" w:rsidTr="00723675">
        <w:trPr>
          <w:trHeight w:val="283"/>
        </w:trPr>
        <w:tc>
          <w:tcPr>
            <w:tcW w:w="1985" w:type="dxa"/>
            <w:vMerge w:val="restart"/>
            <w:tcBorders>
              <w:top w:val="single" w:sz="4" w:space="0" w:color="auto"/>
              <w:left w:val="single" w:sz="4" w:space="0" w:color="auto"/>
              <w:right w:val="single" w:sz="4" w:space="0" w:color="auto"/>
            </w:tcBorders>
          </w:tcPr>
          <w:p w14:paraId="2BAF5436" w14:textId="77777777" w:rsidR="00EE6E72" w:rsidRDefault="0097628E" w:rsidP="00424E40">
            <w:pPr>
              <w:rPr>
                <w:szCs w:val="22"/>
              </w:rPr>
            </w:pPr>
            <w:r w:rsidRPr="009B5E44">
              <w:rPr>
                <w:szCs w:val="22"/>
              </w:rPr>
              <w:t>Poruchy nervového systému</w:t>
            </w:r>
          </w:p>
        </w:tc>
        <w:tc>
          <w:tcPr>
            <w:tcW w:w="2410" w:type="dxa"/>
            <w:tcBorders>
              <w:left w:val="single" w:sz="4" w:space="0" w:color="auto"/>
            </w:tcBorders>
          </w:tcPr>
          <w:p w14:paraId="003E5F6E" w14:textId="77777777" w:rsidR="00EE6E72" w:rsidRDefault="0097628E" w:rsidP="00424E40">
            <w:pPr>
              <w:autoSpaceDE w:val="0"/>
              <w:autoSpaceDN w:val="0"/>
              <w:adjustRightInd w:val="0"/>
              <w:rPr>
                <w:color w:val="000000"/>
                <w:szCs w:val="22"/>
                <w:lang w:eastAsia="en-GB"/>
              </w:rPr>
            </w:pPr>
            <w:r w:rsidRPr="009B5E44">
              <w:rPr>
                <w:szCs w:val="22"/>
              </w:rPr>
              <w:t>Synkopa</w:t>
            </w:r>
          </w:p>
        </w:tc>
        <w:tc>
          <w:tcPr>
            <w:tcW w:w="1417" w:type="dxa"/>
          </w:tcPr>
          <w:p w14:paraId="73DFC132" w14:textId="77777777" w:rsidR="00EE6E72" w:rsidRDefault="0097628E" w:rsidP="00424E40">
            <w:pPr>
              <w:rPr>
                <w:szCs w:val="22"/>
              </w:rPr>
            </w:pPr>
            <w:r w:rsidRPr="009B5E44">
              <w:rPr>
                <w:szCs w:val="22"/>
              </w:rPr>
              <w:t>-</w:t>
            </w:r>
          </w:p>
        </w:tc>
        <w:tc>
          <w:tcPr>
            <w:tcW w:w="1418" w:type="dxa"/>
          </w:tcPr>
          <w:p w14:paraId="6A038AE2" w14:textId="77777777" w:rsidR="00EE6E72" w:rsidRDefault="0097628E" w:rsidP="00424E40">
            <w:pPr>
              <w:rPr>
                <w:szCs w:val="22"/>
              </w:rPr>
            </w:pPr>
            <w:r w:rsidRPr="009B5E44">
              <w:rPr>
                <w:szCs w:val="22"/>
              </w:rPr>
              <w:t>-</w:t>
            </w:r>
          </w:p>
        </w:tc>
        <w:tc>
          <w:tcPr>
            <w:tcW w:w="1809" w:type="dxa"/>
          </w:tcPr>
          <w:p w14:paraId="24F3E1BC" w14:textId="77777777" w:rsidR="00EE6E72" w:rsidRDefault="0097628E" w:rsidP="00424E40">
            <w:pPr>
              <w:rPr>
                <w:bCs/>
                <w:iCs/>
                <w:szCs w:val="22"/>
              </w:rPr>
            </w:pPr>
            <w:r w:rsidRPr="009B5E44">
              <w:rPr>
                <w:bCs/>
                <w:iCs/>
                <w:szCs w:val="22"/>
              </w:rPr>
              <w:t>Zriedkavé</w:t>
            </w:r>
          </w:p>
        </w:tc>
      </w:tr>
      <w:tr w:rsidR="0097628E" w:rsidRPr="009B5E44" w14:paraId="3210AD2E" w14:textId="77777777" w:rsidTr="00723675">
        <w:trPr>
          <w:trHeight w:val="283"/>
        </w:trPr>
        <w:tc>
          <w:tcPr>
            <w:tcW w:w="1985" w:type="dxa"/>
            <w:vMerge/>
            <w:tcBorders>
              <w:left w:val="single" w:sz="4" w:space="0" w:color="auto"/>
              <w:right w:val="single" w:sz="4" w:space="0" w:color="auto"/>
            </w:tcBorders>
          </w:tcPr>
          <w:p w14:paraId="7D9B9CB9" w14:textId="77777777" w:rsidR="00EE6E72" w:rsidRDefault="00EE6E72" w:rsidP="00424E40">
            <w:pPr>
              <w:rPr>
                <w:szCs w:val="22"/>
              </w:rPr>
            </w:pPr>
          </w:p>
        </w:tc>
        <w:tc>
          <w:tcPr>
            <w:tcW w:w="2410" w:type="dxa"/>
            <w:tcBorders>
              <w:left w:val="single" w:sz="4" w:space="0" w:color="auto"/>
            </w:tcBorders>
          </w:tcPr>
          <w:p w14:paraId="55D85A65" w14:textId="77777777" w:rsidR="00EE6E72" w:rsidRDefault="0097628E" w:rsidP="00424E40">
            <w:pPr>
              <w:autoSpaceDE w:val="0"/>
              <w:autoSpaceDN w:val="0"/>
              <w:adjustRightInd w:val="0"/>
              <w:rPr>
                <w:szCs w:val="22"/>
              </w:rPr>
            </w:pPr>
            <w:r w:rsidRPr="009B5E44">
              <w:rPr>
                <w:szCs w:val="22"/>
              </w:rPr>
              <w:t>Závrat</w:t>
            </w:r>
          </w:p>
        </w:tc>
        <w:tc>
          <w:tcPr>
            <w:tcW w:w="1417" w:type="dxa"/>
          </w:tcPr>
          <w:p w14:paraId="6810B1D3" w14:textId="77777777" w:rsidR="00EE6E72" w:rsidRDefault="0097628E" w:rsidP="00424E40">
            <w:pPr>
              <w:rPr>
                <w:szCs w:val="22"/>
              </w:rPr>
            </w:pPr>
            <w:r w:rsidRPr="009B5E44">
              <w:rPr>
                <w:szCs w:val="22"/>
              </w:rPr>
              <w:t>Časté</w:t>
            </w:r>
          </w:p>
        </w:tc>
        <w:tc>
          <w:tcPr>
            <w:tcW w:w="1418" w:type="dxa"/>
          </w:tcPr>
          <w:p w14:paraId="6382E363" w14:textId="77777777" w:rsidR="00EE6E72" w:rsidRDefault="00EE6E72" w:rsidP="00424E40">
            <w:pPr>
              <w:rPr>
                <w:szCs w:val="22"/>
              </w:rPr>
            </w:pPr>
          </w:p>
        </w:tc>
        <w:tc>
          <w:tcPr>
            <w:tcW w:w="1809" w:type="dxa"/>
          </w:tcPr>
          <w:p w14:paraId="2F5A30D8" w14:textId="77777777" w:rsidR="00EE6E72" w:rsidRDefault="0097628E" w:rsidP="00424E40">
            <w:pPr>
              <w:rPr>
                <w:bCs/>
                <w:iCs/>
                <w:szCs w:val="22"/>
              </w:rPr>
            </w:pPr>
            <w:r w:rsidRPr="009B5E44">
              <w:rPr>
                <w:bCs/>
                <w:iCs/>
                <w:szCs w:val="22"/>
              </w:rPr>
              <w:t>Časté</w:t>
            </w:r>
          </w:p>
        </w:tc>
      </w:tr>
      <w:tr w:rsidR="0097628E" w:rsidRPr="009B5E44" w14:paraId="3D837213" w14:textId="77777777" w:rsidTr="00723675">
        <w:trPr>
          <w:trHeight w:val="283"/>
        </w:trPr>
        <w:tc>
          <w:tcPr>
            <w:tcW w:w="1985" w:type="dxa"/>
            <w:vMerge/>
            <w:tcBorders>
              <w:left w:val="single" w:sz="4" w:space="0" w:color="auto"/>
              <w:bottom w:val="nil"/>
              <w:right w:val="single" w:sz="4" w:space="0" w:color="auto"/>
            </w:tcBorders>
          </w:tcPr>
          <w:p w14:paraId="44D087F7" w14:textId="77777777" w:rsidR="00EE6E72" w:rsidRDefault="00EE6E72" w:rsidP="00424E40">
            <w:pPr>
              <w:rPr>
                <w:szCs w:val="22"/>
              </w:rPr>
            </w:pPr>
          </w:p>
        </w:tc>
        <w:tc>
          <w:tcPr>
            <w:tcW w:w="2410" w:type="dxa"/>
            <w:tcBorders>
              <w:left w:val="single" w:sz="4" w:space="0" w:color="auto"/>
            </w:tcBorders>
          </w:tcPr>
          <w:p w14:paraId="0EFCE8CC" w14:textId="77777777" w:rsidR="00EE6E72" w:rsidRDefault="0097628E" w:rsidP="00424E40">
            <w:pPr>
              <w:autoSpaceDE w:val="0"/>
              <w:autoSpaceDN w:val="0"/>
              <w:adjustRightInd w:val="0"/>
              <w:rPr>
                <w:szCs w:val="22"/>
              </w:rPr>
            </w:pPr>
            <w:r w:rsidRPr="009B5E44">
              <w:rPr>
                <w:szCs w:val="22"/>
              </w:rPr>
              <w:t>Bolesť hlavy</w:t>
            </w:r>
          </w:p>
        </w:tc>
        <w:tc>
          <w:tcPr>
            <w:tcW w:w="1417" w:type="dxa"/>
          </w:tcPr>
          <w:p w14:paraId="177B9A53" w14:textId="77777777" w:rsidR="00EE6E72" w:rsidRDefault="0097628E" w:rsidP="00424E40">
            <w:pPr>
              <w:rPr>
                <w:szCs w:val="22"/>
              </w:rPr>
            </w:pPr>
            <w:r w:rsidRPr="009B5E44">
              <w:rPr>
                <w:szCs w:val="22"/>
              </w:rPr>
              <w:t>-</w:t>
            </w:r>
          </w:p>
        </w:tc>
        <w:tc>
          <w:tcPr>
            <w:tcW w:w="1418" w:type="dxa"/>
          </w:tcPr>
          <w:p w14:paraId="7BDC2F2D" w14:textId="77777777" w:rsidR="00EE6E72" w:rsidRDefault="0097628E" w:rsidP="00424E40">
            <w:pPr>
              <w:rPr>
                <w:szCs w:val="22"/>
              </w:rPr>
            </w:pPr>
            <w:r w:rsidRPr="009B5E44">
              <w:rPr>
                <w:szCs w:val="22"/>
              </w:rPr>
              <w:t>-</w:t>
            </w:r>
          </w:p>
        </w:tc>
        <w:tc>
          <w:tcPr>
            <w:tcW w:w="1809" w:type="dxa"/>
          </w:tcPr>
          <w:p w14:paraId="490AC70F" w14:textId="77777777" w:rsidR="00EE6E72" w:rsidRDefault="0097628E" w:rsidP="00424E40">
            <w:pPr>
              <w:rPr>
                <w:bCs/>
                <w:iCs/>
                <w:szCs w:val="22"/>
              </w:rPr>
            </w:pPr>
            <w:r w:rsidRPr="009B5E44">
              <w:rPr>
                <w:szCs w:val="22"/>
              </w:rPr>
              <w:t>Menej časté</w:t>
            </w:r>
          </w:p>
        </w:tc>
      </w:tr>
      <w:tr w:rsidR="0097628E" w:rsidRPr="009B5E44" w14:paraId="7BCC6017" w14:textId="77777777" w:rsidTr="00723675">
        <w:trPr>
          <w:trHeight w:val="283"/>
        </w:trPr>
        <w:tc>
          <w:tcPr>
            <w:tcW w:w="1985" w:type="dxa"/>
            <w:vMerge w:val="restart"/>
            <w:tcBorders>
              <w:top w:val="single" w:sz="4" w:space="0" w:color="auto"/>
              <w:left w:val="single" w:sz="4" w:space="0" w:color="auto"/>
              <w:right w:val="single" w:sz="4" w:space="0" w:color="auto"/>
            </w:tcBorders>
          </w:tcPr>
          <w:p w14:paraId="76BC24C1" w14:textId="77777777" w:rsidR="00EE6E72" w:rsidRDefault="0097628E" w:rsidP="00424E40">
            <w:pPr>
              <w:rPr>
                <w:bCs/>
                <w:iCs/>
                <w:szCs w:val="22"/>
              </w:rPr>
            </w:pPr>
            <w:r w:rsidRPr="009B5E44">
              <w:rPr>
                <w:szCs w:val="22"/>
              </w:rPr>
              <w:t>Poruchy srdca a srdcovej činnosti</w:t>
            </w:r>
          </w:p>
        </w:tc>
        <w:tc>
          <w:tcPr>
            <w:tcW w:w="2410" w:type="dxa"/>
            <w:tcBorders>
              <w:left w:val="single" w:sz="4" w:space="0" w:color="auto"/>
            </w:tcBorders>
          </w:tcPr>
          <w:p w14:paraId="2ADB08DC" w14:textId="03456C0E" w:rsidR="00EE6E72" w:rsidRDefault="001C5D36" w:rsidP="00424E40">
            <w:pPr>
              <w:autoSpaceDE w:val="0"/>
              <w:autoSpaceDN w:val="0"/>
              <w:adjustRightInd w:val="0"/>
              <w:rPr>
                <w:bCs/>
                <w:iCs/>
                <w:szCs w:val="22"/>
              </w:rPr>
            </w:pPr>
            <w:r>
              <w:rPr>
                <w:color w:val="000000"/>
                <w:szCs w:val="22"/>
                <w:lang w:eastAsia="en-GB"/>
              </w:rPr>
              <w:t>Z</w:t>
            </w:r>
            <w:r w:rsidR="0097628E" w:rsidRPr="009B5E44">
              <w:rPr>
                <w:color w:val="000000"/>
                <w:szCs w:val="22"/>
                <w:lang w:eastAsia="en-GB"/>
              </w:rPr>
              <w:t xml:space="preserve">lyhávanie </w:t>
            </w:r>
            <w:r>
              <w:rPr>
                <w:color w:val="000000"/>
                <w:szCs w:val="22"/>
                <w:lang w:eastAsia="en-GB"/>
              </w:rPr>
              <w:t xml:space="preserve">srdca </w:t>
            </w:r>
            <w:r w:rsidR="0097628E" w:rsidRPr="009B5E44">
              <w:rPr>
                <w:color w:val="000000"/>
                <w:szCs w:val="22"/>
                <w:lang w:eastAsia="en-GB"/>
              </w:rPr>
              <w:t>(kombinovaný termín</w:t>
            </w:r>
            <w:r w:rsidR="0097628E" w:rsidRPr="009B5E44">
              <w:rPr>
                <w:color w:val="000000"/>
                <w:szCs w:val="22"/>
                <w:vertAlign w:val="superscript"/>
                <w:lang w:eastAsia="en-GB"/>
              </w:rPr>
              <w:t>1</w:t>
            </w:r>
            <w:r w:rsidR="0097628E" w:rsidRPr="009B5E44">
              <w:rPr>
                <w:color w:val="000000"/>
                <w:szCs w:val="22"/>
                <w:lang w:eastAsia="en-GB"/>
              </w:rPr>
              <w:t>)</w:t>
            </w:r>
          </w:p>
        </w:tc>
        <w:tc>
          <w:tcPr>
            <w:tcW w:w="1417" w:type="dxa"/>
          </w:tcPr>
          <w:p w14:paraId="2FEFA66E" w14:textId="77777777" w:rsidR="00EE6E72" w:rsidRDefault="0097628E" w:rsidP="00424E40">
            <w:pPr>
              <w:rPr>
                <w:bCs/>
                <w:iCs/>
                <w:szCs w:val="22"/>
              </w:rPr>
            </w:pPr>
            <w:r w:rsidRPr="009B5E44">
              <w:rPr>
                <w:szCs w:val="22"/>
              </w:rPr>
              <w:t>Menej časté</w:t>
            </w:r>
          </w:p>
        </w:tc>
        <w:tc>
          <w:tcPr>
            <w:tcW w:w="1418" w:type="dxa"/>
          </w:tcPr>
          <w:p w14:paraId="17D0A0E1" w14:textId="77777777" w:rsidR="00EE6E72" w:rsidRDefault="0097628E" w:rsidP="00424E40">
            <w:pPr>
              <w:rPr>
                <w:bCs/>
                <w:iCs/>
                <w:szCs w:val="22"/>
              </w:rPr>
            </w:pPr>
            <w:r w:rsidRPr="009B5E44">
              <w:rPr>
                <w:szCs w:val="22"/>
              </w:rPr>
              <w:t>Menej časté</w:t>
            </w:r>
            <w:r w:rsidRPr="009B5E44">
              <w:rPr>
                <w:szCs w:val="22"/>
                <w:vertAlign w:val="superscript"/>
              </w:rPr>
              <w:t>d</w:t>
            </w:r>
          </w:p>
        </w:tc>
        <w:tc>
          <w:tcPr>
            <w:tcW w:w="1809" w:type="dxa"/>
          </w:tcPr>
          <w:p w14:paraId="39B8A630" w14:textId="77777777" w:rsidR="00EE6E72" w:rsidRDefault="0097628E" w:rsidP="00424E40">
            <w:pPr>
              <w:rPr>
                <w:bCs/>
                <w:iCs/>
                <w:szCs w:val="22"/>
              </w:rPr>
            </w:pPr>
            <w:r w:rsidRPr="009B5E44">
              <w:rPr>
                <w:bCs/>
                <w:iCs/>
                <w:szCs w:val="22"/>
              </w:rPr>
              <w:t>-</w:t>
            </w:r>
          </w:p>
        </w:tc>
      </w:tr>
      <w:tr w:rsidR="0097628E" w:rsidRPr="009B5E44" w14:paraId="0838757A" w14:textId="77777777" w:rsidTr="00723675">
        <w:trPr>
          <w:trHeight w:val="283"/>
        </w:trPr>
        <w:tc>
          <w:tcPr>
            <w:tcW w:w="1985" w:type="dxa"/>
            <w:vMerge/>
            <w:tcBorders>
              <w:left w:val="single" w:sz="4" w:space="0" w:color="auto"/>
              <w:bottom w:val="nil"/>
              <w:right w:val="single" w:sz="4" w:space="0" w:color="auto"/>
            </w:tcBorders>
          </w:tcPr>
          <w:p w14:paraId="6A8F5EB2" w14:textId="77777777" w:rsidR="00EE6E72" w:rsidRDefault="00EE6E72" w:rsidP="00424E40">
            <w:pPr>
              <w:rPr>
                <w:szCs w:val="22"/>
              </w:rPr>
            </w:pPr>
          </w:p>
        </w:tc>
        <w:tc>
          <w:tcPr>
            <w:tcW w:w="2410" w:type="dxa"/>
            <w:tcBorders>
              <w:left w:val="single" w:sz="4" w:space="0" w:color="auto"/>
            </w:tcBorders>
          </w:tcPr>
          <w:p w14:paraId="1930B4BF" w14:textId="77777777" w:rsidR="00EE6E72" w:rsidRDefault="0097628E" w:rsidP="00424E40">
            <w:pPr>
              <w:autoSpaceDE w:val="0"/>
              <w:autoSpaceDN w:val="0"/>
              <w:adjustRightInd w:val="0"/>
              <w:rPr>
                <w:color w:val="000000"/>
                <w:szCs w:val="22"/>
                <w:lang w:eastAsia="en-GB"/>
              </w:rPr>
            </w:pPr>
            <w:r w:rsidRPr="009B5E44">
              <w:rPr>
                <w:color w:val="000000"/>
                <w:szCs w:val="22"/>
                <w:lang w:eastAsia="en-GB"/>
              </w:rPr>
              <w:t>Palpitácie</w:t>
            </w:r>
          </w:p>
        </w:tc>
        <w:tc>
          <w:tcPr>
            <w:tcW w:w="1417" w:type="dxa"/>
          </w:tcPr>
          <w:p w14:paraId="7C92D44E" w14:textId="77777777" w:rsidR="00EE6E72" w:rsidRDefault="0097628E" w:rsidP="00424E40">
            <w:pPr>
              <w:rPr>
                <w:szCs w:val="22"/>
              </w:rPr>
            </w:pPr>
            <w:r w:rsidRPr="009B5E44">
              <w:rPr>
                <w:szCs w:val="22"/>
              </w:rPr>
              <w:t>-</w:t>
            </w:r>
          </w:p>
        </w:tc>
        <w:tc>
          <w:tcPr>
            <w:tcW w:w="1418" w:type="dxa"/>
          </w:tcPr>
          <w:p w14:paraId="27E7BB22" w14:textId="77777777" w:rsidR="00EE6E72" w:rsidRDefault="0097628E" w:rsidP="00424E40">
            <w:pPr>
              <w:rPr>
                <w:szCs w:val="22"/>
              </w:rPr>
            </w:pPr>
            <w:r w:rsidRPr="009B5E44">
              <w:rPr>
                <w:szCs w:val="22"/>
              </w:rPr>
              <w:t>-</w:t>
            </w:r>
          </w:p>
        </w:tc>
        <w:tc>
          <w:tcPr>
            <w:tcW w:w="1809" w:type="dxa"/>
          </w:tcPr>
          <w:p w14:paraId="0002D881" w14:textId="77777777" w:rsidR="00EE6E72" w:rsidRDefault="0097628E" w:rsidP="00424E40">
            <w:pPr>
              <w:rPr>
                <w:bCs/>
                <w:iCs/>
                <w:szCs w:val="22"/>
              </w:rPr>
            </w:pPr>
            <w:r w:rsidRPr="009B5E44">
              <w:rPr>
                <w:bCs/>
                <w:iCs/>
                <w:szCs w:val="22"/>
              </w:rPr>
              <w:t>Menej časté</w:t>
            </w:r>
          </w:p>
        </w:tc>
      </w:tr>
      <w:tr w:rsidR="0097628E" w:rsidRPr="009B5E44" w14:paraId="78453D1D" w14:textId="77777777" w:rsidTr="00723675">
        <w:trPr>
          <w:trHeight w:val="283"/>
        </w:trPr>
        <w:tc>
          <w:tcPr>
            <w:tcW w:w="1985" w:type="dxa"/>
          </w:tcPr>
          <w:p w14:paraId="78FF8E07" w14:textId="77777777" w:rsidR="00EE6E72" w:rsidRDefault="0097628E" w:rsidP="00424E40">
            <w:pPr>
              <w:rPr>
                <w:bCs/>
                <w:iCs/>
                <w:szCs w:val="22"/>
              </w:rPr>
            </w:pPr>
            <w:r w:rsidRPr="009B5E44">
              <w:rPr>
                <w:bCs/>
                <w:iCs/>
                <w:szCs w:val="22"/>
              </w:rPr>
              <w:t>Poruchy ciev</w:t>
            </w:r>
          </w:p>
        </w:tc>
        <w:tc>
          <w:tcPr>
            <w:tcW w:w="2410" w:type="dxa"/>
          </w:tcPr>
          <w:p w14:paraId="7EF89FDE" w14:textId="77777777" w:rsidR="00EE6E72" w:rsidRDefault="0097628E" w:rsidP="00424E40">
            <w:pPr>
              <w:autoSpaceDE w:val="0"/>
              <w:autoSpaceDN w:val="0"/>
              <w:adjustRightInd w:val="0"/>
              <w:rPr>
                <w:bCs/>
                <w:iCs/>
                <w:szCs w:val="22"/>
              </w:rPr>
            </w:pPr>
            <w:r w:rsidRPr="009B5E44">
              <w:rPr>
                <w:color w:val="000000"/>
                <w:szCs w:val="22"/>
                <w:lang w:eastAsia="en-GB"/>
              </w:rPr>
              <w:t>Ortostatická hypotenzia</w:t>
            </w:r>
          </w:p>
        </w:tc>
        <w:tc>
          <w:tcPr>
            <w:tcW w:w="1417" w:type="dxa"/>
          </w:tcPr>
          <w:p w14:paraId="2319FC2A" w14:textId="77777777" w:rsidR="00EE6E72" w:rsidRDefault="0097628E" w:rsidP="00424E40">
            <w:pPr>
              <w:rPr>
                <w:bCs/>
                <w:iCs/>
                <w:szCs w:val="22"/>
              </w:rPr>
            </w:pPr>
            <w:r w:rsidRPr="009B5E44">
              <w:rPr>
                <w:bCs/>
                <w:iCs/>
                <w:szCs w:val="22"/>
              </w:rPr>
              <w:t>-</w:t>
            </w:r>
          </w:p>
        </w:tc>
        <w:tc>
          <w:tcPr>
            <w:tcW w:w="1418" w:type="dxa"/>
          </w:tcPr>
          <w:p w14:paraId="36EB9C1E" w14:textId="77777777" w:rsidR="00EE6E72" w:rsidRDefault="0097628E" w:rsidP="00424E40">
            <w:pPr>
              <w:rPr>
                <w:bCs/>
                <w:iCs/>
                <w:szCs w:val="22"/>
              </w:rPr>
            </w:pPr>
            <w:r w:rsidRPr="009B5E44">
              <w:rPr>
                <w:bCs/>
                <w:iCs/>
                <w:szCs w:val="22"/>
              </w:rPr>
              <w:t>-</w:t>
            </w:r>
          </w:p>
        </w:tc>
        <w:tc>
          <w:tcPr>
            <w:tcW w:w="1809" w:type="dxa"/>
          </w:tcPr>
          <w:p w14:paraId="07D101F8" w14:textId="77777777" w:rsidR="00EE6E72" w:rsidRDefault="0097628E" w:rsidP="00424E40">
            <w:pPr>
              <w:rPr>
                <w:bCs/>
                <w:iCs/>
                <w:szCs w:val="22"/>
              </w:rPr>
            </w:pPr>
            <w:r w:rsidRPr="009B5E44">
              <w:rPr>
                <w:szCs w:val="22"/>
              </w:rPr>
              <w:t>Menej časté</w:t>
            </w:r>
          </w:p>
        </w:tc>
      </w:tr>
      <w:tr w:rsidR="0097628E" w:rsidRPr="009B5E44" w14:paraId="48C7E5C1" w14:textId="77777777" w:rsidTr="00723675">
        <w:trPr>
          <w:trHeight w:val="283"/>
        </w:trPr>
        <w:tc>
          <w:tcPr>
            <w:tcW w:w="1985" w:type="dxa"/>
          </w:tcPr>
          <w:p w14:paraId="13468051" w14:textId="77777777" w:rsidR="00EE6E72" w:rsidRDefault="0097628E" w:rsidP="00424E40">
            <w:pPr>
              <w:rPr>
                <w:bCs/>
                <w:iCs/>
                <w:szCs w:val="22"/>
              </w:rPr>
            </w:pPr>
            <w:r w:rsidRPr="009B5E44">
              <w:rPr>
                <w:bCs/>
                <w:iCs/>
                <w:szCs w:val="22"/>
              </w:rPr>
              <w:t>Poruchy dýchacej sústavy, hrudníka a mediastína</w:t>
            </w:r>
          </w:p>
        </w:tc>
        <w:tc>
          <w:tcPr>
            <w:tcW w:w="2410" w:type="dxa"/>
          </w:tcPr>
          <w:p w14:paraId="12B563CB" w14:textId="77777777" w:rsidR="00EE6E72" w:rsidRDefault="0097628E" w:rsidP="00424E40">
            <w:pPr>
              <w:autoSpaceDE w:val="0"/>
              <w:autoSpaceDN w:val="0"/>
              <w:adjustRightInd w:val="0"/>
              <w:rPr>
                <w:bCs/>
                <w:iCs/>
                <w:szCs w:val="22"/>
              </w:rPr>
            </w:pPr>
            <w:r w:rsidRPr="009B5E44">
              <w:rPr>
                <w:color w:val="000000"/>
                <w:szCs w:val="22"/>
                <w:lang w:eastAsia="en-GB"/>
              </w:rPr>
              <w:t>Rinitída</w:t>
            </w:r>
          </w:p>
        </w:tc>
        <w:tc>
          <w:tcPr>
            <w:tcW w:w="1417" w:type="dxa"/>
          </w:tcPr>
          <w:p w14:paraId="53C21758" w14:textId="77777777" w:rsidR="00EE6E72" w:rsidRDefault="0097628E" w:rsidP="00424E40">
            <w:pPr>
              <w:rPr>
                <w:bCs/>
                <w:iCs/>
                <w:szCs w:val="22"/>
              </w:rPr>
            </w:pPr>
            <w:r w:rsidRPr="009B5E44">
              <w:rPr>
                <w:bCs/>
                <w:iCs/>
                <w:szCs w:val="22"/>
              </w:rPr>
              <w:t>-</w:t>
            </w:r>
          </w:p>
        </w:tc>
        <w:tc>
          <w:tcPr>
            <w:tcW w:w="1418" w:type="dxa"/>
          </w:tcPr>
          <w:p w14:paraId="58067870" w14:textId="77777777" w:rsidR="00EE6E72" w:rsidRDefault="0097628E" w:rsidP="00424E40">
            <w:pPr>
              <w:rPr>
                <w:bCs/>
                <w:iCs/>
                <w:szCs w:val="22"/>
              </w:rPr>
            </w:pPr>
            <w:r w:rsidRPr="009B5E44">
              <w:rPr>
                <w:bCs/>
                <w:iCs/>
                <w:szCs w:val="22"/>
              </w:rPr>
              <w:t>-</w:t>
            </w:r>
          </w:p>
        </w:tc>
        <w:tc>
          <w:tcPr>
            <w:tcW w:w="1809" w:type="dxa"/>
          </w:tcPr>
          <w:p w14:paraId="0B4748FE" w14:textId="77777777" w:rsidR="00EE6E72" w:rsidRDefault="0097628E" w:rsidP="00424E40">
            <w:pPr>
              <w:rPr>
                <w:bCs/>
                <w:iCs/>
                <w:szCs w:val="22"/>
              </w:rPr>
            </w:pPr>
            <w:r w:rsidRPr="009B5E44">
              <w:rPr>
                <w:szCs w:val="22"/>
              </w:rPr>
              <w:t>Menej časté</w:t>
            </w:r>
          </w:p>
        </w:tc>
      </w:tr>
      <w:tr w:rsidR="0097628E" w:rsidRPr="009B5E44" w14:paraId="3B2901A4" w14:textId="77777777" w:rsidTr="00723675">
        <w:trPr>
          <w:trHeight w:val="283"/>
        </w:trPr>
        <w:tc>
          <w:tcPr>
            <w:tcW w:w="1985" w:type="dxa"/>
            <w:vMerge w:val="restart"/>
          </w:tcPr>
          <w:p w14:paraId="37C600C5" w14:textId="77777777" w:rsidR="00EE6E72" w:rsidRDefault="0097628E" w:rsidP="00424E40">
            <w:pPr>
              <w:rPr>
                <w:bCs/>
                <w:iCs/>
                <w:szCs w:val="22"/>
              </w:rPr>
            </w:pPr>
            <w:r w:rsidRPr="009B5E44">
              <w:rPr>
                <w:bCs/>
                <w:iCs/>
                <w:szCs w:val="22"/>
              </w:rPr>
              <w:t>Poruchy gastrointestinál-neho traktu</w:t>
            </w:r>
          </w:p>
        </w:tc>
        <w:tc>
          <w:tcPr>
            <w:tcW w:w="2410" w:type="dxa"/>
          </w:tcPr>
          <w:p w14:paraId="42184F5F" w14:textId="77777777" w:rsidR="00EE6E72" w:rsidRDefault="0097628E" w:rsidP="00424E40">
            <w:pPr>
              <w:autoSpaceDE w:val="0"/>
              <w:autoSpaceDN w:val="0"/>
              <w:adjustRightInd w:val="0"/>
              <w:rPr>
                <w:color w:val="000000"/>
                <w:szCs w:val="22"/>
                <w:lang w:eastAsia="en-GB"/>
              </w:rPr>
            </w:pPr>
            <w:r w:rsidRPr="009B5E44">
              <w:rPr>
                <w:color w:val="000000"/>
                <w:szCs w:val="22"/>
                <w:lang w:eastAsia="en-GB"/>
              </w:rPr>
              <w:t>Zápcha</w:t>
            </w:r>
          </w:p>
        </w:tc>
        <w:tc>
          <w:tcPr>
            <w:tcW w:w="1417" w:type="dxa"/>
          </w:tcPr>
          <w:p w14:paraId="39A9C621" w14:textId="77777777" w:rsidR="00EE6E72" w:rsidRDefault="0097628E" w:rsidP="00424E40">
            <w:pPr>
              <w:rPr>
                <w:bCs/>
                <w:iCs/>
                <w:szCs w:val="22"/>
              </w:rPr>
            </w:pPr>
            <w:r w:rsidRPr="009B5E44">
              <w:rPr>
                <w:bCs/>
                <w:iCs/>
                <w:szCs w:val="22"/>
              </w:rPr>
              <w:t>-</w:t>
            </w:r>
          </w:p>
        </w:tc>
        <w:tc>
          <w:tcPr>
            <w:tcW w:w="1418" w:type="dxa"/>
          </w:tcPr>
          <w:p w14:paraId="4122B8EE" w14:textId="77777777" w:rsidR="00EE6E72" w:rsidRDefault="0097628E" w:rsidP="00424E40">
            <w:pPr>
              <w:rPr>
                <w:bCs/>
                <w:iCs/>
                <w:szCs w:val="22"/>
              </w:rPr>
            </w:pPr>
            <w:r w:rsidRPr="009B5E44">
              <w:rPr>
                <w:bCs/>
                <w:iCs/>
                <w:szCs w:val="22"/>
              </w:rPr>
              <w:t>-</w:t>
            </w:r>
          </w:p>
        </w:tc>
        <w:tc>
          <w:tcPr>
            <w:tcW w:w="1809" w:type="dxa"/>
          </w:tcPr>
          <w:p w14:paraId="6C1D4D3D" w14:textId="77777777" w:rsidR="00EE6E72" w:rsidRDefault="0097628E" w:rsidP="00424E40">
            <w:pPr>
              <w:autoSpaceDE w:val="0"/>
              <w:autoSpaceDN w:val="0"/>
              <w:adjustRightInd w:val="0"/>
              <w:rPr>
                <w:szCs w:val="22"/>
              </w:rPr>
            </w:pPr>
            <w:r w:rsidRPr="009B5E44">
              <w:rPr>
                <w:szCs w:val="22"/>
              </w:rPr>
              <w:t>Menej časté</w:t>
            </w:r>
          </w:p>
        </w:tc>
      </w:tr>
      <w:tr w:rsidR="0097628E" w:rsidRPr="009B5E44" w14:paraId="0AB26A21" w14:textId="77777777" w:rsidTr="00723675">
        <w:trPr>
          <w:trHeight w:val="283"/>
        </w:trPr>
        <w:tc>
          <w:tcPr>
            <w:tcW w:w="1985" w:type="dxa"/>
            <w:vMerge/>
          </w:tcPr>
          <w:p w14:paraId="2F30BA62" w14:textId="77777777" w:rsidR="00EE6E72" w:rsidRDefault="00EE6E72" w:rsidP="00424E40">
            <w:pPr>
              <w:rPr>
                <w:bCs/>
                <w:iCs/>
                <w:szCs w:val="22"/>
              </w:rPr>
            </w:pPr>
          </w:p>
        </w:tc>
        <w:tc>
          <w:tcPr>
            <w:tcW w:w="2410" w:type="dxa"/>
          </w:tcPr>
          <w:p w14:paraId="7B6B1837" w14:textId="77777777" w:rsidR="00EE6E72" w:rsidRDefault="0097628E" w:rsidP="00424E40">
            <w:pPr>
              <w:autoSpaceDE w:val="0"/>
              <w:autoSpaceDN w:val="0"/>
              <w:adjustRightInd w:val="0"/>
              <w:rPr>
                <w:color w:val="000000"/>
                <w:szCs w:val="22"/>
                <w:lang w:eastAsia="en-GB"/>
              </w:rPr>
            </w:pPr>
            <w:r w:rsidRPr="009B5E44">
              <w:rPr>
                <w:color w:val="000000"/>
                <w:szCs w:val="22"/>
                <w:lang w:eastAsia="en-GB"/>
              </w:rPr>
              <w:t>Hnačka</w:t>
            </w:r>
          </w:p>
        </w:tc>
        <w:tc>
          <w:tcPr>
            <w:tcW w:w="1417" w:type="dxa"/>
          </w:tcPr>
          <w:p w14:paraId="568CF548" w14:textId="77777777" w:rsidR="00EE6E72" w:rsidRDefault="0097628E" w:rsidP="00424E40">
            <w:pPr>
              <w:rPr>
                <w:bCs/>
                <w:iCs/>
                <w:szCs w:val="22"/>
              </w:rPr>
            </w:pPr>
            <w:r w:rsidRPr="009B5E44">
              <w:rPr>
                <w:bCs/>
                <w:iCs/>
                <w:szCs w:val="22"/>
              </w:rPr>
              <w:t>-</w:t>
            </w:r>
          </w:p>
        </w:tc>
        <w:tc>
          <w:tcPr>
            <w:tcW w:w="1418" w:type="dxa"/>
          </w:tcPr>
          <w:p w14:paraId="78AABC5F" w14:textId="77777777" w:rsidR="00EE6E72" w:rsidRDefault="0097628E" w:rsidP="00424E40">
            <w:pPr>
              <w:rPr>
                <w:bCs/>
                <w:iCs/>
                <w:szCs w:val="22"/>
              </w:rPr>
            </w:pPr>
            <w:r w:rsidRPr="009B5E44">
              <w:rPr>
                <w:bCs/>
                <w:iCs/>
                <w:szCs w:val="22"/>
              </w:rPr>
              <w:t>-</w:t>
            </w:r>
          </w:p>
        </w:tc>
        <w:tc>
          <w:tcPr>
            <w:tcW w:w="1809" w:type="dxa"/>
          </w:tcPr>
          <w:p w14:paraId="490973F5" w14:textId="77777777" w:rsidR="00EE6E72" w:rsidRDefault="0097628E" w:rsidP="00424E40">
            <w:pPr>
              <w:autoSpaceDE w:val="0"/>
              <w:autoSpaceDN w:val="0"/>
              <w:adjustRightInd w:val="0"/>
              <w:rPr>
                <w:szCs w:val="22"/>
              </w:rPr>
            </w:pPr>
            <w:r w:rsidRPr="009B5E44">
              <w:rPr>
                <w:szCs w:val="22"/>
              </w:rPr>
              <w:t>Menej časté</w:t>
            </w:r>
          </w:p>
        </w:tc>
      </w:tr>
      <w:tr w:rsidR="0097628E" w:rsidRPr="009B5E44" w14:paraId="34E8923B" w14:textId="77777777" w:rsidTr="00723675">
        <w:trPr>
          <w:trHeight w:val="283"/>
        </w:trPr>
        <w:tc>
          <w:tcPr>
            <w:tcW w:w="1985" w:type="dxa"/>
            <w:vMerge/>
          </w:tcPr>
          <w:p w14:paraId="799E2B95" w14:textId="77777777" w:rsidR="00EE6E72" w:rsidRDefault="00EE6E72" w:rsidP="00424E40">
            <w:pPr>
              <w:rPr>
                <w:bCs/>
                <w:iCs/>
                <w:szCs w:val="22"/>
              </w:rPr>
            </w:pPr>
          </w:p>
        </w:tc>
        <w:tc>
          <w:tcPr>
            <w:tcW w:w="2410" w:type="dxa"/>
          </w:tcPr>
          <w:p w14:paraId="43FAEACA" w14:textId="77777777" w:rsidR="00EE6E72" w:rsidRDefault="0097628E" w:rsidP="00424E40">
            <w:pPr>
              <w:autoSpaceDE w:val="0"/>
              <w:autoSpaceDN w:val="0"/>
              <w:adjustRightInd w:val="0"/>
              <w:rPr>
                <w:color w:val="000000"/>
                <w:szCs w:val="22"/>
                <w:lang w:eastAsia="en-GB"/>
              </w:rPr>
            </w:pPr>
            <w:r w:rsidRPr="009B5E44">
              <w:rPr>
                <w:color w:val="000000"/>
                <w:szCs w:val="22"/>
                <w:lang w:eastAsia="en-GB"/>
              </w:rPr>
              <w:t>Nauzea</w:t>
            </w:r>
          </w:p>
        </w:tc>
        <w:tc>
          <w:tcPr>
            <w:tcW w:w="1417" w:type="dxa"/>
          </w:tcPr>
          <w:p w14:paraId="0C0E245F" w14:textId="77777777" w:rsidR="00EE6E72" w:rsidRDefault="0097628E" w:rsidP="00424E40">
            <w:pPr>
              <w:rPr>
                <w:bCs/>
                <w:iCs/>
                <w:szCs w:val="22"/>
              </w:rPr>
            </w:pPr>
            <w:r w:rsidRPr="009B5E44">
              <w:rPr>
                <w:bCs/>
                <w:iCs/>
                <w:szCs w:val="22"/>
              </w:rPr>
              <w:t>-</w:t>
            </w:r>
          </w:p>
        </w:tc>
        <w:tc>
          <w:tcPr>
            <w:tcW w:w="1418" w:type="dxa"/>
          </w:tcPr>
          <w:p w14:paraId="159613F3" w14:textId="77777777" w:rsidR="00EE6E72" w:rsidRDefault="0097628E" w:rsidP="00424E40">
            <w:pPr>
              <w:rPr>
                <w:bCs/>
                <w:iCs/>
                <w:szCs w:val="22"/>
              </w:rPr>
            </w:pPr>
            <w:r w:rsidRPr="009B5E44">
              <w:rPr>
                <w:bCs/>
                <w:iCs/>
                <w:szCs w:val="22"/>
              </w:rPr>
              <w:t>-</w:t>
            </w:r>
          </w:p>
        </w:tc>
        <w:tc>
          <w:tcPr>
            <w:tcW w:w="1809" w:type="dxa"/>
          </w:tcPr>
          <w:p w14:paraId="39881709" w14:textId="77777777" w:rsidR="00EE6E72" w:rsidRDefault="0097628E" w:rsidP="00424E40">
            <w:pPr>
              <w:autoSpaceDE w:val="0"/>
              <w:autoSpaceDN w:val="0"/>
              <w:adjustRightInd w:val="0"/>
              <w:rPr>
                <w:color w:val="000000"/>
                <w:szCs w:val="22"/>
                <w:lang w:eastAsia="en-GB"/>
              </w:rPr>
            </w:pPr>
            <w:r w:rsidRPr="009B5E44">
              <w:rPr>
                <w:szCs w:val="22"/>
              </w:rPr>
              <w:t>Menej časté</w:t>
            </w:r>
          </w:p>
        </w:tc>
      </w:tr>
      <w:tr w:rsidR="0097628E" w:rsidRPr="009B5E44" w14:paraId="6000F179" w14:textId="77777777" w:rsidTr="00723675">
        <w:trPr>
          <w:trHeight w:val="283"/>
        </w:trPr>
        <w:tc>
          <w:tcPr>
            <w:tcW w:w="1985" w:type="dxa"/>
            <w:vMerge/>
          </w:tcPr>
          <w:p w14:paraId="593EB2BB" w14:textId="77777777" w:rsidR="00EE6E72" w:rsidRDefault="00EE6E72" w:rsidP="00424E40">
            <w:pPr>
              <w:rPr>
                <w:bCs/>
                <w:iCs/>
                <w:szCs w:val="22"/>
              </w:rPr>
            </w:pPr>
          </w:p>
        </w:tc>
        <w:tc>
          <w:tcPr>
            <w:tcW w:w="2410" w:type="dxa"/>
          </w:tcPr>
          <w:p w14:paraId="555B8CD8" w14:textId="77777777" w:rsidR="00EE6E72" w:rsidRDefault="0097628E" w:rsidP="00424E40">
            <w:pPr>
              <w:autoSpaceDE w:val="0"/>
              <w:autoSpaceDN w:val="0"/>
              <w:adjustRightInd w:val="0"/>
              <w:rPr>
                <w:color w:val="000000"/>
                <w:szCs w:val="22"/>
                <w:lang w:eastAsia="en-GB"/>
              </w:rPr>
            </w:pPr>
            <w:r w:rsidRPr="009B5E44">
              <w:rPr>
                <w:color w:val="000000"/>
                <w:szCs w:val="22"/>
                <w:lang w:eastAsia="en-GB"/>
              </w:rPr>
              <w:t>Vracanie</w:t>
            </w:r>
          </w:p>
        </w:tc>
        <w:tc>
          <w:tcPr>
            <w:tcW w:w="1417" w:type="dxa"/>
          </w:tcPr>
          <w:p w14:paraId="34371D4D" w14:textId="77777777" w:rsidR="00EE6E72" w:rsidRDefault="0097628E" w:rsidP="00424E40">
            <w:pPr>
              <w:rPr>
                <w:bCs/>
                <w:iCs/>
                <w:szCs w:val="22"/>
              </w:rPr>
            </w:pPr>
            <w:r w:rsidRPr="009B5E44">
              <w:rPr>
                <w:bCs/>
                <w:iCs/>
                <w:szCs w:val="22"/>
              </w:rPr>
              <w:t>-</w:t>
            </w:r>
          </w:p>
        </w:tc>
        <w:tc>
          <w:tcPr>
            <w:tcW w:w="1418" w:type="dxa"/>
          </w:tcPr>
          <w:p w14:paraId="416BDCDA" w14:textId="77777777" w:rsidR="00EE6E72" w:rsidRDefault="0097628E" w:rsidP="00424E40">
            <w:pPr>
              <w:rPr>
                <w:bCs/>
                <w:iCs/>
                <w:szCs w:val="22"/>
              </w:rPr>
            </w:pPr>
            <w:r w:rsidRPr="009B5E44">
              <w:rPr>
                <w:bCs/>
                <w:iCs/>
                <w:szCs w:val="22"/>
              </w:rPr>
              <w:t>-</w:t>
            </w:r>
          </w:p>
        </w:tc>
        <w:tc>
          <w:tcPr>
            <w:tcW w:w="1809" w:type="dxa"/>
          </w:tcPr>
          <w:p w14:paraId="620474C7" w14:textId="77777777" w:rsidR="00EE6E72" w:rsidRDefault="0097628E" w:rsidP="00424E40">
            <w:pPr>
              <w:autoSpaceDE w:val="0"/>
              <w:autoSpaceDN w:val="0"/>
              <w:adjustRightInd w:val="0"/>
              <w:rPr>
                <w:color w:val="000000"/>
                <w:szCs w:val="22"/>
                <w:lang w:eastAsia="en-GB"/>
              </w:rPr>
            </w:pPr>
            <w:r w:rsidRPr="009B5E44">
              <w:rPr>
                <w:szCs w:val="22"/>
              </w:rPr>
              <w:t>Menej časté</w:t>
            </w:r>
          </w:p>
        </w:tc>
      </w:tr>
      <w:tr w:rsidR="0097628E" w:rsidRPr="009B5E44" w14:paraId="50056A30" w14:textId="77777777" w:rsidTr="00723675">
        <w:trPr>
          <w:trHeight w:val="283"/>
        </w:trPr>
        <w:tc>
          <w:tcPr>
            <w:tcW w:w="1985" w:type="dxa"/>
            <w:vMerge w:val="restart"/>
          </w:tcPr>
          <w:p w14:paraId="1F3CA07A" w14:textId="77777777" w:rsidR="00EE6E72" w:rsidRDefault="0097628E" w:rsidP="00424E40">
            <w:pPr>
              <w:keepNext/>
              <w:keepLines/>
              <w:rPr>
                <w:bCs/>
                <w:iCs/>
                <w:szCs w:val="22"/>
              </w:rPr>
            </w:pPr>
            <w:r w:rsidRPr="009B5E44">
              <w:rPr>
                <w:bCs/>
                <w:iCs/>
                <w:szCs w:val="22"/>
              </w:rPr>
              <w:lastRenderedPageBreak/>
              <w:t>Poruchy kože a podkožného tkaniva</w:t>
            </w:r>
          </w:p>
        </w:tc>
        <w:tc>
          <w:tcPr>
            <w:tcW w:w="2410" w:type="dxa"/>
          </w:tcPr>
          <w:p w14:paraId="73E522E9" w14:textId="77777777" w:rsidR="00EE6E72" w:rsidRDefault="0097628E" w:rsidP="00424E40">
            <w:pPr>
              <w:keepNext/>
              <w:keepLines/>
              <w:tabs>
                <w:tab w:val="right" w:pos="2429"/>
              </w:tabs>
              <w:autoSpaceDE w:val="0"/>
              <w:autoSpaceDN w:val="0"/>
              <w:adjustRightInd w:val="0"/>
              <w:rPr>
                <w:bCs/>
                <w:iCs/>
                <w:szCs w:val="22"/>
              </w:rPr>
            </w:pPr>
            <w:r w:rsidRPr="009B5E44">
              <w:rPr>
                <w:color w:val="000000"/>
                <w:szCs w:val="22"/>
                <w:lang w:eastAsia="en-GB"/>
              </w:rPr>
              <w:t>Angioedém</w:t>
            </w:r>
          </w:p>
        </w:tc>
        <w:tc>
          <w:tcPr>
            <w:tcW w:w="1417" w:type="dxa"/>
          </w:tcPr>
          <w:p w14:paraId="3879467F" w14:textId="77777777" w:rsidR="00EE6E72" w:rsidRDefault="0097628E" w:rsidP="00424E40">
            <w:pPr>
              <w:keepNext/>
              <w:keepLines/>
              <w:rPr>
                <w:bCs/>
                <w:iCs/>
                <w:szCs w:val="22"/>
              </w:rPr>
            </w:pPr>
            <w:r w:rsidRPr="009B5E44">
              <w:rPr>
                <w:bCs/>
                <w:iCs/>
                <w:szCs w:val="22"/>
              </w:rPr>
              <w:t>-</w:t>
            </w:r>
          </w:p>
        </w:tc>
        <w:tc>
          <w:tcPr>
            <w:tcW w:w="1418" w:type="dxa"/>
          </w:tcPr>
          <w:p w14:paraId="1F9247BC" w14:textId="77777777" w:rsidR="00EE6E72" w:rsidRDefault="0097628E" w:rsidP="00424E40">
            <w:pPr>
              <w:keepNext/>
              <w:keepLines/>
              <w:rPr>
                <w:bCs/>
                <w:iCs/>
                <w:szCs w:val="22"/>
              </w:rPr>
            </w:pPr>
            <w:r w:rsidRPr="009B5E44">
              <w:rPr>
                <w:bCs/>
                <w:iCs/>
                <w:szCs w:val="22"/>
              </w:rPr>
              <w:t>-</w:t>
            </w:r>
          </w:p>
        </w:tc>
        <w:tc>
          <w:tcPr>
            <w:tcW w:w="1809" w:type="dxa"/>
          </w:tcPr>
          <w:p w14:paraId="49D6C9B8" w14:textId="77777777" w:rsidR="00EE6E72" w:rsidRDefault="0097628E" w:rsidP="00424E40">
            <w:pPr>
              <w:keepNext/>
              <w:keepLines/>
              <w:rPr>
                <w:bCs/>
                <w:iCs/>
                <w:szCs w:val="22"/>
              </w:rPr>
            </w:pPr>
            <w:r w:rsidRPr="009B5E44">
              <w:rPr>
                <w:bCs/>
                <w:iCs/>
                <w:szCs w:val="22"/>
              </w:rPr>
              <w:t>Zriedkavé</w:t>
            </w:r>
          </w:p>
        </w:tc>
      </w:tr>
      <w:tr w:rsidR="0097628E" w:rsidRPr="009B5E44" w14:paraId="5BD59317" w14:textId="77777777" w:rsidTr="00723675">
        <w:trPr>
          <w:trHeight w:val="283"/>
        </w:trPr>
        <w:tc>
          <w:tcPr>
            <w:tcW w:w="1985" w:type="dxa"/>
            <w:vMerge/>
          </w:tcPr>
          <w:p w14:paraId="7AC7A52D" w14:textId="77777777" w:rsidR="00EE6E72" w:rsidRDefault="00EE6E72" w:rsidP="00424E40">
            <w:pPr>
              <w:keepNext/>
              <w:keepLines/>
              <w:rPr>
                <w:bCs/>
                <w:iCs/>
                <w:szCs w:val="22"/>
              </w:rPr>
            </w:pPr>
          </w:p>
        </w:tc>
        <w:tc>
          <w:tcPr>
            <w:tcW w:w="2410" w:type="dxa"/>
          </w:tcPr>
          <w:p w14:paraId="5818A535" w14:textId="77777777" w:rsidR="00EE6E72" w:rsidRDefault="0097628E" w:rsidP="00424E40">
            <w:pPr>
              <w:keepNext/>
              <w:keepLines/>
              <w:autoSpaceDE w:val="0"/>
              <w:autoSpaceDN w:val="0"/>
              <w:adjustRightInd w:val="0"/>
              <w:rPr>
                <w:color w:val="000000"/>
                <w:szCs w:val="22"/>
                <w:lang w:eastAsia="en-GB"/>
              </w:rPr>
            </w:pPr>
            <w:r w:rsidRPr="009B5E44">
              <w:rPr>
                <w:color w:val="000000"/>
                <w:szCs w:val="22"/>
                <w:lang w:eastAsia="en-GB"/>
              </w:rPr>
              <w:t>Stevensov</w:t>
            </w:r>
            <w:r w:rsidRPr="009B5E44">
              <w:rPr>
                <w:color w:val="000000"/>
                <w:szCs w:val="22"/>
                <w:lang w:eastAsia="en-GB"/>
              </w:rPr>
              <w:noBreakHyphen/>
              <w:t>Johnsonov syndróm</w:t>
            </w:r>
          </w:p>
        </w:tc>
        <w:tc>
          <w:tcPr>
            <w:tcW w:w="1417" w:type="dxa"/>
          </w:tcPr>
          <w:p w14:paraId="4486D7D1" w14:textId="77777777" w:rsidR="00EE6E72" w:rsidRDefault="0097628E" w:rsidP="00424E40">
            <w:pPr>
              <w:keepNext/>
              <w:keepLines/>
              <w:rPr>
                <w:bCs/>
                <w:iCs/>
                <w:szCs w:val="22"/>
              </w:rPr>
            </w:pPr>
            <w:r w:rsidRPr="009B5E44">
              <w:rPr>
                <w:bCs/>
                <w:iCs/>
                <w:szCs w:val="22"/>
              </w:rPr>
              <w:t>-</w:t>
            </w:r>
          </w:p>
        </w:tc>
        <w:tc>
          <w:tcPr>
            <w:tcW w:w="1418" w:type="dxa"/>
          </w:tcPr>
          <w:p w14:paraId="0412468B" w14:textId="77777777" w:rsidR="00EE6E72" w:rsidRDefault="0097628E" w:rsidP="00424E40">
            <w:pPr>
              <w:keepNext/>
              <w:keepLines/>
              <w:rPr>
                <w:bCs/>
                <w:iCs/>
                <w:szCs w:val="22"/>
              </w:rPr>
            </w:pPr>
            <w:r w:rsidRPr="009B5E44">
              <w:rPr>
                <w:bCs/>
                <w:iCs/>
                <w:szCs w:val="22"/>
              </w:rPr>
              <w:t>-</w:t>
            </w:r>
          </w:p>
        </w:tc>
        <w:tc>
          <w:tcPr>
            <w:tcW w:w="1809" w:type="dxa"/>
          </w:tcPr>
          <w:p w14:paraId="4C28FF43" w14:textId="77777777" w:rsidR="00EE6E72" w:rsidRDefault="0097628E" w:rsidP="00424E40">
            <w:pPr>
              <w:keepNext/>
              <w:keepLines/>
              <w:rPr>
                <w:bCs/>
                <w:iCs/>
                <w:szCs w:val="22"/>
              </w:rPr>
            </w:pPr>
            <w:r w:rsidRPr="009B5E44">
              <w:rPr>
                <w:bCs/>
                <w:iCs/>
                <w:szCs w:val="22"/>
              </w:rPr>
              <w:t>Veľmi zriedkavé</w:t>
            </w:r>
          </w:p>
        </w:tc>
      </w:tr>
      <w:tr w:rsidR="0097628E" w:rsidRPr="009B5E44" w14:paraId="764BF45E" w14:textId="77777777" w:rsidTr="00723675">
        <w:trPr>
          <w:trHeight w:val="283"/>
        </w:trPr>
        <w:tc>
          <w:tcPr>
            <w:tcW w:w="1985" w:type="dxa"/>
            <w:vMerge/>
          </w:tcPr>
          <w:p w14:paraId="2B78CCD2" w14:textId="77777777" w:rsidR="00EE6E72" w:rsidRDefault="00EE6E72" w:rsidP="00424E40">
            <w:pPr>
              <w:keepNext/>
              <w:keepLines/>
              <w:rPr>
                <w:bCs/>
                <w:iCs/>
                <w:szCs w:val="22"/>
              </w:rPr>
            </w:pPr>
          </w:p>
        </w:tc>
        <w:tc>
          <w:tcPr>
            <w:tcW w:w="2410" w:type="dxa"/>
          </w:tcPr>
          <w:p w14:paraId="54566A9B" w14:textId="77777777" w:rsidR="00EE6E72" w:rsidRDefault="0097628E" w:rsidP="00424E40">
            <w:pPr>
              <w:keepNext/>
              <w:keepLines/>
              <w:tabs>
                <w:tab w:val="right" w:pos="2429"/>
              </w:tabs>
              <w:autoSpaceDE w:val="0"/>
              <w:autoSpaceDN w:val="0"/>
              <w:adjustRightInd w:val="0"/>
              <w:rPr>
                <w:color w:val="000000"/>
                <w:szCs w:val="22"/>
                <w:lang w:eastAsia="en-GB"/>
              </w:rPr>
            </w:pPr>
            <w:r w:rsidRPr="009B5E44">
              <w:rPr>
                <w:color w:val="000000"/>
                <w:szCs w:val="22"/>
                <w:lang w:eastAsia="en-GB"/>
              </w:rPr>
              <w:t>Urtikária</w:t>
            </w:r>
          </w:p>
        </w:tc>
        <w:tc>
          <w:tcPr>
            <w:tcW w:w="1417" w:type="dxa"/>
          </w:tcPr>
          <w:p w14:paraId="12449FBE" w14:textId="77777777" w:rsidR="00EE6E72" w:rsidRDefault="0097628E" w:rsidP="00424E40">
            <w:pPr>
              <w:keepNext/>
              <w:keepLines/>
              <w:rPr>
                <w:bCs/>
                <w:iCs/>
                <w:szCs w:val="22"/>
              </w:rPr>
            </w:pPr>
            <w:r w:rsidRPr="009B5E44">
              <w:rPr>
                <w:bCs/>
                <w:iCs/>
                <w:szCs w:val="22"/>
              </w:rPr>
              <w:t>-</w:t>
            </w:r>
          </w:p>
        </w:tc>
        <w:tc>
          <w:tcPr>
            <w:tcW w:w="1418" w:type="dxa"/>
          </w:tcPr>
          <w:p w14:paraId="6DB0F0EC" w14:textId="77777777" w:rsidR="00EE6E72" w:rsidRDefault="0097628E" w:rsidP="00424E40">
            <w:pPr>
              <w:keepNext/>
              <w:keepLines/>
              <w:rPr>
                <w:bCs/>
                <w:iCs/>
                <w:szCs w:val="22"/>
              </w:rPr>
            </w:pPr>
            <w:r w:rsidRPr="009B5E44">
              <w:rPr>
                <w:bCs/>
                <w:iCs/>
                <w:szCs w:val="22"/>
              </w:rPr>
              <w:t>-</w:t>
            </w:r>
          </w:p>
        </w:tc>
        <w:tc>
          <w:tcPr>
            <w:tcW w:w="1809" w:type="dxa"/>
          </w:tcPr>
          <w:p w14:paraId="381770B7" w14:textId="77777777" w:rsidR="00EE6E72" w:rsidRDefault="0097628E" w:rsidP="00424E40">
            <w:pPr>
              <w:keepNext/>
              <w:keepLines/>
              <w:rPr>
                <w:bCs/>
                <w:iCs/>
                <w:szCs w:val="22"/>
              </w:rPr>
            </w:pPr>
            <w:r w:rsidRPr="009B5E44">
              <w:rPr>
                <w:bCs/>
                <w:iCs/>
                <w:szCs w:val="22"/>
              </w:rPr>
              <w:t>Menej časté</w:t>
            </w:r>
          </w:p>
        </w:tc>
      </w:tr>
      <w:tr w:rsidR="0097628E" w:rsidRPr="009B5E44" w14:paraId="1E6C0605" w14:textId="77777777" w:rsidTr="00723675">
        <w:trPr>
          <w:trHeight w:val="283"/>
        </w:trPr>
        <w:tc>
          <w:tcPr>
            <w:tcW w:w="1985" w:type="dxa"/>
            <w:vMerge/>
          </w:tcPr>
          <w:p w14:paraId="5AEABCD2" w14:textId="77777777" w:rsidR="00EE6E72" w:rsidRDefault="00EE6E72" w:rsidP="00424E40">
            <w:pPr>
              <w:keepNext/>
              <w:keepLines/>
              <w:rPr>
                <w:bCs/>
                <w:iCs/>
                <w:szCs w:val="22"/>
              </w:rPr>
            </w:pPr>
          </w:p>
        </w:tc>
        <w:tc>
          <w:tcPr>
            <w:tcW w:w="2410" w:type="dxa"/>
          </w:tcPr>
          <w:p w14:paraId="7A5ABC19" w14:textId="77777777" w:rsidR="00EE6E72" w:rsidRDefault="0097628E" w:rsidP="00424E40">
            <w:pPr>
              <w:keepNext/>
              <w:keepLines/>
              <w:tabs>
                <w:tab w:val="right" w:pos="2429"/>
              </w:tabs>
              <w:autoSpaceDE w:val="0"/>
              <w:autoSpaceDN w:val="0"/>
              <w:adjustRightInd w:val="0"/>
              <w:rPr>
                <w:color w:val="000000"/>
                <w:szCs w:val="22"/>
                <w:lang w:eastAsia="en-GB"/>
              </w:rPr>
            </w:pPr>
            <w:r w:rsidRPr="009B5E44">
              <w:rPr>
                <w:color w:val="000000"/>
                <w:szCs w:val="22"/>
                <w:lang w:eastAsia="en-GB"/>
              </w:rPr>
              <w:t>Vyrážka</w:t>
            </w:r>
          </w:p>
        </w:tc>
        <w:tc>
          <w:tcPr>
            <w:tcW w:w="1417" w:type="dxa"/>
          </w:tcPr>
          <w:p w14:paraId="05EEF5EF" w14:textId="77777777" w:rsidR="00EE6E72" w:rsidRDefault="0097628E" w:rsidP="00424E40">
            <w:pPr>
              <w:keepNext/>
              <w:keepLines/>
              <w:rPr>
                <w:bCs/>
                <w:iCs/>
                <w:szCs w:val="22"/>
              </w:rPr>
            </w:pPr>
            <w:r w:rsidRPr="009B5E44">
              <w:rPr>
                <w:bCs/>
                <w:iCs/>
                <w:szCs w:val="22"/>
              </w:rPr>
              <w:t>-</w:t>
            </w:r>
          </w:p>
        </w:tc>
        <w:tc>
          <w:tcPr>
            <w:tcW w:w="1418" w:type="dxa"/>
          </w:tcPr>
          <w:p w14:paraId="3B5D8633" w14:textId="77777777" w:rsidR="00EE6E72" w:rsidRDefault="0097628E" w:rsidP="00424E40">
            <w:pPr>
              <w:keepNext/>
              <w:keepLines/>
              <w:rPr>
                <w:bCs/>
                <w:iCs/>
                <w:szCs w:val="22"/>
              </w:rPr>
            </w:pPr>
            <w:r w:rsidRPr="009B5E44">
              <w:rPr>
                <w:bCs/>
                <w:iCs/>
                <w:szCs w:val="22"/>
              </w:rPr>
              <w:t>-</w:t>
            </w:r>
          </w:p>
        </w:tc>
        <w:tc>
          <w:tcPr>
            <w:tcW w:w="1809" w:type="dxa"/>
          </w:tcPr>
          <w:p w14:paraId="0DF22B19" w14:textId="77777777" w:rsidR="00EE6E72" w:rsidRDefault="0097628E" w:rsidP="00424E40">
            <w:pPr>
              <w:keepNext/>
              <w:keepLines/>
              <w:rPr>
                <w:bCs/>
                <w:iCs/>
                <w:szCs w:val="22"/>
              </w:rPr>
            </w:pPr>
            <w:r w:rsidRPr="009B5E44">
              <w:rPr>
                <w:bCs/>
                <w:iCs/>
                <w:szCs w:val="22"/>
              </w:rPr>
              <w:t>Menej časté</w:t>
            </w:r>
          </w:p>
        </w:tc>
      </w:tr>
      <w:tr w:rsidR="0097628E" w:rsidRPr="009B5E44" w14:paraId="7B74576C" w14:textId="77777777" w:rsidTr="00723675">
        <w:trPr>
          <w:trHeight w:val="283"/>
        </w:trPr>
        <w:tc>
          <w:tcPr>
            <w:tcW w:w="1985" w:type="dxa"/>
            <w:vMerge/>
            <w:tcBorders>
              <w:bottom w:val="single" w:sz="4" w:space="0" w:color="auto"/>
            </w:tcBorders>
          </w:tcPr>
          <w:p w14:paraId="312FC08A" w14:textId="77777777" w:rsidR="00EE6E72" w:rsidRDefault="00EE6E72" w:rsidP="00424E40">
            <w:pPr>
              <w:keepNext/>
              <w:keepLines/>
              <w:rPr>
                <w:bCs/>
                <w:iCs/>
                <w:szCs w:val="22"/>
              </w:rPr>
            </w:pPr>
          </w:p>
        </w:tc>
        <w:tc>
          <w:tcPr>
            <w:tcW w:w="2410" w:type="dxa"/>
          </w:tcPr>
          <w:p w14:paraId="0FFA35FE" w14:textId="77777777" w:rsidR="00EE6E72" w:rsidRDefault="0097628E" w:rsidP="00424E40">
            <w:pPr>
              <w:keepNext/>
              <w:keepLines/>
              <w:tabs>
                <w:tab w:val="right" w:pos="2429"/>
              </w:tabs>
              <w:autoSpaceDE w:val="0"/>
              <w:autoSpaceDN w:val="0"/>
              <w:adjustRightInd w:val="0"/>
              <w:rPr>
                <w:color w:val="000000"/>
                <w:szCs w:val="22"/>
                <w:lang w:eastAsia="en-GB"/>
              </w:rPr>
            </w:pPr>
            <w:r w:rsidRPr="009B5E44">
              <w:rPr>
                <w:color w:val="000000"/>
                <w:szCs w:val="22"/>
                <w:lang w:eastAsia="en-GB"/>
              </w:rPr>
              <w:t>Pruritus</w:t>
            </w:r>
          </w:p>
        </w:tc>
        <w:tc>
          <w:tcPr>
            <w:tcW w:w="1417" w:type="dxa"/>
          </w:tcPr>
          <w:p w14:paraId="0CF60C2C" w14:textId="77777777" w:rsidR="00EE6E72" w:rsidRDefault="0097628E" w:rsidP="00424E40">
            <w:pPr>
              <w:keepNext/>
              <w:keepLines/>
              <w:rPr>
                <w:bCs/>
                <w:iCs/>
                <w:szCs w:val="22"/>
              </w:rPr>
            </w:pPr>
            <w:r w:rsidRPr="009B5E44">
              <w:rPr>
                <w:bCs/>
                <w:iCs/>
                <w:szCs w:val="22"/>
              </w:rPr>
              <w:t>-</w:t>
            </w:r>
          </w:p>
        </w:tc>
        <w:tc>
          <w:tcPr>
            <w:tcW w:w="1418" w:type="dxa"/>
          </w:tcPr>
          <w:p w14:paraId="563D9E9E" w14:textId="77777777" w:rsidR="00EE6E72" w:rsidRDefault="0097628E" w:rsidP="00424E40">
            <w:pPr>
              <w:keepNext/>
              <w:keepLines/>
              <w:rPr>
                <w:bCs/>
                <w:iCs/>
                <w:szCs w:val="22"/>
              </w:rPr>
            </w:pPr>
            <w:r w:rsidRPr="009B5E44">
              <w:rPr>
                <w:bCs/>
                <w:iCs/>
                <w:szCs w:val="22"/>
              </w:rPr>
              <w:t>-</w:t>
            </w:r>
          </w:p>
        </w:tc>
        <w:tc>
          <w:tcPr>
            <w:tcW w:w="1809" w:type="dxa"/>
          </w:tcPr>
          <w:p w14:paraId="14FAFACD" w14:textId="77777777" w:rsidR="00EE6E72" w:rsidRDefault="0097628E" w:rsidP="00424E40">
            <w:pPr>
              <w:keepNext/>
              <w:keepLines/>
              <w:rPr>
                <w:bCs/>
                <w:iCs/>
                <w:szCs w:val="22"/>
              </w:rPr>
            </w:pPr>
            <w:r w:rsidRPr="009B5E44">
              <w:rPr>
                <w:bCs/>
                <w:iCs/>
                <w:szCs w:val="22"/>
              </w:rPr>
              <w:t>Menej časté</w:t>
            </w:r>
          </w:p>
        </w:tc>
      </w:tr>
      <w:tr w:rsidR="0097628E" w:rsidRPr="009B5E44" w14:paraId="0804E088" w14:textId="77777777" w:rsidTr="00723675">
        <w:trPr>
          <w:trHeight w:val="283"/>
        </w:trPr>
        <w:tc>
          <w:tcPr>
            <w:tcW w:w="1985" w:type="dxa"/>
            <w:vMerge w:val="restart"/>
          </w:tcPr>
          <w:p w14:paraId="394AB8FB" w14:textId="77777777" w:rsidR="00EE6E72" w:rsidRDefault="0097628E" w:rsidP="00424E40">
            <w:pPr>
              <w:keepNext/>
              <w:keepLines/>
              <w:tabs>
                <w:tab w:val="left" w:pos="162"/>
              </w:tabs>
              <w:rPr>
                <w:snapToGrid w:val="0"/>
                <w:color w:val="000000"/>
                <w:szCs w:val="22"/>
              </w:rPr>
            </w:pPr>
            <w:r w:rsidRPr="009B5E44">
              <w:rPr>
                <w:bCs/>
                <w:szCs w:val="22"/>
              </w:rPr>
              <w:t>Poruchy reprodukčného systému a prsníkov</w:t>
            </w:r>
          </w:p>
        </w:tc>
        <w:tc>
          <w:tcPr>
            <w:tcW w:w="2410" w:type="dxa"/>
            <w:tcBorders>
              <w:bottom w:val="single" w:sz="4" w:space="0" w:color="auto"/>
            </w:tcBorders>
          </w:tcPr>
          <w:p w14:paraId="02A73AA5" w14:textId="77777777" w:rsidR="00EE6E72" w:rsidRDefault="0097628E" w:rsidP="00424E40">
            <w:pPr>
              <w:autoSpaceDE w:val="0"/>
              <w:autoSpaceDN w:val="0"/>
              <w:adjustRightInd w:val="0"/>
              <w:rPr>
                <w:bCs/>
                <w:iCs/>
                <w:szCs w:val="22"/>
              </w:rPr>
            </w:pPr>
            <w:r w:rsidRPr="009B5E44">
              <w:rPr>
                <w:color w:val="000000"/>
                <w:szCs w:val="22"/>
                <w:lang w:eastAsia="en-GB"/>
              </w:rPr>
              <w:t>Priapizmus</w:t>
            </w:r>
          </w:p>
        </w:tc>
        <w:tc>
          <w:tcPr>
            <w:tcW w:w="1417" w:type="dxa"/>
            <w:tcBorders>
              <w:bottom w:val="single" w:sz="4" w:space="0" w:color="auto"/>
            </w:tcBorders>
          </w:tcPr>
          <w:p w14:paraId="64818E07" w14:textId="77777777" w:rsidR="00EE6E72" w:rsidRDefault="0097628E" w:rsidP="00424E40">
            <w:pPr>
              <w:rPr>
                <w:bCs/>
                <w:iCs/>
                <w:szCs w:val="22"/>
              </w:rPr>
            </w:pPr>
            <w:r w:rsidRPr="009B5E44">
              <w:rPr>
                <w:bCs/>
                <w:iCs/>
                <w:szCs w:val="22"/>
              </w:rPr>
              <w:t>-</w:t>
            </w:r>
          </w:p>
        </w:tc>
        <w:tc>
          <w:tcPr>
            <w:tcW w:w="1418" w:type="dxa"/>
          </w:tcPr>
          <w:p w14:paraId="59328453" w14:textId="77777777" w:rsidR="00EE6E72" w:rsidRDefault="0097628E" w:rsidP="00424E40">
            <w:pPr>
              <w:rPr>
                <w:bCs/>
                <w:iCs/>
                <w:szCs w:val="22"/>
              </w:rPr>
            </w:pPr>
            <w:r w:rsidRPr="009B5E44">
              <w:rPr>
                <w:bCs/>
                <w:iCs/>
                <w:szCs w:val="22"/>
              </w:rPr>
              <w:t>-</w:t>
            </w:r>
          </w:p>
        </w:tc>
        <w:tc>
          <w:tcPr>
            <w:tcW w:w="1809" w:type="dxa"/>
          </w:tcPr>
          <w:p w14:paraId="020B5692" w14:textId="77777777" w:rsidR="00EE6E72" w:rsidRDefault="0097628E" w:rsidP="00424E40">
            <w:pPr>
              <w:rPr>
                <w:bCs/>
                <w:iCs/>
                <w:szCs w:val="22"/>
              </w:rPr>
            </w:pPr>
            <w:r w:rsidRPr="009B5E44">
              <w:rPr>
                <w:bCs/>
                <w:iCs/>
                <w:szCs w:val="22"/>
              </w:rPr>
              <w:t>Veľmi zriedkavé</w:t>
            </w:r>
          </w:p>
        </w:tc>
      </w:tr>
      <w:tr w:rsidR="0097628E" w:rsidRPr="009B5E44" w14:paraId="76E4C14D" w14:textId="77777777" w:rsidTr="00723675">
        <w:trPr>
          <w:trHeight w:val="283"/>
        </w:trPr>
        <w:tc>
          <w:tcPr>
            <w:tcW w:w="1985" w:type="dxa"/>
            <w:vMerge/>
          </w:tcPr>
          <w:p w14:paraId="3E266B72" w14:textId="77777777" w:rsidR="00EE6E72" w:rsidRDefault="00EE6E72" w:rsidP="00424E40">
            <w:pPr>
              <w:keepNext/>
              <w:keepLines/>
              <w:tabs>
                <w:tab w:val="left" w:pos="162"/>
              </w:tabs>
              <w:rPr>
                <w:snapToGrid w:val="0"/>
                <w:color w:val="000000"/>
                <w:szCs w:val="22"/>
              </w:rPr>
            </w:pPr>
          </w:p>
        </w:tc>
        <w:tc>
          <w:tcPr>
            <w:tcW w:w="2410" w:type="dxa"/>
            <w:tcBorders>
              <w:top w:val="single" w:sz="4" w:space="0" w:color="auto"/>
              <w:bottom w:val="single" w:sz="4" w:space="0" w:color="auto"/>
            </w:tcBorders>
          </w:tcPr>
          <w:p w14:paraId="62F4BB0F" w14:textId="77777777" w:rsidR="00EE6E72" w:rsidRDefault="0097628E" w:rsidP="00424E40">
            <w:pPr>
              <w:autoSpaceDE w:val="0"/>
              <w:autoSpaceDN w:val="0"/>
              <w:adjustRightInd w:val="0"/>
              <w:rPr>
                <w:color w:val="000000"/>
                <w:szCs w:val="22"/>
                <w:vertAlign w:val="superscript"/>
                <w:lang w:eastAsia="en-GB"/>
              </w:rPr>
            </w:pPr>
            <w:r w:rsidRPr="009B5E44">
              <w:rPr>
                <w:bCs/>
                <w:iCs/>
                <w:szCs w:val="22"/>
              </w:rPr>
              <w:t>Impotencia</w:t>
            </w:r>
            <w:r w:rsidRPr="009B5E44">
              <w:rPr>
                <w:bCs/>
                <w:iCs/>
                <w:szCs w:val="22"/>
                <w:vertAlign w:val="superscript"/>
              </w:rPr>
              <w:t>3</w:t>
            </w:r>
          </w:p>
        </w:tc>
        <w:tc>
          <w:tcPr>
            <w:tcW w:w="1417" w:type="dxa"/>
            <w:tcBorders>
              <w:top w:val="single" w:sz="4" w:space="0" w:color="auto"/>
              <w:bottom w:val="single" w:sz="4" w:space="0" w:color="auto"/>
            </w:tcBorders>
          </w:tcPr>
          <w:p w14:paraId="61B92A61" w14:textId="77777777" w:rsidR="00EE6E72" w:rsidRDefault="0097628E" w:rsidP="00424E40">
            <w:pPr>
              <w:rPr>
                <w:bCs/>
                <w:iCs/>
                <w:szCs w:val="22"/>
              </w:rPr>
            </w:pPr>
            <w:r w:rsidRPr="009B5E44">
              <w:rPr>
                <w:bCs/>
                <w:iCs/>
                <w:szCs w:val="22"/>
              </w:rPr>
              <w:t>Časté</w:t>
            </w:r>
          </w:p>
        </w:tc>
        <w:tc>
          <w:tcPr>
            <w:tcW w:w="1418" w:type="dxa"/>
          </w:tcPr>
          <w:p w14:paraId="179BB5B7" w14:textId="77777777" w:rsidR="00EE6E72" w:rsidRDefault="0097628E" w:rsidP="00424E40">
            <w:pPr>
              <w:rPr>
                <w:bCs/>
                <w:iCs/>
                <w:szCs w:val="22"/>
              </w:rPr>
            </w:pPr>
            <w:r w:rsidRPr="009B5E44">
              <w:rPr>
                <w:bCs/>
                <w:iCs/>
                <w:szCs w:val="22"/>
              </w:rPr>
              <w:t>Časté</w:t>
            </w:r>
            <w:r w:rsidRPr="009B5E44">
              <w:rPr>
                <w:bCs/>
                <w:iCs/>
                <w:szCs w:val="22"/>
                <w:vertAlign w:val="superscript"/>
              </w:rPr>
              <w:t>b</w:t>
            </w:r>
          </w:p>
        </w:tc>
        <w:tc>
          <w:tcPr>
            <w:tcW w:w="1809" w:type="dxa"/>
          </w:tcPr>
          <w:p w14:paraId="4B96E53A" w14:textId="77777777" w:rsidR="00EE6E72" w:rsidRDefault="0097628E" w:rsidP="00424E40">
            <w:pPr>
              <w:rPr>
                <w:bCs/>
                <w:iCs/>
                <w:szCs w:val="22"/>
              </w:rPr>
            </w:pPr>
            <w:r w:rsidRPr="009B5E44">
              <w:rPr>
                <w:bCs/>
                <w:iCs/>
                <w:szCs w:val="22"/>
              </w:rPr>
              <w:t>-</w:t>
            </w:r>
          </w:p>
        </w:tc>
      </w:tr>
      <w:tr w:rsidR="0097628E" w:rsidRPr="009B5E44" w14:paraId="17FB6BDC" w14:textId="77777777" w:rsidTr="00723675">
        <w:trPr>
          <w:trHeight w:val="283"/>
        </w:trPr>
        <w:tc>
          <w:tcPr>
            <w:tcW w:w="1985" w:type="dxa"/>
            <w:vMerge/>
          </w:tcPr>
          <w:p w14:paraId="40D8A201" w14:textId="77777777" w:rsidR="00EE6E72" w:rsidRDefault="00EE6E72" w:rsidP="00424E40">
            <w:pPr>
              <w:keepNext/>
              <w:keepLines/>
              <w:tabs>
                <w:tab w:val="left" w:pos="162"/>
              </w:tabs>
              <w:rPr>
                <w:snapToGrid w:val="0"/>
                <w:color w:val="000000"/>
                <w:szCs w:val="22"/>
              </w:rPr>
            </w:pPr>
          </w:p>
        </w:tc>
        <w:tc>
          <w:tcPr>
            <w:tcW w:w="2410" w:type="dxa"/>
            <w:tcBorders>
              <w:top w:val="single" w:sz="4" w:space="0" w:color="auto"/>
              <w:bottom w:val="single" w:sz="4" w:space="0" w:color="auto"/>
            </w:tcBorders>
          </w:tcPr>
          <w:p w14:paraId="51CBE418" w14:textId="77777777" w:rsidR="00EE6E72" w:rsidRDefault="0097628E" w:rsidP="00424E40">
            <w:pPr>
              <w:autoSpaceDE w:val="0"/>
              <w:autoSpaceDN w:val="0"/>
              <w:adjustRightInd w:val="0"/>
              <w:rPr>
                <w:bCs/>
                <w:iCs/>
                <w:szCs w:val="22"/>
                <w:vertAlign w:val="superscript"/>
              </w:rPr>
            </w:pPr>
            <w:r w:rsidRPr="009B5E44">
              <w:rPr>
                <w:color w:val="000000"/>
                <w:szCs w:val="22"/>
                <w:lang w:eastAsia="en-GB"/>
              </w:rPr>
              <w:t>Zmenené (znížené) libido</w:t>
            </w:r>
            <w:r w:rsidRPr="009B5E44">
              <w:rPr>
                <w:color w:val="000000"/>
                <w:szCs w:val="22"/>
                <w:vertAlign w:val="superscript"/>
                <w:lang w:eastAsia="en-GB"/>
              </w:rPr>
              <w:t>3</w:t>
            </w:r>
          </w:p>
        </w:tc>
        <w:tc>
          <w:tcPr>
            <w:tcW w:w="1417" w:type="dxa"/>
            <w:tcBorders>
              <w:top w:val="single" w:sz="4" w:space="0" w:color="auto"/>
              <w:bottom w:val="single" w:sz="4" w:space="0" w:color="auto"/>
            </w:tcBorders>
          </w:tcPr>
          <w:p w14:paraId="15FA3D7F" w14:textId="77777777" w:rsidR="00EE6E72" w:rsidRDefault="0097628E" w:rsidP="00424E40">
            <w:pPr>
              <w:rPr>
                <w:bCs/>
                <w:iCs/>
                <w:szCs w:val="22"/>
              </w:rPr>
            </w:pPr>
            <w:r w:rsidRPr="009B5E44">
              <w:rPr>
                <w:bCs/>
                <w:iCs/>
                <w:szCs w:val="22"/>
              </w:rPr>
              <w:t>Časté</w:t>
            </w:r>
          </w:p>
        </w:tc>
        <w:tc>
          <w:tcPr>
            <w:tcW w:w="1418" w:type="dxa"/>
          </w:tcPr>
          <w:p w14:paraId="3C15DD45" w14:textId="77777777" w:rsidR="00EE6E72" w:rsidRDefault="0097628E" w:rsidP="00424E40">
            <w:pPr>
              <w:rPr>
                <w:bCs/>
                <w:iCs/>
                <w:szCs w:val="22"/>
              </w:rPr>
            </w:pPr>
            <w:r w:rsidRPr="009B5E44">
              <w:rPr>
                <w:bCs/>
                <w:iCs/>
                <w:szCs w:val="22"/>
              </w:rPr>
              <w:t>Časté</w:t>
            </w:r>
            <w:r w:rsidRPr="009B5E44">
              <w:rPr>
                <w:bCs/>
                <w:iCs/>
                <w:szCs w:val="22"/>
                <w:vertAlign w:val="superscript"/>
              </w:rPr>
              <w:t>b</w:t>
            </w:r>
          </w:p>
        </w:tc>
        <w:tc>
          <w:tcPr>
            <w:tcW w:w="1809" w:type="dxa"/>
          </w:tcPr>
          <w:p w14:paraId="2DD67962" w14:textId="77777777" w:rsidR="00EE6E72" w:rsidRDefault="0097628E" w:rsidP="00424E40">
            <w:pPr>
              <w:rPr>
                <w:bCs/>
                <w:iCs/>
                <w:szCs w:val="22"/>
              </w:rPr>
            </w:pPr>
            <w:r w:rsidRPr="009B5E44">
              <w:rPr>
                <w:bCs/>
                <w:iCs/>
                <w:szCs w:val="22"/>
              </w:rPr>
              <w:t>-</w:t>
            </w:r>
          </w:p>
        </w:tc>
      </w:tr>
      <w:tr w:rsidR="0097628E" w:rsidRPr="009B5E44" w14:paraId="5AB90AF9" w14:textId="77777777" w:rsidTr="00723675">
        <w:trPr>
          <w:trHeight w:val="283"/>
        </w:trPr>
        <w:tc>
          <w:tcPr>
            <w:tcW w:w="1985" w:type="dxa"/>
            <w:vMerge/>
          </w:tcPr>
          <w:p w14:paraId="2365A6CC" w14:textId="77777777" w:rsidR="00EE6E72" w:rsidRDefault="00EE6E72" w:rsidP="00424E40">
            <w:pPr>
              <w:keepNext/>
              <w:keepLines/>
              <w:tabs>
                <w:tab w:val="left" w:pos="162"/>
              </w:tabs>
              <w:rPr>
                <w:snapToGrid w:val="0"/>
                <w:color w:val="000000"/>
                <w:szCs w:val="22"/>
              </w:rPr>
            </w:pPr>
          </w:p>
        </w:tc>
        <w:tc>
          <w:tcPr>
            <w:tcW w:w="2410" w:type="dxa"/>
            <w:tcBorders>
              <w:top w:val="single" w:sz="4" w:space="0" w:color="auto"/>
              <w:bottom w:val="single" w:sz="4" w:space="0" w:color="auto"/>
            </w:tcBorders>
          </w:tcPr>
          <w:p w14:paraId="0DBCABB7" w14:textId="77777777" w:rsidR="00EE6E72" w:rsidRDefault="0097628E" w:rsidP="00424E40">
            <w:pPr>
              <w:autoSpaceDE w:val="0"/>
              <w:autoSpaceDN w:val="0"/>
              <w:adjustRightInd w:val="0"/>
              <w:rPr>
                <w:bCs/>
                <w:iCs/>
                <w:szCs w:val="22"/>
                <w:vertAlign w:val="superscript"/>
              </w:rPr>
            </w:pPr>
            <w:r w:rsidRPr="009B5E44">
              <w:rPr>
                <w:color w:val="000000"/>
                <w:szCs w:val="22"/>
                <w:lang w:eastAsia="en-GB"/>
              </w:rPr>
              <w:t>Poruchy ejakulácie</w:t>
            </w:r>
            <w:r w:rsidRPr="009B5E44">
              <w:rPr>
                <w:color w:val="000000"/>
                <w:szCs w:val="22"/>
                <w:vertAlign w:val="superscript"/>
                <w:lang w:eastAsia="en-GB"/>
              </w:rPr>
              <w:t>3</w:t>
            </w:r>
            <w:r w:rsidRPr="009B5E44">
              <w:rPr>
                <w:iCs/>
                <w:szCs w:val="22"/>
                <w:vertAlign w:val="superscript"/>
              </w:rPr>
              <w:t>^</w:t>
            </w:r>
          </w:p>
        </w:tc>
        <w:tc>
          <w:tcPr>
            <w:tcW w:w="1417" w:type="dxa"/>
            <w:tcBorders>
              <w:top w:val="single" w:sz="4" w:space="0" w:color="auto"/>
              <w:bottom w:val="single" w:sz="4" w:space="0" w:color="auto"/>
            </w:tcBorders>
          </w:tcPr>
          <w:p w14:paraId="1A144986" w14:textId="77777777" w:rsidR="00EE6E72" w:rsidRDefault="0097628E" w:rsidP="00424E40">
            <w:pPr>
              <w:rPr>
                <w:bCs/>
                <w:iCs/>
                <w:szCs w:val="22"/>
              </w:rPr>
            </w:pPr>
            <w:r w:rsidRPr="009B5E44">
              <w:rPr>
                <w:bCs/>
                <w:iCs/>
                <w:szCs w:val="22"/>
              </w:rPr>
              <w:t>Časté</w:t>
            </w:r>
          </w:p>
        </w:tc>
        <w:tc>
          <w:tcPr>
            <w:tcW w:w="1418" w:type="dxa"/>
          </w:tcPr>
          <w:p w14:paraId="17555C72" w14:textId="77777777" w:rsidR="00EE6E72" w:rsidRDefault="0097628E" w:rsidP="00424E40">
            <w:pPr>
              <w:rPr>
                <w:bCs/>
                <w:iCs/>
                <w:szCs w:val="22"/>
              </w:rPr>
            </w:pPr>
            <w:r w:rsidRPr="009B5E44">
              <w:rPr>
                <w:bCs/>
                <w:iCs/>
                <w:szCs w:val="22"/>
              </w:rPr>
              <w:t>Časté</w:t>
            </w:r>
            <w:r w:rsidRPr="009B5E44">
              <w:rPr>
                <w:bCs/>
                <w:iCs/>
                <w:szCs w:val="22"/>
                <w:vertAlign w:val="superscript"/>
              </w:rPr>
              <w:t>b</w:t>
            </w:r>
          </w:p>
        </w:tc>
        <w:tc>
          <w:tcPr>
            <w:tcW w:w="1809" w:type="dxa"/>
          </w:tcPr>
          <w:p w14:paraId="40C82ED2" w14:textId="77777777" w:rsidR="00EE6E72" w:rsidRDefault="0097628E" w:rsidP="00424E40">
            <w:pPr>
              <w:rPr>
                <w:bCs/>
                <w:iCs/>
                <w:szCs w:val="22"/>
              </w:rPr>
            </w:pPr>
            <w:r w:rsidRPr="009B5E44">
              <w:rPr>
                <w:bCs/>
                <w:iCs/>
                <w:szCs w:val="22"/>
              </w:rPr>
              <w:t>Časté</w:t>
            </w:r>
          </w:p>
        </w:tc>
      </w:tr>
      <w:tr w:rsidR="0097628E" w:rsidRPr="009B5E44" w14:paraId="28B92957" w14:textId="77777777" w:rsidTr="00723675">
        <w:trPr>
          <w:trHeight w:val="283"/>
        </w:trPr>
        <w:tc>
          <w:tcPr>
            <w:tcW w:w="1985" w:type="dxa"/>
            <w:vMerge/>
          </w:tcPr>
          <w:p w14:paraId="07E6E6C0" w14:textId="77777777" w:rsidR="00EE6E72" w:rsidRDefault="00EE6E72" w:rsidP="00424E40">
            <w:pPr>
              <w:keepNext/>
              <w:keepLines/>
              <w:tabs>
                <w:tab w:val="left" w:pos="162"/>
              </w:tabs>
              <w:rPr>
                <w:snapToGrid w:val="0"/>
                <w:color w:val="000000"/>
                <w:szCs w:val="22"/>
              </w:rPr>
            </w:pPr>
          </w:p>
        </w:tc>
        <w:tc>
          <w:tcPr>
            <w:tcW w:w="2410" w:type="dxa"/>
            <w:tcBorders>
              <w:top w:val="single" w:sz="4" w:space="0" w:color="auto"/>
              <w:bottom w:val="single" w:sz="4" w:space="0" w:color="auto"/>
            </w:tcBorders>
          </w:tcPr>
          <w:p w14:paraId="402F03A1" w14:textId="77777777" w:rsidR="00EE6E72" w:rsidRDefault="0097628E" w:rsidP="00424E40">
            <w:pPr>
              <w:autoSpaceDE w:val="0"/>
              <w:autoSpaceDN w:val="0"/>
              <w:adjustRightInd w:val="0"/>
              <w:rPr>
                <w:color w:val="000000"/>
                <w:szCs w:val="22"/>
                <w:lang w:eastAsia="en-GB"/>
              </w:rPr>
            </w:pPr>
            <w:r w:rsidRPr="009B5E44">
              <w:rPr>
                <w:color w:val="000000"/>
                <w:szCs w:val="22"/>
                <w:lang w:eastAsia="en-GB"/>
              </w:rPr>
              <w:t>Poruchy prsníkov</w:t>
            </w:r>
            <w:r w:rsidRPr="009B5E44">
              <w:rPr>
                <w:color w:val="000000"/>
                <w:szCs w:val="22"/>
                <w:vertAlign w:val="superscript"/>
                <w:lang w:eastAsia="en-GB"/>
              </w:rPr>
              <w:t>2</w:t>
            </w:r>
          </w:p>
        </w:tc>
        <w:tc>
          <w:tcPr>
            <w:tcW w:w="1417" w:type="dxa"/>
            <w:tcBorders>
              <w:top w:val="single" w:sz="4" w:space="0" w:color="auto"/>
              <w:bottom w:val="single" w:sz="4" w:space="0" w:color="auto"/>
            </w:tcBorders>
          </w:tcPr>
          <w:p w14:paraId="66AB13F3" w14:textId="77777777" w:rsidR="00EE6E72" w:rsidRDefault="0097628E" w:rsidP="00424E40">
            <w:pPr>
              <w:rPr>
                <w:bCs/>
                <w:iCs/>
                <w:szCs w:val="22"/>
              </w:rPr>
            </w:pPr>
            <w:r w:rsidRPr="009B5E44">
              <w:rPr>
                <w:bCs/>
                <w:iCs/>
                <w:szCs w:val="22"/>
              </w:rPr>
              <w:t>Časté</w:t>
            </w:r>
          </w:p>
        </w:tc>
        <w:tc>
          <w:tcPr>
            <w:tcW w:w="1418" w:type="dxa"/>
          </w:tcPr>
          <w:p w14:paraId="4C2930A9" w14:textId="77777777" w:rsidR="00EE6E72" w:rsidRDefault="0097628E" w:rsidP="00424E40">
            <w:pPr>
              <w:rPr>
                <w:bCs/>
                <w:iCs/>
                <w:szCs w:val="22"/>
              </w:rPr>
            </w:pPr>
            <w:r w:rsidRPr="009B5E44">
              <w:rPr>
                <w:bCs/>
                <w:iCs/>
                <w:szCs w:val="22"/>
              </w:rPr>
              <w:t>Časté</w:t>
            </w:r>
            <w:r w:rsidRPr="009B5E44">
              <w:rPr>
                <w:bCs/>
                <w:iCs/>
                <w:szCs w:val="22"/>
                <w:vertAlign w:val="superscript"/>
              </w:rPr>
              <w:t>b</w:t>
            </w:r>
          </w:p>
        </w:tc>
        <w:tc>
          <w:tcPr>
            <w:tcW w:w="1809" w:type="dxa"/>
          </w:tcPr>
          <w:p w14:paraId="633CA600" w14:textId="77777777" w:rsidR="00EE6E72" w:rsidRDefault="0097628E" w:rsidP="00424E40">
            <w:pPr>
              <w:rPr>
                <w:bCs/>
                <w:iCs/>
                <w:szCs w:val="22"/>
              </w:rPr>
            </w:pPr>
            <w:r w:rsidRPr="009B5E44">
              <w:rPr>
                <w:bCs/>
                <w:iCs/>
                <w:szCs w:val="22"/>
              </w:rPr>
              <w:t>-</w:t>
            </w:r>
          </w:p>
        </w:tc>
      </w:tr>
      <w:tr w:rsidR="0097628E" w:rsidRPr="009B5E44" w14:paraId="3A9B7F47" w14:textId="77777777" w:rsidTr="00723675">
        <w:trPr>
          <w:trHeight w:val="283"/>
        </w:trPr>
        <w:tc>
          <w:tcPr>
            <w:tcW w:w="1985" w:type="dxa"/>
          </w:tcPr>
          <w:p w14:paraId="6273B230" w14:textId="77777777" w:rsidR="00EE6E72" w:rsidRDefault="0097628E" w:rsidP="00424E40">
            <w:pPr>
              <w:keepNext/>
              <w:keepLines/>
              <w:tabs>
                <w:tab w:val="left" w:pos="162"/>
              </w:tabs>
              <w:rPr>
                <w:snapToGrid w:val="0"/>
                <w:color w:val="000000"/>
                <w:szCs w:val="22"/>
              </w:rPr>
            </w:pPr>
            <w:r w:rsidRPr="009B5E44">
              <w:rPr>
                <w:snapToGrid w:val="0"/>
                <w:color w:val="000000"/>
                <w:szCs w:val="22"/>
              </w:rPr>
              <w:t>Celkové poruchy a reakcie v mieste podania</w:t>
            </w:r>
          </w:p>
        </w:tc>
        <w:tc>
          <w:tcPr>
            <w:tcW w:w="2410" w:type="dxa"/>
            <w:tcBorders>
              <w:top w:val="single" w:sz="4" w:space="0" w:color="auto"/>
              <w:bottom w:val="single" w:sz="4" w:space="0" w:color="auto"/>
            </w:tcBorders>
          </w:tcPr>
          <w:p w14:paraId="0B87D580" w14:textId="77777777" w:rsidR="00EE6E72" w:rsidRDefault="0097628E" w:rsidP="00424E40">
            <w:pPr>
              <w:autoSpaceDE w:val="0"/>
              <w:autoSpaceDN w:val="0"/>
              <w:adjustRightInd w:val="0"/>
              <w:rPr>
                <w:color w:val="000000"/>
                <w:szCs w:val="22"/>
                <w:lang w:eastAsia="en-GB"/>
              </w:rPr>
            </w:pPr>
            <w:r w:rsidRPr="009B5E44">
              <w:rPr>
                <w:color w:val="000000"/>
                <w:szCs w:val="22"/>
                <w:lang w:eastAsia="en-GB"/>
              </w:rPr>
              <w:t>Asténia</w:t>
            </w:r>
          </w:p>
        </w:tc>
        <w:tc>
          <w:tcPr>
            <w:tcW w:w="1417" w:type="dxa"/>
            <w:tcBorders>
              <w:top w:val="single" w:sz="4" w:space="0" w:color="auto"/>
              <w:bottom w:val="single" w:sz="4" w:space="0" w:color="auto"/>
            </w:tcBorders>
          </w:tcPr>
          <w:p w14:paraId="75163EDA" w14:textId="77777777" w:rsidR="00EE6E72" w:rsidRDefault="0097628E" w:rsidP="00424E40">
            <w:pPr>
              <w:rPr>
                <w:bCs/>
                <w:iCs/>
                <w:szCs w:val="22"/>
              </w:rPr>
            </w:pPr>
            <w:r w:rsidRPr="009B5E44">
              <w:rPr>
                <w:bCs/>
                <w:iCs/>
                <w:szCs w:val="22"/>
              </w:rPr>
              <w:t>-</w:t>
            </w:r>
          </w:p>
        </w:tc>
        <w:tc>
          <w:tcPr>
            <w:tcW w:w="1418" w:type="dxa"/>
          </w:tcPr>
          <w:p w14:paraId="7176299A" w14:textId="77777777" w:rsidR="00EE6E72" w:rsidRDefault="0097628E" w:rsidP="00424E40">
            <w:pPr>
              <w:rPr>
                <w:bCs/>
                <w:iCs/>
                <w:szCs w:val="22"/>
              </w:rPr>
            </w:pPr>
            <w:r w:rsidRPr="009B5E44">
              <w:rPr>
                <w:bCs/>
                <w:iCs/>
                <w:szCs w:val="22"/>
              </w:rPr>
              <w:t>-</w:t>
            </w:r>
          </w:p>
        </w:tc>
        <w:tc>
          <w:tcPr>
            <w:tcW w:w="1809" w:type="dxa"/>
          </w:tcPr>
          <w:p w14:paraId="5D26F540" w14:textId="77777777" w:rsidR="00EE6E72" w:rsidRDefault="0097628E" w:rsidP="00424E40">
            <w:pPr>
              <w:rPr>
                <w:bCs/>
                <w:iCs/>
                <w:szCs w:val="22"/>
              </w:rPr>
            </w:pPr>
            <w:r w:rsidRPr="009B5E44">
              <w:rPr>
                <w:bCs/>
                <w:iCs/>
                <w:szCs w:val="22"/>
              </w:rPr>
              <w:t>Menej časté</w:t>
            </w:r>
          </w:p>
        </w:tc>
      </w:tr>
    </w:tbl>
    <w:p w14:paraId="7A6E9743" w14:textId="77777777" w:rsidR="00EE6E72" w:rsidRDefault="0097628E" w:rsidP="00424E40">
      <w:pPr>
        <w:autoSpaceDE w:val="0"/>
        <w:autoSpaceDN w:val="0"/>
        <w:adjustRightInd w:val="0"/>
        <w:rPr>
          <w:color w:val="000000"/>
          <w:szCs w:val="22"/>
          <w:lang w:eastAsia="en-GB"/>
        </w:rPr>
      </w:pPr>
      <w:r w:rsidRPr="009B5E44">
        <w:rPr>
          <w:color w:val="000000"/>
          <w:szCs w:val="22"/>
          <w:vertAlign w:val="superscript"/>
          <w:lang w:eastAsia="en-GB"/>
        </w:rPr>
        <w:t>a</w:t>
      </w:r>
      <w:r w:rsidRPr="009B5E44">
        <w:rPr>
          <w:color w:val="000000"/>
          <w:szCs w:val="22"/>
          <w:lang w:eastAsia="en-GB"/>
        </w:rPr>
        <w:t xml:space="preserve"> Dutasterid + tamsulozín: zo štúdie CombAT – frekvencie výskytu týchto nežiaducich udalostí sa počas liečby postupom času znižovali, od 1. roku po 4. rok liečby.</w:t>
      </w:r>
    </w:p>
    <w:p w14:paraId="7FADE8B0" w14:textId="180AF612" w:rsidR="00EE6E72" w:rsidRDefault="0097628E" w:rsidP="00424E40">
      <w:pPr>
        <w:autoSpaceDE w:val="0"/>
        <w:autoSpaceDN w:val="0"/>
        <w:adjustRightInd w:val="0"/>
        <w:rPr>
          <w:color w:val="000000"/>
          <w:szCs w:val="22"/>
          <w:lang w:eastAsia="en-GB"/>
        </w:rPr>
      </w:pPr>
      <w:r w:rsidRPr="009B5E44">
        <w:rPr>
          <w:color w:val="000000"/>
          <w:szCs w:val="22"/>
          <w:vertAlign w:val="superscript"/>
          <w:lang w:eastAsia="en-GB"/>
        </w:rPr>
        <w:t>b</w:t>
      </w:r>
      <w:r w:rsidRPr="009B5E44">
        <w:rPr>
          <w:color w:val="000000"/>
          <w:szCs w:val="22"/>
          <w:lang w:eastAsia="en-GB"/>
        </w:rPr>
        <w:t xml:space="preserve"> Dutasterid: z klinických štúdií monoterapie BH</w:t>
      </w:r>
      <w:r w:rsidR="00B5136C">
        <w:rPr>
          <w:color w:val="000000"/>
          <w:szCs w:val="22"/>
          <w:lang w:eastAsia="en-GB"/>
        </w:rPr>
        <w:t>P</w:t>
      </w:r>
      <w:r w:rsidRPr="009B5E44">
        <w:rPr>
          <w:color w:val="000000"/>
          <w:szCs w:val="22"/>
          <w:lang w:eastAsia="en-GB"/>
        </w:rPr>
        <w:t>.</w:t>
      </w:r>
    </w:p>
    <w:p w14:paraId="4DC491D0" w14:textId="77777777" w:rsidR="00EE6E72" w:rsidRDefault="0097628E" w:rsidP="00424E40">
      <w:pPr>
        <w:autoSpaceDE w:val="0"/>
        <w:autoSpaceDN w:val="0"/>
        <w:adjustRightInd w:val="0"/>
        <w:rPr>
          <w:color w:val="000000"/>
          <w:szCs w:val="22"/>
          <w:lang w:eastAsia="en-GB"/>
        </w:rPr>
      </w:pPr>
      <w:r w:rsidRPr="009B5E44">
        <w:rPr>
          <w:color w:val="000000"/>
          <w:szCs w:val="22"/>
          <w:vertAlign w:val="superscript"/>
          <w:lang w:eastAsia="en-GB"/>
        </w:rPr>
        <w:t>c</w:t>
      </w:r>
      <w:r w:rsidRPr="009B5E44">
        <w:rPr>
          <w:color w:val="000000"/>
          <w:szCs w:val="22"/>
          <w:lang w:eastAsia="en-GB"/>
        </w:rPr>
        <w:t xml:space="preserve"> Tamsulozín: z EÚ hlavného bezpečnostného profilu tamsulozínu.</w:t>
      </w:r>
    </w:p>
    <w:p w14:paraId="091AA55E" w14:textId="77777777" w:rsidR="00EE6E72" w:rsidRDefault="0097628E" w:rsidP="00424E40">
      <w:pPr>
        <w:autoSpaceDE w:val="0"/>
        <w:autoSpaceDN w:val="0"/>
        <w:adjustRightInd w:val="0"/>
        <w:rPr>
          <w:color w:val="000000"/>
          <w:szCs w:val="22"/>
          <w:lang w:eastAsia="en-GB"/>
        </w:rPr>
      </w:pPr>
      <w:r w:rsidRPr="009B5E44">
        <w:rPr>
          <w:color w:val="000000"/>
          <w:szCs w:val="22"/>
          <w:vertAlign w:val="superscript"/>
          <w:lang w:eastAsia="en-GB"/>
        </w:rPr>
        <w:t>d</w:t>
      </w:r>
      <w:r w:rsidRPr="009B5E44">
        <w:rPr>
          <w:color w:val="000000"/>
          <w:szCs w:val="22"/>
          <w:lang w:eastAsia="en-GB"/>
        </w:rPr>
        <w:t xml:space="preserve"> Štúdia REDUCE (pozri časť 5.1).</w:t>
      </w:r>
    </w:p>
    <w:p w14:paraId="5E46C197" w14:textId="5E39D1BD" w:rsidR="00EE6E72" w:rsidRDefault="0097628E" w:rsidP="00424E40">
      <w:pPr>
        <w:autoSpaceDE w:val="0"/>
        <w:autoSpaceDN w:val="0"/>
        <w:adjustRightInd w:val="0"/>
        <w:rPr>
          <w:color w:val="000000"/>
          <w:szCs w:val="22"/>
          <w:lang w:eastAsia="en-GB"/>
        </w:rPr>
      </w:pPr>
      <w:r w:rsidRPr="009B5E44">
        <w:rPr>
          <w:color w:val="000000"/>
          <w:szCs w:val="22"/>
          <w:vertAlign w:val="superscript"/>
          <w:lang w:eastAsia="en-GB"/>
        </w:rPr>
        <w:t>1</w:t>
      </w:r>
      <w:r w:rsidRPr="009B5E44">
        <w:rPr>
          <w:color w:val="000000"/>
          <w:szCs w:val="22"/>
          <w:lang w:eastAsia="en-GB"/>
        </w:rPr>
        <w:t xml:space="preserve"> </w:t>
      </w:r>
      <w:r w:rsidR="001C5D36">
        <w:rPr>
          <w:szCs w:val="22"/>
        </w:rPr>
        <w:t>Z</w:t>
      </w:r>
      <w:r w:rsidRPr="009B5E44">
        <w:rPr>
          <w:szCs w:val="22"/>
        </w:rPr>
        <w:t>lyhávanie</w:t>
      </w:r>
      <w:r w:rsidR="001C5D36">
        <w:rPr>
          <w:szCs w:val="22"/>
        </w:rPr>
        <w:t xml:space="preserve"> srdca</w:t>
      </w:r>
      <w:r w:rsidRPr="009B5E44">
        <w:rPr>
          <w:szCs w:val="22"/>
        </w:rPr>
        <w:t xml:space="preserve"> ako kombinovaný termín zahŕňalo kongestívne zlyhávanie</w:t>
      </w:r>
      <w:r w:rsidR="001C5D36">
        <w:rPr>
          <w:szCs w:val="22"/>
        </w:rPr>
        <w:t xml:space="preserve"> srdca</w:t>
      </w:r>
      <w:r w:rsidRPr="009B5E44">
        <w:rPr>
          <w:szCs w:val="22"/>
        </w:rPr>
        <w:t>, zlyhávanie</w:t>
      </w:r>
      <w:r w:rsidR="001C5D36">
        <w:rPr>
          <w:szCs w:val="22"/>
        </w:rPr>
        <w:t xml:space="preserve"> srdca</w:t>
      </w:r>
      <w:r w:rsidRPr="009B5E44">
        <w:rPr>
          <w:szCs w:val="22"/>
        </w:rPr>
        <w:t xml:space="preserve">, zlyhávanie ľavej srdcovej komory, akútne </w:t>
      </w:r>
      <w:r w:rsidR="001C5D36" w:rsidRPr="009B5E44">
        <w:rPr>
          <w:szCs w:val="22"/>
        </w:rPr>
        <w:t>zlyh</w:t>
      </w:r>
      <w:r w:rsidR="001C5D36">
        <w:rPr>
          <w:szCs w:val="22"/>
        </w:rPr>
        <w:t>anie srdca</w:t>
      </w:r>
      <w:r w:rsidRPr="009B5E44">
        <w:rPr>
          <w:szCs w:val="22"/>
        </w:rPr>
        <w:t xml:space="preserve">, kardiogénny šok, akútne </w:t>
      </w:r>
      <w:r w:rsidR="001C5D36" w:rsidRPr="009B5E44">
        <w:rPr>
          <w:szCs w:val="22"/>
        </w:rPr>
        <w:t>zlyh</w:t>
      </w:r>
      <w:r w:rsidR="001C5D36">
        <w:rPr>
          <w:szCs w:val="22"/>
        </w:rPr>
        <w:t>anie</w:t>
      </w:r>
      <w:r w:rsidR="001C5D36" w:rsidRPr="009B5E44">
        <w:rPr>
          <w:szCs w:val="22"/>
        </w:rPr>
        <w:t xml:space="preserve"> </w:t>
      </w:r>
      <w:r w:rsidRPr="009B5E44">
        <w:rPr>
          <w:szCs w:val="22"/>
        </w:rPr>
        <w:t xml:space="preserve">ľavej srdcovej komory, zlyhávanie pravej srdcovej komory, akútne </w:t>
      </w:r>
      <w:r w:rsidR="001C5D36" w:rsidRPr="009B5E44">
        <w:rPr>
          <w:szCs w:val="22"/>
        </w:rPr>
        <w:t>zlyh</w:t>
      </w:r>
      <w:r w:rsidR="001C5D36">
        <w:rPr>
          <w:szCs w:val="22"/>
        </w:rPr>
        <w:t xml:space="preserve">anie </w:t>
      </w:r>
      <w:r w:rsidRPr="009B5E44">
        <w:rPr>
          <w:szCs w:val="22"/>
        </w:rPr>
        <w:t>pravej srdcovej komory, zlyhávanie oboch srdcových komôr, kardiopulmonálne zlyhanie, kongestívnu kardiomyopatiu</w:t>
      </w:r>
      <w:r w:rsidRPr="009B5E44">
        <w:rPr>
          <w:color w:val="000000"/>
          <w:szCs w:val="22"/>
          <w:lang w:eastAsia="en-GB"/>
        </w:rPr>
        <w:t>.</w:t>
      </w:r>
    </w:p>
    <w:p w14:paraId="5B7DB1C5" w14:textId="77777777" w:rsidR="00EE6E72" w:rsidRDefault="0097628E" w:rsidP="00424E40">
      <w:pPr>
        <w:rPr>
          <w:color w:val="000000"/>
          <w:szCs w:val="22"/>
          <w:lang w:eastAsia="en-GB"/>
        </w:rPr>
      </w:pPr>
      <w:r w:rsidRPr="009B5E44">
        <w:rPr>
          <w:color w:val="000000"/>
          <w:szCs w:val="22"/>
          <w:vertAlign w:val="superscript"/>
          <w:lang w:eastAsia="en-GB"/>
        </w:rPr>
        <w:t xml:space="preserve">2 </w:t>
      </w:r>
      <w:r w:rsidRPr="009B5E44">
        <w:rPr>
          <w:color w:val="000000"/>
          <w:szCs w:val="22"/>
          <w:lang w:eastAsia="en-GB"/>
        </w:rPr>
        <w:t>Zahŕňa citlivosť prsníkov a zväčšenie prsníkov.</w:t>
      </w:r>
    </w:p>
    <w:p w14:paraId="0019AC56" w14:textId="77777777" w:rsidR="00EE6E72" w:rsidRDefault="0097628E" w:rsidP="00424E40">
      <w:pPr>
        <w:rPr>
          <w:iCs/>
          <w:color w:val="000000"/>
          <w:szCs w:val="22"/>
          <w:lang w:eastAsia="en-GB"/>
        </w:rPr>
      </w:pPr>
      <w:r w:rsidRPr="009B5E44">
        <w:rPr>
          <w:color w:val="000000"/>
          <w:szCs w:val="22"/>
          <w:vertAlign w:val="superscript"/>
          <w:lang w:eastAsia="en-GB"/>
        </w:rPr>
        <w:t xml:space="preserve">3 </w:t>
      </w:r>
      <w:r w:rsidRPr="009B5E44">
        <w:rPr>
          <w:iCs/>
          <w:color w:val="000000"/>
          <w:szCs w:val="22"/>
          <w:lang w:eastAsia="en-GB"/>
        </w:rPr>
        <w:t>Tieto sexuálne nežiaduce udalosti súvisia s liečbou dutasteridom (vrátane monoterapie a kombinácie s tamsulozínom). Tieto nežiaduce udalosti môžu pretrvávať po ukončení liečby. Úloha dutasteridu pri ich pretrvávaní nie je známa.</w:t>
      </w:r>
    </w:p>
    <w:p w14:paraId="73F50394" w14:textId="77777777" w:rsidR="00EE6E72" w:rsidRDefault="0097628E" w:rsidP="00424E40">
      <w:pPr>
        <w:rPr>
          <w:color w:val="000000"/>
          <w:szCs w:val="22"/>
          <w:lang w:eastAsia="en-GB"/>
        </w:rPr>
      </w:pPr>
      <w:r w:rsidRPr="009B5E44">
        <w:rPr>
          <w:iCs/>
          <w:szCs w:val="22"/>
          <w:vertAlign w:val="superscript"/>
        </w:rPr>
        <w:t>^</w:t>
      </w:r>
      <w:r w:rsidRPr="009B5E44">
        <w:rPr>
          <w:iCs/>
          <w:szCs w:val="22"/>
        </w:rPr>
        <w:t xml:space="preserve"> Zahŕňajú znížený objem spermy.</w:t>
      </w:r>
    </w:p>
    <w:p w14:paraId="199748A5" w14:textId="77777777" w:rsidR="00EE6E72" w:rsidRDefault="00EE6E72" w:rsidP="00424E40">
      <w:pPr>
        <w:rPr>
          <w:szCs w:val="22"/>
        </w:rPr>
      </w:pPr>
    </w:p>
    <w:p w14:paraId="5BCA9737" w14:textId="77777777" w:rsidR="00EE6E72" w:rsidRDefault="0097628E" w:rsidP="00424E40">
      <w:pPr>
        <w:keepNext/>
        <w:keepLines/>
        <w:rPr>
          <w:bCs/>
          <w:iCs/>
          <w:szCs w:val="22"/>
        </w:rPr>
      </w:pPr>
      <w:r w:rsidRPr="009B5E44">
        <w:rPr>
          <w:bCs/>
          <w:iCs/>
          <w:szCs w:val="22"/>
        </w:rPr>
        <w:t>ĎALŠIE ÚDAJE</w:t>
      </w:r>
    </w:p>
    <w:p w14:paraId="0617F871" w14:textId="77777777" w:rsidR="00EE6E72" w:rsidRDefault="00EE6E72" w:rsidP="00424E40">
      <w:pPr>
        <w:rPr>
          <w:szCs w:val="22"/>
        </w:rPr>
      </w:pPr>
    </w:p>
    <w:p w14:paraId="60A2CA43" w14:textId="77777777" w:rsidR="00EE6E72" w:rsidRDefault="0097628E" w:rsidP="00424E40">
      <w:pPr>
        <w:keepNext/>
        <w:keepLines/>
        <w:rPr>
          <w:color w:val="000000"/>
          <w:szCs w:val="22"/>
        </w:rPr>
      </w:pPr>
      <w:r w:rsidRPr="009B5E44">
        <w:rPr>
          <w:szCs w:val="22"/>
        </w:rPr>
        <w:t>Štúdia REDUCE odhalila vyššiu incidenciu karcinómov prostaty s Gleasonovým skóre 8 – 10 u mužov liečených dutasteridom v porovnaní s mužmi užívajúcimi placebo (pozri časti 4.4 a 5.1). Nestanovilo sa, či účinok dustateridu na zníženie objemu prostaty, alebo faktory súvisiace so štúdiou, ovplyvnili výsledky tejto štúdie.</w:t>
      </w:r>
    </w:p>
    <w:p w14:paraId="6036438E" w14:textId="77777777" w:rsidR="00EE6E72" w:rsidRDefault="00EE6E72" w:rsidP="00424E40">
      <w:pPr>
        <w:rPr>
          <w:color w:val="000000"/>
          <w:szCs w:val="22"/>
        </w:rPr>
      </w:pPr>
    </w:p>
    <w:p w14:paraId="1CCA88E9" w14:textId="77777777" w:rsidR="00EE6E72" w:rsidRDefault="0097628E" w:rsidP="00424E40">
      <w:pPr>
        <w:rPr>
          <w:color w:val="000000"/>
          <w:szCs w:val="22"/>
        </w:rPr>
      </w:pPr>
      <w:r w:rsidRPr="009B5E44">
        <w:rPr>
          <w:color w:val="000000"/>
          <w:szCs w:val="22"/>
        </w:rPr>
        <w:t>Pri používaní dutasteridu v klinických skúšaniach a v období po uvedení lieku na trh bol hlásený nasledujúci nežiaduci účinok: rakovina prsníka u mužov (pozri časť 4.4).</w:t>
      </w:r>
    </w:p>
    <w:p w14:paraId="20F322D2" w14:textId="77777777" w:rsidR="00EE6E72" w:rsidRDefault="00EE6E72" w:rsidP="00424E40">
      <w:pPr>
        <w:rPr>
          <w:snapToGrid w:val="0"/>
          <w:szCs w:val="22"/>
          <w:lang w:eastAsia="en-US"/>
        </w:rPr>
      </w:pPr>
    </w:p>
    <w:p w14:paraId="2A8B9367" w14:textId="77777777" w:rsidR="00EE6E72" w:rsidRDefault="0097628E" w:rsidP="00424E40">
      <w:pPr>
        <w:rPr>
          <w:szCs w:val="22"/>
        </w:rPr>
      </w:pPr>
      <w:r w:rsidRPr="009B5E44">
        <w:rPr>
          <w:szCs w:val="22"/>
        </w:rPr>
        <w:t>Údaje po uvedení lieku na trh</w:t>
      </w:r>
    </w:p>
    <w:p w14:paraId="47A2AA56" w14:textId="6B3037B1" w:rsidR="00EE6E72" w:rsidRDefault="0097628E" w:rsidP="00424E40">
      <w:pPr>
        <w:rPr>
          <w:szCs w:val="22"/>
        </w:rPr>
      </w:pPr>
      <w:r w:rsidRPr="009B5E44">
        <w:rPr>
          <w:szCs w:val="22"/>
        </w:rPr>
        <w:t>Nežiaduce udalosti po celosvetovom uvedení lieku na trh boli identifikované zo spontánnych hlásení</w:t>
      </w:r>
      <w:r w:rsidR="001C5D36">
        <w:rPr>
          <w:szCs w:val="22"/>
        </w:rPr>
        <w:t xml:space="preserve"> po uvedení lieku na trh</w:t>
      </w:r>
      <w:r w:rsidRPr="009B5E44">
        <w:rPr>
          <w:szCs w:val="22"/>
        </w:rPr>
        <w:t>, preto presná incidencia nie je známa.</w:t>
      </w:r>
    </w:p>
    <w:p w14:paraId="466D8FDD" w14:textId="77777777" w:rsidR="00EE6E72" w:rsidRDefault="00EE6E72" w:rsidP="00424E40">
      <w:pPr>
        <w:rPr>
          <w:szCs w:val="22"/>
        </w:rPr>
      </w:pPr>
    </w:p>
    <w:p w14:paraId="7434FD54" w14:textId="77777777" w:rsidR="00EE6E72" w:rsidRDefault="0097628E" w:rsidP="00424E40">
      <w:pPr>
        <w:rPr>
          <w:i/>
          <w:szCs w:val="22"/>
        </w:rPr>
      </w:pPr>
      <w:r w:rsidRPr="009B5E44">
        <w:rPr>
          <w:i/>
          <w:szCs w:val="22"/>
        </w:rPr>
        <w:t>Dutasterid</w:t>
      </w:r>
    </w:p>
    <w:p w14:paraId="2FE77CDF" w14:textId="77777777" w:rsidR="00EE6E72" w:rsidRDefault="0097628E" w:rsidP="00424E40">
      <w:pPr>
        <w:rPr>
          <w:szCs w:val="22"/>
        </w:rPr>
      </w:pPr>
      <w:r w:rsidRPr="009B5E44">
        <w:rPr>
          <w:szCs w:val="22"/>
        </w:rPr>
        <w:t>Poruchy imunitného systému</w:t>
      </w:r>
    </w:p>
    <w:p w14:paraId="5EAE4C81" w14:textId="77777777" w:rsidR="00EE6E72" w:rsidRDefault="0097628E" w:rsidP="00424E40">
      <w:pPr>
        <w:rPr>
          <w:szCs w:val="22"/>
        </w:rPr>
      </w:pPr>
      <w:r w:rsidRPr="009B5E44">
        <w:rPr>
          <w:szCs w:val="22"/>
        </w:rPr>
        <w:t>Neznáme: alergické reakcie zahŕňajúce vyrážku, pruritus, urtikáriu, lokalizovaný edém a angioedém</w:t>
      </w:r>
    </w:p>
    <w:p w14:paraId="5FB9D45E" w14:textId="77777777" w:rsidR="00EE6E72" w:rsidRDefault="00EE6E72" w:rsidP="00424E40">
      <w:pPr>
        <w:rPr>
          <w:szCs w:val="22"/>
        </w:rPr>
      </w:pPr>
    </w:p>
    <w:p w14:paraId="7714FC60" w14:textId="77777777" w:rsidR="00EE6E72" w:rsidRDefault="0097628E" w:rsidP="00424E40">
      <w:pPr>
        <w:rPr>
          <w:szCs w:val="22"/>
        </w:rPr>
      </w:pPr>
      <w:r w:rsidRPr="009B5E44">
        <w:rPr>
          <w:szCs w:val="22"/>
        </w:rPr>
        <w:t>Psychické poruchy</w:t>
      </w:r>
    </w:p>
    <w:p w14:paraId="7B22F418" w14:textId="77777777" w:rsidR="00EE6E72" w:rsidRDefault="0097628E" w:rsidP="00424E40">
      <w:pPr>
        <w:rPr>
          <w:szCs w:val="22"/>
        </w:rPr>
      </w:pPr>
      <w:r w:rsidRPr="009B5E44">
        <w:rPr>
          <w:szCs w:val="22"/>
        </w:rPr>
        <w:t>Neznáme: depresia</w:t>
      </w:r>
    </w:p>
    <w:p w14:paraId="06FB3B6D" w14:textId="77777777" w:rsidR="00EE6E72" w:rsidRDefault="00EE6E72" w:rsidP="00424E40">
      <w:pPr>
        <w:rPr>
          <w:szCs w:val="22"/>
        </w:rPr>
      </w:pPr>
    </w:p>
    <w:p w14:paraId="6F237E11" w14:textId="77777777" w:rsidR="00EE6E72" w:rsidRDefault="0097628E" w:rsidP="00424E40">
      <w:pPr>
        <w:keepNext/>
        <w:keepLines/>
        <w:rPr>
          <w:szCs w:val="22"/>
        </w:rPr>
      </w:pPr>
      <w:r w:rsidRPr="009B5E44">
        <w:rPr>
          <w:szCs w:val="22"/>
        </w:rPr>
        <w:t>Poruchy kože a podkožného tkaniva</w:t>
      </w:r>
    </w:p>
    <w:p w14:paraId="3FA8383A" w14:textId="77777777" w:rsidR="00EE6E72" w:rsidRDefault="0097628E" w:rsidP="00424E40">
      <w:pPr>
        <w:keepNext/>
        <w:keepLines/>
        <w:rPr>
          <w:szCs w:val="22"/>
        </w:rPr>
      </w:pPr>
      <w:r w:rsidRPr="009B5E44">
        <w:rPr>
          <w:szCs w:val="22"/>
        </w:rPr>
        <w:t>Menej časté: alopécia (predovšetkým strata telesného ochlpenia), hypertrichóza</w:t>
      </w:r>
    </w:p>
    <w:p w14:paraId="3381F232" w14:textId="77777777" w:rsidR="00EE6E72" w:rsidRDefault="00EE6E72" w:rsidP="00424E40">
      <w:pPr>
        <w:rPr>
          <w:szCs w:val="22"/>
        </w:rPr>
      </w:pPr>
    </w:p>
    <w:p w14:paraId="1B353BF0" w14:textId="77777777" w:rsidR="00EE6E72" w:rsidRDefault="0097628E" w:rsidP="00424E40">
      <w:pPr>
        <w:rPr>
          <w:szCs w:val="22"/>
        </w:rPr>
      </w:pPr>
      <w:r w:rsidRPr="009B5E44">
        <w:rPr>
          <w:szCs w:val="22"/>
        </w:rPr>
        <w:t>Poruchy reprodukčného systému a prsníkov</w:t>
      </w:r>
    </w:p>
    <w:p w14:paraId="64491C82" w14:textId="77777777" w:rsidR="00EE6E72" w:rsidRDefault="0097628E" w:rsidP="00424E40">
      <w:pPr>
        <w:rPr>
          <w:szCs w:val="22"/>
        </w:rPr>
      </w:pPr>
      <w:r w:rsidRPr="009B5E44">
        <w:rPr>
          <w:szCs w:val="22"/>
        </w:rPr>
        <w:t>Neznáme: bolesť semenníkov a opuch semenníkov</w:t>
      </w:r>
    </w:p>
    <w:p w14:paraId="63D79B83" w14:textId="77777777" w:rsidR="00EE6E72" w:rsidRDefault="00EE6E72" w:rsidP="00424E40">
      <w:pPr>
        <w:rPr>
          <w:szCs w:val="22"/>
        </w:rPr>
      </w:pPr>
    </w:p>
    <w:p w14:paraId="6175ED32" w14:textId="77777777" w:rsidR="00EE6E72" w:rsidRDefault="0097628E" w:rsidP="00424E40">
      <w:pPr>
        <w:rPr>
          <w:bCs/>
          <w:i/>
          <w:color w:val="000000"/>
          <w:szCs w:val="22"/>
        </w:rPr>
      </w:pPr>
      <w:r w:rsidRPr="009B5E44">
        <w:rPr>
          <w:bCs/>
          <w:i/>
          <w:color w:val="000000"/>
          <w:szCs w:val="22"/>
        </w:rPr>
        <w:t>Tamsulozín</w:t>
      </w:r>
    </w:p>
    <w:p w14:paraId="041973A1" w14:textId="33D5810E" w:rsidR="00EE6E72" w:rsidRDefault="0097628E" w:rsidP="00424E40">
      <w:pPr>
        <w:rPr>
          <w:bCs/>
          <w:color w:val="000000"/>
          <w:szCs w:val="22"/>
        </w:rPr>
      </w:pPr>
      <w:r w:rsidRPr="009B5E44">
        <w:rPr>
          <w:bCs/>
          <w:color w:val="000000"/>
          <w:szCs w:val="22"/>
        </w:rPr>
        <w:t xml:space="preserve">Počas operácie sivého zákalu sa </w:t>
      </w:r>
      <w:r w:rsidRPr="009B5E44">
        <w:rPr>
          <w:szCs w:val="22"/>
        </w:rPr>
        <w:t xml:space="preserve">syndróm vlajúcej dúhovky </w:t>
      </w:r>
      <w:r w:rsidRPr="009B5E44">
        <w:rPr>
          <w:bCs/>
          <w:color w:val="000000"/>
          <w:szCs w:val="22"/>
        </w:rPr>
        <w:t>(</w:t>
      </w:r>
      <w:r w:rsidRPr="009B5E44">
        <w:rPr>
          <w:bCs/>
          <w:szCs w:val="22"/>
        </w:rPr>
        <w:t>Intraoperative Floppy Iris Syndrome,</w:t>
      </w:r>
      <w:r w:rsidRPr="009B5E44">
        <w:rPr>
          <w:szCs w:val="22"/>
        </w:rPr>
        <w:t xml:space="preserve"> </w:t>
      </w:r>
      <w:r w:rsidRPr="009B5E44">
        <w:rPr>
          <w:bCs/>
          <w:color w:val="000000"/>
          <w:szCs w:val="22"/>
        </w:rPr>
        <w:t>IFIS)</w:t>
      </w:r>
      <w:r w:rsidRPr="009B5E44">
        <w:rPr>
          <w:szCs w:val="22"/>
        </w:rPr>
        <w:t>, variant syndrómu úzkej zrenice</w:t>
      </w:r>
      <w:r w:rsidRPr="009B5E44">
        <w:rPr>
          <w:bCs/>
          <w:color w:val="000000"/>
          <w:szCs w:val="22"/>
        </w:rPr>
        <w:t xml:space="preserve"> v sledovaní</w:t>
      </w:r>
      <w:r w:rsidR="001C5D36">
        <w:rPr>
          <w:bCs/>
          <w:color w:val="000000"/>
          <w:szCs w:val="22"/>
        </w:rPr>
        <w:t xml:space="preserve"> po uvedení lieku na trh</w:t>
      </w:r>
      <w:r w:rsidRPr="009B5E44">
        <w:rPr>
          <w:bCs/>
          <w:color w:val="000000"/>
          <w:szCs w:val="22"/>
        </w:rPr>
        <w:t>, spájal s liečbou antagonistami alfa</w:t>
      </w:r>
      <w:r w:rsidRPr="009B5E44">
        <w:rPr>
          <w:szCs w:val="22"/>
          <w:vertAlign w:val="subscript"/>
        </w:rPr>
        <w:t>1</w:t>
      </w:r>
      <w:r w:rsidRPr="009B5E44">
        <w:rPr>
          <w:szCs w:val="22"/>
        </w:rPr>
        <w:noBreakHyphen/>
        <w:t>adrenergických receptorov</w:t>
      </w:r>
      <w:r w:rsidRPr="009B5E44">
        <w:rPr>
          <w:bCs/>
          <w:szCs w:val="22"/>
        </w:rPr>
        <w:t xml:space="preserve"> vrátane</w:t>
      </w:r>
      <w:r w:rsidRPr="009B5E44">
        <w:rPr>
          <w:bCs/>
          <w:color w:val="000000"/>
          <w:szCs w:val="22"/>
        </w:rPr>
        <w:t xml:space="preserve"> tamsulozínu (pozri časť 4.4).</w:t>
      </w:r>
    </w:p>
    <w:p w14:paraId="5F75A082" w14:textId="77777777" w:rsidR="00EE6E72" w:rsidRDefault="00EE6E72" w:rsidP="00424E40">
      <w:pPr>
        <w:rPr>
          <w:bCs/>
          <w:color w:val="000000"/>
          <w:szCs w:val="22"/>
        </w:rPr>
      </w:pPr>
    </w:p>
    <w:p w14:paraId="3E9B7DD5" w14:textId="77777777" w:rsidR="00EE6E72" w:rsidRDefault="0097628E" w:rsidP="00424E40">
      <w:pPr>
        <w:rPr>
          <w:bCs/>
          <w:color w:val="000000"/>
          <w:szCs w:val="22"/>
        </w:rPr>
      </w:pPr>
      <w:r w:rsidRPr="009B5E44">
        <w:rPr>
          <w:bCs/>
          <w:color w:val="000000"/>
          <w:szCs w:val="22"/>
        </w:rPr>
        <w:t>V súvislosti s používaním tamsulozínu boli navyše hlásené fibrilácia predsiení, arytmia, tachykardia, dyspnoe, epistaxa, rozmazané videnie, zhoršenie zraku, multiformný erytém, exfoliatívna dermatitída, porucha ejakulácie, retrográdna ejakulácia, zlyhanie ejakulácie a suchosť v ústach. Frekvencia výskytu týchto nežiaducich udalostí a ich príčinná súvislosť s tamsulozínom sa nedajú spoľahlivo určiť.</w:t>
      </w:r>
    </w:p>
    <w:p w14:paraId="6E372FB7" w14:textId="77777777" w:rsidR="00EE6E72" w:rsidRDefault="00EE6E72" w:rsidP="00424E40">
      <w:pPr>
        <w:rPr>
          <w:bCs/>
          <w:szCs w:val="22"/>
        </w:rPr>
      </w:pPr>
    </w:p>
    <w:p w14:paraId="562E696E" w14:textId="77777777" w:rsidR="00EE6E72" w:rsidRDefault="00B81AFC" w:rsidP="00424E40">
      <w:pPr>
        <w:keepNext/>
        <w:autoSpaceDE w:val="0"/>
        <w:autoSpaceDN w:val="0"/>
        <w:adjustRightInd w:val="0"/>
        <w:spacing w:line="240" w:lineRule="auto"/>
        <w:rPr>
          <w:u w:val="single"/>
        </w:rPr>
      </w:pPr>
      <w:r w:rsidRPr="00BF5AB0">
        <w:rPr>
          <w:u w:val="single"/>
        </w:rPr>
        <w:t>Hlásenie podozrení na nežiaduce reakcie</w:t>
      </w:r>
    </w:p>
    <w:p w14:paraId="4D8F74CE" w14:textId="20C4C463" w:rsidR="00EE6E72" w:rsidRDefault="00B81AFC" w:rsidP="00424E40">
      <w:pPr>
        <w:autoSpaceDE w:val="0"/>
        <w:autoSpaceDN w:val="0"/>
        <w:adjustRightInd w:val="0"/>
        <w:spacing w:line="240" w:lineRule="auto"/>
      </w:pPr>
      <w:r w:rsidRPr="00853C5F">
        <w:t>Hlásenie podozrení na nežiaduce reakcie po registrácii lieku je dôležité. Umožňuje priebežné monitorovanie pomeru prínosu a rizika lieku. Od zdravotníckych pracovníkov sa vyžaduje, aby hlásili akékoľvek podozrenia na</w:t>
      </w:r>
      <w:r>
        <w:t> </w:t>
      </w:r>
      <w:r w:rsidRPr="00BF5AB0">
        <w:t>nežiaduce reakcie</w:t>
      </w:r>
      <w:r>
        <w:t xml:space="preserve"> na</w:t>
      </w:r>
      <w:r w:rsidRPr="00BF5AB0">
        <w:t xml:space="preserve"> </w:t>
      </w:r>
      <w:r w:rsidRPr="00853C5F">
        <w:rPr>
          <w:highlight w:val="lightGray"/>
        </w:rPr>
        <w:t>národn</w:t>
      </w:r>
      <w:r>
        <w:rPr>
          <w:highlight w:val="lightGray"/>
        </w:rPr>
        <w:t>é</w:t>
      </w:r>
      <w:r w:rsidRPr="00853C5F">
        <w:rPr>
          <w:highlight w:val="lightGray"/>
        </w:rPr>
        <w:t xml:space="preserve"> </w:t>
      </w:r>
      <w:r>
        <w:rPr>
          <w:highlight w:val="lightGray"/>
        </w:rPr>
        <w:t>centrum</w:t>
      </w:r>
      <w:r w:rsidRPr="00853C5F">
        <w:rPr>
          <w:highlight w:val="lightGray"/>
        </w:rPr>
        <w:t xml:space="preserve"> hlásenia uveden</w:t>
      </w:r>
      <w:r>
        <w:rPr>
          <w:highlight w:val="lightGray"/>
        </w:rPr>
        <w:t>é</w:t>
      </w:r>
      <w:r w:rsidRPr="00853C5F">
        <w:rPr>
          <w:highlight w:val="lightGray"/>
        </w:rPr>
        <w:t xml:space="preserve"> v </w:t>
      </w:r>
      <w:hyperlink r:id="rId8" w:history="1">
        <w:r w:rsidRPr="00085939">
          <w:rPr>
            <w:rStyle w:val="Hypertextovprepojenie1"/>
            <w:highlight w:val="lightGray"/>
          </w:rPr>
          <w:t>Prílohe V</w:t>
        </w:r>
      </w:hyperlink>
      <w:r w:rsidRPr="00085939">
        <w:rPr>
          <w:color w:val="008000"/>
        </w:rPr>
        <w:t>.</w:t>
      </w:r>
    </w:p>
    <w:p w14:paraId="1380E67E" w14:textId="77777777" w:rsidR="00EE6E72" w:rsidRDefault="00EE6E72" w:rsidP="00424E40">
      <w:pPr>
        <w:autoSpaceDE w:val="0"/>
        <w:autoSpaceDN w:val="0"/>
        <w:adjustRightInd w:val="0"/>
        <w:spacing w:line="240" w:lineRule="auto"/>
      </w:pPr>
    </w:p>
    <w:p w14:paraId="53173994" w14:textId="77777777" w:rsidR="00EE6E72" w:rsidRDefault="00B81AFC" w:rsidP="00424E40">
      <w:pPr>
        <w:keepNext/>
        <w:numPr>
          <w:ilvl w:val="1"/>
          <w:numId w:val="6"/>
        </w:numPr>
        <w:spacing w:line="240" w:lineRule="auto"/>
        <w:outlineLvl w:val="0"/>
      </w:pPr>
      <w:r w:rsidRPr="00BF5AB0">
        <w:rPr>
          <w:b/>
        </w:rPr>
        <w:t>Predávkovanie</w:t>
      </w:r>
    </w:p>
    <w:p w14:paraId="3D08B962" w14:textId="77777777" w:rsidR="00EE6E72" w:rsidRDefault="00EE6E72" w:rsidP="00424E40">
      <w:pPr>
        <w:spacing w:line="240" w:lineRule="auto"/>
      </w:pPr>
    </w:p>
    <w:p w14:paraId="12BCBD8B" w14:textId="4008DB5C" w:rsidR="00EE6E72" w:rsidRDefault="00D51507" w:rsidP="00424E40">
      <w:pPr>
        <w:keepNext/>
        <w:keepLines/>
        <w:rPr>
          <w:bCs/>
          <w:iCs/>
          <w:szCs w:val="22"/>
        </w:rPr>
      </w:pPr>
      <w:r>
        <w:rPr>
          <w:bCs/>
          <w:iCs/>
          <w:szCs w:val="22"/>
        </w:rPr>
        <w:t>N</w:t>
      </w:r>
      <w:r w:rsidR="00230FCC" w:rsidRPr="009B5E44">
        <w:rPr>
          <w:bCs/>
          <w:iCs/>
          <w:szCs w:val="22"/>
        </w:rPr>
        <w:t>ie sú dostupné žiadne údaje</w:t>
      </w:r>
      <w:r>
        <w:rPr>
          <w:bCs/>
          <w:iCs/>
          <w:szCs w:val="22"/>
        </w:rPr>
        <w:t xml:space="preserve"> o predávkovaní dutasteridom/tamsulozínom</w:t>
      </w:r>
      <w:r w:rsidR="00230FCC" w:rsidRPr="009B5E44">
        <w:rPr>
          <w:bCs/>
          <w:iCs/>
          <w:szCs w:val="22"/>
        </w:rPr>
        <w:t>. Nasledovné údaje odrážajú informácie dostupné pre jednotlivé zložky.</w:t>
      </w:r>
    </w:p>
    <w:p w14:paraId="6DC04846" w14:textId="77777777" w:rsidR="00EE6E72" w:rsidRDefault="00EE6E72" w:rsidP="00424E40">
      <w:pPr>
        <w:keepNext/>
        <w:keepLines/>
        <w:rPr>
          <w:bCs/>
          <w:iCs/>
          <w:szCs w:val="22"/>
        </w:rPr>
      </w:pPr>
    </w:p>
    <w:p w14:paraId="04A189EA" w14:textId="77777777" w:rsidR="00EE6E72" w:rsidRDefault="00230FCC" w:rsidP="00424E40">
      <w:pPr>
        <w:keepNext/>
        <w:keepLines/>
        <w:rPr>
          <w:bCs/>
          <w:i/>
          <w:szCs w:val="22"/>
        </w:rPr>
      </w:pPr>
      <w:r w:rsidRPr="009B5E44">
        <w:rPr>
          <w:bCs/>
          <w:i/>
          <w:szCs w:val="22"/>
        </w:rPr>
        <w:t>Dutasterid</w:t>
      </w:r>
    </w:p>
    <w:p w14:paraId="44347973" w14:textId="0A5158B1" w:rsidR="00EE6E72" w:rsidRDefault="00230FCC" w:rsidP="00424E40">
      <w:pPr>
        <w:keepNext/>
        <w:keepLines/>
        <w:rPr>
          <w:szCs w:val="22"/>
        </w:rPr>
      </w:pPr>
      <w:r w:rsidRPr="009B5E44">
        <w:rPr>
          <w:szCs w:val="22"/>
        </w:rPr>
        <w:t>V štúdiách s dobrovoľníkmi sa dutasterid podával v jednorazových denných dávkach až do 40 mg/deň (80</w:t>
      </w:r>
      <w:r w:rsidRPr="009B5E44">
        <w:rPr>
          <w:szCs w:val="22"/>
        </w:rPr>
        <w:noBreakHyphen/>
        <w:t xml:space="preserve">násobok terapeutickej dávky) počas 7 dní bez </w:t>
      </w:r>
      <w:r w:rsidR="00D51507">
        <w:rPr>
          <w:szCs w:val="22"/>
        </w:rPr>
        <w:t>významných problémov s bezpečnosťou</w:t>
      </w:r>
      <w:r w:rsidRPr="009B5E44">
        <w:rPr>
          <w:szCs w:val="22"/>
        </w:rPr>
        <w:t>. V klinických štúdiách, v ktorých boli osobám podávané dávky</w:t>
      </w:r>
      <w:r w:rsidR="00D51507">
        <w:rPr>
          <w:szCs w:val="22"/>
        </w:rPr>
        <w:t xml:space="preserve"> 5 mg</w:t>
      </w:r>
      <w:r w:rsidRPr="009B5E44">
        <w:rPr>
          <w:szCs w:val="22"/>
        </w:rPr>
        <w:t xml:space="preserve"> denne počas 6 mesiacov, sa nezaznamenali ďalšie nežiaduce účinky okrem tých, ktoré sa pozorovali pri terapeutických dávkach 0,5 mg. Neexistuje žiadne špecifické antidotum dutasterid</w:t>
      </w:r>
      <w:r w:rsidR="00D51507">
        <w:rPr>
          <w:szCs w:val="22"/>
        </w:rPr>
        <w:t>u</w:t>
      </w:r>
      <w:r w:rsidRPr="009B5E44">
        <w:rPr>
          <w:szCs w:val="22"/>
        </w:rPr>
        <w:t>, a preto sa pri podozrení na predávkovanie musí podľa potreby poskytnúť symptomatická a podporná liečba.</w:t>
      </w:r>
    </w:p>
    <w:p w14:paraId="2C240765" w14:textId="77777777" w:rsidR="00EE6E72" w:rsidRDefault="00EE6E72" w:rsidP="00424E40">
      <w:pPr>
        <w:rPr>
          <w:szCs w:val="22"/>
        </w:rPr>
      </w:pPr>
    </w:p>
    <w:p w14:paraId="7D3C86A1" w14:textId="77777777" w:rsidR="00EE6E72" w:rsidRDefault="00230FCC" w:rsidP="00424E40">
      <w:pPr>
        <w:rPr>
          <w:i/>
          <w:iCs/>
          <w:szCs w:val="22"/>
        </w:rPr>
      </w:pPr>
      <w:r w:rsidRPr="009B5E44">
        <w:rPr>
          <w:i/>
          <w:iCs/>
          <w:szCs w:val="22"/>
        </w:rPr>
        <w:t>Tamsulozín</w:t>
      </w:r>
    </w:p>
    <w:p w14:paraId="1605BFA2" w14:textId="1D629230" w:rsidR="00EE6E72" w:rsidRDefault="00230FCC" w:rsidP="00424E40">
      <w:pPr>
        <w:rPr>
          <w:szCs w:val="22"/>
        </w:rPr>
      </w:pPr>
      <w:r w:rsidRPr="009B5E44">
        <w:rPr>
          <w:noProof/>
          <w:szCs w:val="22"/>
        </w:rPr>
        <w:t>Po 5</w:t>
      </w:r>
      <w:r w:rsidRPr="009B5E44">
        <w:rPr>
          <w:szCs w:val="22"/>
        </w:rPr>
        <w:t> </w:t>
      </w:r>
      <w:r w:rsidRPr="009B5E44">
        <w:rPr>
          <w:noProof/>
          <w:szCs w:val="22"/>
        </w:rPr>
        <w:t xml:space="preserve">mg </w:t>
      </w:r>
      <w:r w:rsidRPr="009B5E44">
        <w:rPr>
          <w:szCs w:val="22"/>
        </w:rPr>
        <w:t>tamsulozíniumchloridu</w:t>
      </w:r>
      <w:r w:rsidRPr="009B5E44">
        <w:rPr>
          <w:noProof/>
          <w:szCs w:val="22"/>
        </w:rPr>
        <w:t xml:space="preserve"> sa nehlásili žiadne prípady akútneho predávkovania.</w:t>
      </w:r>
      <w:r w:rsidRPr="009B5E44">
        <w:rPr>
          <w:szCs w:val="22"/>
        </w:rPr>
        <w:t xml:space="preserve"> Pozorovala sa akútna hypotenzia (systolický tlak krvi 70 mm Hg), vracanie a hnačka, ktoré sa liečili náhradou tekutín a pacienta možno prepustiť domov v ten istý deň. V prípade výskytu akútnej hypotenzie po predávkovaní sa má poskytnúť podpora kardiovaskulárnym funkciám. Krvný tlak možno upraviť a srdcovú frekvenciu vrátiť do normálu uložením pacienta do l polohy</w:t>
      </w:r>
      <w:r w:rsidR="00D51507">
        <w:rPr>
          <w:szCs w:val="22"/>
        </w:rPr>
        <w:t xml:space="preserve"> ležmo</w:t>
      </w:r>
      <w:r w:rsidRPr="009B5E44">
        <w:rPr>
          <w:szCs w:val="22"/>
        </w:rPr>
        <w:t xml:space="preserve">. Ak to nepomôže, možno použiť lieky na zväčšenie intravazálneho objemu a, ak je to nutné, možno </w:t>
      </w:r>
      <w:r w:rsidR="00D51507">
        <w:rPr>
          <w:szCs w:val="22"/>
        </w:rPr>
        <w:t>použiť</w:t>
      </w:r>
      <w:r w:rsidR="00D51507" w:rsidRPr="009B5E44">
        <w:rPr>
          <w:szCs w:val="22"/>
        </w:rPr>
        <w:t xml:space="preserve"> </w:t>
      </w:r>
      <w:r w:rsidRPr="009B5E44">
        <w:rPr>
          <w:szCs w:val="22"/>
        </w:rPr>
        <w:t>vazopresory. Má sa sledovať renálna funkcia a zaviesť celkové podporné opatrenia. Dialýza pravdepodobne nepomôže, pretože tamsulozín sa vo vysokej miere viaže na plazmatické proteíny.</w:t>
      </w:r>
    </w:p>
    <w:p w14:paraId="7595681D" w14:textId="77777777" w:rsidR="00EE6E72" w:rsidRDefault="00EE6E72" w:rsidP="00424E40">
      <w:pPr>
        <w:rPr>
          <w:szCs w:val="22"/>
        </w:rPr>
      </w:pPr>
    </w:p>
    <w:p w14:paraId="7FC81E90" w14:textId="2DDD3CBF" w:rsidR="00EE6E72" w:rsidRDefault="00230FCC" w:rsidP="00424E40">
      <w:pPr>
        <w:rPr>
          <w:szCs w:val="22"/>
        </w:rPr>
      </w:pPr>
      <w:r w:rsidRPr="009B5E44">
        <w:rPr>
          <w:szCs w:val="22"/>
        </w:rPr>
        <w:t xml:space="preserve">Na zabránenie absorpcie možno zvážiť opatrenia, ako je vracanie. Po požití </w:t>
      </w:r>
      <w:r w:rsidR="00D51507" w:rsidRPr="009B5E44">
        <w:rPr>
          <w:szCs w:val="22"/>
        </w:rPr>
        <w:t>v</w:t>
      </w:r>
      <w:r w:rsidR="00D51507">
        <w:rPr>
          <w:szCs w:val="22"/>
        </w:rPr>
        <w:t>ysokých</w:t>
      </w:r>
      <w:r w:rsidR="00D51507" w:rsidRPr="009B5E44">
        <w:rPr>
          <w:szCs w:val="22"/>
        </w:rPr>
        <w:t xml:space="preserve"> </w:t>
      </w:r>
      <w:r w:rsidRPr="009B5E44">
        <w:rPr>
          <w:szCs w:val="22"/>
        </w:rPr>
        <w:t xml:space="preserve">dávok lieku možno vykonať </w:t>
      </w:r>
      <w:r w:rsidR="00D51507">
        <w:rPr>
          <w:szCs w:val="22"/>
        </w:rPr>
        <w:t>gastrickú laváž</w:t>
      </w:r>
      <w:r w:rsidRPr="009B5E44">
        <w:rPr>
          <w:szCs w:val="22"/>
        </w:rPr>
        <w:t xml:space="preserve"> a podať aktívne uhlie a osmotické laxatívum, ako je síran sodný.</w:t>
      </w:r>
    </w:p>
    <w:p w14:paraId="3B49683C" w14:textId="77777777" w:rsidR="00EE6E72" w:rsidRDefault="00EE6E72" w:rsidP="00424E40">
      <w:pPr>
        <w:spacing w:line="240" w:lineRule="auto"/>
      </w:pPr>
    </w:p>
    <w:p w14:paraId="0A308B42" w14:textId="77777777" w:rsidR="00EE6E72" w:rsidRDefault="00B81AFC" w:rsidP="00424E40">
      <w:pPr>
        <w:keepNext/>
        <w:numPr>
          <w:ilvl w:val="0"/>
          <w:numId w:val="6"/>
        </w:numPr>
        <w:suppressAutoHyphens/>
        <w:spacing w:line="240" w:lineRule="auto"/>
      </w:pPr>
      <w:r w:rsidRPr="00BF5AB0">
        <w:rPr>
          <w:b/>
        </w:rPr>
        <w:lastRenderedPageBreak/>
        <w:t>FARM</w:t>
      </w:r>
      <w:r w:rsidRPr="00891D76">
        <w:rPr>
          <w:b/>
        </w:rPr>
        <w:t>AKOLOGICKÉ VLASTNOSTI</w:t>
      </w:r>
    </w:p>
    <w:p w14:paraId="035B2511" w14:textId="77777777" w:rsidR="00EE6E72" w:rsidRDefault="00EE6E72" w:rsidP="00424E40">
      <w:pPr>
        <w:keepNext/>
        <w:spacing w:line="240" w:lineRule="auto"/>
      </w:pPr>
    </w:p>
    <w:p w14:paraId="5AA9B898" w14:textId="77777777" w:rsidR="00EE6E72" w:rsidRDefault="00B81AFC" w:rsidP="00424E40">
      <w:pPr>
        <w:keepNext/>
        <w:numPr>
          <w:ilvl w:val="1"/>
          <w:numId w:val="6"/>
        </w:numPr>
        <w:spacing w:line="240" w:lineRule="auto"/>
        <w:outlineLvl w:val="0"/>
      </w:pPr>
      <w:r w:rsidRPr="00BF5AB0">
        <w:rPr>
          <w:b/>
        </w:rPr>
        <w:t>Farmakodynamické vlastnosti</w:t>
      </w:r>
    </w:p>
    <w:p w14:paraId="3C1B7AA2" w14:textId="77777777" w:rsidR="00EE6E72" w:rsidRDefault="00EE6E72" w:rsidP="00424E40">
      <w:pPr>
        <w:keepNext/>
        <w:spacing w:line="240" w:lineRule="auto"/>
      </w:pPr>
    </w:p>
    <w:p w14:paraId="053C6369" w14:textId="77777777" w:rsidR="00EE6E72" w:rsidRDefault="009D1236" w:rsidP="00424E40">
      <w:pPr>
        <w:keepNext/>
        <w:keepLines/>
        <w:rPr>
          <w:szCs w:val="22"/>
        </w:rPr>
      </w:pPr>
      <w:r w:rsidRPr="009B5E44">
        <w:rPr>
          <w:szCs w:val="22"/>
        </w:rPr>
        <w:t>Farmakoterapeutická skupina: antagonisty alfa</w:t>
      </w:r>
      <w:r w:rsidRPr="009B5E44">
        <w:rPr>
          <w:szCs w:val="22"/>
        </w:rPr>
        <w:noBreakHyphen/>
        <w:t xml:space="preserve">adrenergických receptorov, ATC kód: </w:t>
      </w:r>
      <w:r w:rsidRPr="009B5E44">
        <w:rPr>
          <w:bCs/>
          <w:szCs w:val="22"/>
        </w:rPr>
        <w:t>G04CA52</w:t>
      </w:r>
    </w:p>
    <w:p w14:paraId="78BE5C5A" w14:textId="77777777" w:rsidR="00EE6E72" w:rsidRDefault="00EE6E72" w:rsidP="00424E40">
      <w:pPr>
        <w:keepNext/>
        <w:keepLines/>
        <w:rPr>
          <w:szCs w:val="22"/>
        </w:rPr>
      </w:pPr>
    </w:p>
    <w:p w14:paraId="39E9E527" w14:textId="3B16BE38" w:rsidR="00EE6E72" w:rsidRDefault="009D1236" w:rsidP="00424E40">
      <w:pPr>
        <w:keepNext/>
        <w:keepLines/>
        <w:rPr>
          <w:szCs w:val="22"/>
        </w:rPr>
      </w:pPr>
      <w:r w:rsidRPr="009B5E44">
        <w:rPr>
          <w:szCs w:val="22"/>
        </w:rPr>
        <w:t>Dutasterid</w:t>
      </w:r>
      <w:r w:rsidR="00D51507">
        <w:rPr>
          <w:szCs w:val="22"/>
        </w:rPr>
        <w:t>/</w:t>
      </w:r>
      <w:r w:rsidRPr="009B5E44">
        <w:rPr>
          <w:szCs w:val="22"/>
        </w:rPr>
        <w:t>tamsulozín je kombinácia dvoch liečiv: dutasteridu, duáln</w:t>
      </w:r>
      <w:r w:rsidR="00D51507">
        <w:rPr>
          <w:szCs w:val="22"/>
        </w:rPr>
        <w:t>eho</w:t>
      </w:r>
      <w:r w:rsidRPr="009B5E44">
        <w:rPr>
          <w:szCs w:val="22"/>
        </w:rPr>
        <w:t xml:space="preserve"> inhibítor</w:t>
      </w:r>
      <w:r w:rsidR="00D51507">
        <w:rPr>
          <w:szCs w:val="22"/>
        </w:rPr>
        <w:t>a</w:t>
      </w:r>
      <w:r w:rsidRPr="009B5E44">
        <w:rPr>
          <w:szCs w:val="22"/>
        </w:rPr>
        <w:t xml:space="preserve"> 5</w:t>
      </w:r>
      <w:r w:rsidRPr="009B5E44">
        <w:rPr>
          <w:szCs w:val="22"/>
        </w:rPr>
        <w:noBreakHyphen/>
        <w:t>alfa</w:t>
      </w:r>
      <w:r w:rsidRPr="009B5E44">
        <w:rPr>
          <w:szCs w:val="22"/>
        </w:rPr>
        <w:noBreakHyphen/>
        <w:t>reduktázy (5 ARI)</w:t>
      </w:r>
      <w:r w:rsidR="00D51507">
        <w:rPr>
          <w:szCs w:val="22"/>
        </w:rPr>
        <w:t>,</w:t>
      </w:r>
      <w:r w:rsidRPr="009B5E44">
        <w:rPr>
          <w:szCs w:val="22"/>
        </w:rPr>
        <w:t xml:space="preserve"> a tamsulozíniumchloridu, antagonist</w:t>
      </w:r>
      <w:r w:rsidR="00D51507">
        <w:rPr>
          <w:szCs w:val="22"/>
        </w:rPr>
        <w:t>u</w:t>
      </w:r>
      <w:r w:rsidRPr="009B5E44">
        <w:rPr>
          <w:szCs w:val="22"/>
        </w:rPr>
        <w:t xml:space="preserve"> α</w:t>
      </w:r>
      <w:r w:rsidRPr="009B5E44">
        <w:rPr>
          <w:szCs w:val="22"/>
          <w:vertAlign w:val="subscript"/>
        </w:rPr>
        <w:t xml:space="preserve">1a </w:t>
      </w:r>
      <w:r w:rsidRPr="009B5E44">
        <w:rPr>
          <w:szCs w:val="22"/>
        </w:rPr>
        <w:t>a α</w:t>
      </w:r>
      <w:r w:rsidRPr="009B5E44">
        <w:rPr>
          <w:szCs w:val="22"/>
          <w:vertAlign w:val="subscript"/>
        </w:rPr>
        <w:t>1d</w:t>
      </w:r>
      <w:r w:rsidRPr="009B5E44">
        <w:rPr>
          <w:szCs w:val="22"/>
        </w:rPr>
        <w:t xml:space="preserve"> adrenergických receptorov. Tieto liečivá majú komplementárny mechanizmus účinku, ktorý rýchlo zlepšuje symptómy, prietok moču a znižuje riziko akútnej retencie moču (AR</w:t>
      </w:r>
      <w:r w:rsidR="00B5136C">
        <w:rPr>
          <w:szCs w:val="22"/>
        </w:rPr>
        <w:t>M</w:t>
      </w:r>
      <w:r w:rsidRPr="009B5E44">
        <w:rPr>
          <w:szCs w:val="22"/>
        </w:rPr>
        <w:t>) a potrebu operácie v súvislosti s BH</w:t>
      </w:r>
      <w:r w:rsidR="00B5136C">
        <w:rPr>
          <w:szCs w:val="22"/>
        </w:rPr>
        <w:t>P</w:t>
      </w:r>
      <w:r w:rsidRPr="009B5E44">
        <w:rPr>
          <w:szCs w:val="22"/>
        </w:rPr>
        <w:t>.</w:t>
      </w:r>
    </w:p>
    <w:p w14:paraId="5D08D7C4" w14:textId="77777777" w:rsidR="00EE6E72" w:rsidRDefault="00EE6E72" w:rsidP="00424E40">
      <w:pPr>
        <w:rPr>
          <w:szCs w:val="22"/>
        </w:rPr>
      </w:pPr>
    </w:p>
    <w:p w14:paraId="374A68CC" w14:textId="728C4D52" w:rsidR="00EE6E72" w:rsidRDefault="009D1236" w:rsidP="00424E40">
      <w:pPr>
        <w:rPr>
          <w:szCs w:val="22"/>
        </w:rPr>
      </w:pPr>
      <w:r w:rsidRPr="009B5E44">
        <w:rPr>
          <w:szCs w:val="22"/>
        </w:rPr>
        <w:t>Dutasterid inhibuje typ 1 aj typ 2 izoenzýmov 5</w:t>
      </w:r>
      <w:r w:rsidRPr="009B5E44">
        <w:rPr>
          <w:szCs w:val="22"/>
        </w:rPr>
        <w:noBreakHyphen/>
        <w:t>alfa</w:t>
      </w:r>
      <w:r w:rsidRPr="009B5E44">
        <w:rPr>
          <w:szCs w:val="22"/>
        </w:rPr>
        <w:noBreakHyphen/>
        <w:t>reduktázy, ktoré sú zodpovedné za konverziu testosterónu na dihydrotestosterón (DHT). DHT je androgén primárne zodpovedný za rast prostaty a v</w:t>
      </w:r>
      <w:r w:rsidR="00D51507">
        <w:rPr>
          <w:szCs w:val="22"/>
        </w:rPr>
        <w:t>znik</w:t>
      </w:r>
      <w:r w:rsidRPr="009B5E44">
        <w:rPr>
          <w:szCs w:val="22"/>
        </w:rPr>
        <w:t xml:space="preserve"> BH</w:t>
      </w:r>
      <w:r w:rsidR="00B5136C">
        <w:rPr>
          <w:szCs w:val="22"/>
        </w:rPr>
        <w:t>P</w:t>
      </w:r>
      <w:r w:rsidRPr="009B5E44">
        <w:rPr>
          <w:szCs w:val="22"/>
        </w:rPr>
        <w:t>. Tamsulozín inhibuje α</w:t>
      </w:r>
      <w:r w:rsidRPr="009B5E44">
        <w:rPr>
          <w:szCs w:val="22"/>
          <w:vertAlign w:val="subscript"/>
        </w:rPr>
        <w:t>1a</w:t>
      </w:r>
      <w:r w:rsidRPr="009B5E44">
        <w:rPr>
          <w:szCs w:val="22"/>
        </w:rPr>
        <w:t xml:space="preserve"> a α</w:t>
      </w:r>
      <w:r w:rsidRPr="009B5E44">
        <w:rPr>
          <w:szCs w:val="22"/>
          <w:vertAlign w:val="subscript"/>
        </w:rPr>
        <w:t>1d</w:t>
      </w:r>
      <w:r w:rsidRPr="009B5E44">
        <w:rPr>
          <w:szCs w:val="22"/>
        </w:rPr>
        <w:t xml:space="preserve"> adrenergické receptory v hladkých svaloch strómy prostaty a uretry. Približne 75 % α</w:t>
      </w:r>
      <w:r w:rsidRPr="009B5E44">
        <w:rPr>
          <w:szCs w:val="22"/>
          <w:vertAlign w:val="subscript"/>
        </w:rPr>
        <w:t>1</w:t>
      </w:r>
      <w:r w:rsidRPr="009B5E44">
        <w:rPr>
          <w:szCs w:val="22"/>
        </w:rPr>
        <w:noBreakHyphen/>
        <w:t>receptorov v prostate je  podtyp</w:t>
      </w:r>
      <w:r w:rsidR="00D51507">
        <w:rPr>
          <w:szCs w:val="22"/>
        </w:rPr>
        <w:t xml:space="preserve"> </w:t>
      </w:r>
      <w:r w:rsidR="00D51507" w:rsidRPr="009B5E44">
        <w:rPr>
          <w:szCs w:val="22"/>
        </w:rPr>
        <w:t>α</w:t>
      </w:r>
      <w:r w:rsidR="00D51507" w:rsidRPr="009B5E44">
        <w:rPr>
          <w:szCs w:val="22"/>
          <w:vertAlign w:val="subscript"/>
        </w:rPr>
        <w:t>1a</w:t>
      </w:r>
      <w:r w:rsidRPr="009B5E44">
        <w:rPr>
          <w:szCs w:val="22"/>
        </w:rPr>
        <w:t>.</w:t>
      </w:r>
    </w:p>
    <w:p w14:paraId="3CA337D8" w14:textId="77777777" w:rsidR="00EE6E72" w:rsidRDefault="00EE6E72" w:rsidP="00424E40">
      <w:pPr>
        <w:rPr>
          <w:szCs w:val="22"/>
        </w:rPr>
      </w:pPr>
    </w:p>
    <w:p w14:paraId="5CA23C39" w14:textId="77777777" w:rsidR="00EE6E72" w:rsidRDefault="009D1236" w:rsidP="00424E40">
      <w:pPr>
        <w:pStyle w:val="Zkladntext2"/>
        <w:spacing w:line="240" w:lineRule="auto"/>
        <w:rPr>
          <w:i/>
          <w:szCs w:val="22"/>
        </w:rPr>
      </w:pPr>
      <w:r w:rsidRPr="009B5E44">
        <w:rPr>
          <w:i/>
          <w:szCs w:val="22"/>
        </w:rPr>
        <w:t>Súbežné podávanie dutasteridu s</w:t>
      </w:r>
      <w:r w:rsidR="004E05DF">
        <w:rPr>
          <w:i/>
          <w:szCs w:val="22"/>
        </w:rPr>
        <w:t> </w:t>
      </w:r>
      <w:r w:rsidRPr="009B5E44">
        <w:rPr>
          <w:i/>
          <w:szCs w:val="22"/>
        </w:rPr>
        <w:t>tamsulozínom</w:t>
      </w:r>
    </w:p>
    <w:p w14:paraId="56ED3FFB" w14:textId="77777777" w:rsidR="00EE6E72" w:rsidRDefault="009D1236" w:rsidP="00424E40">
      <w:pPr>
        <w:pStyle w:val="Zkladntext2"/>
        <w:spacing w:after="0" w:line="240" w:lineRule="auto"/>
        <w:rPr>
          <w:snapToGrid w:val="0"/>
          <w:szCs w:val="22"/>
        </w:rPr>
      </w:pPr>
      <w:r w:rsidRPr="009B5E44">
        <w:rPr>
          <w:bCs/>
          <w:iCs/>
          <w:szCs w:val="22"/>
        </w:rPr>
        <w:t xml:space="preserve">Nasledovné údaje odrážajú informácie dostupné zo súbežného podávania </w:t>
      </w:r>
      <w:r w:rsidRPr="009B5E44">
        <w:rPr>
          <w:snapToGrid w:val="0"/>
          <w:szCs w:val="22"/>
        </w:rPr>
        <w:t>dutasteridu s tamsulozínom.</w:t>
      </w:r>
    </w:p>
    <w:p w14:paraId="66BC61E3" w14:textId="77777777" w:rsidR="00EE6E72" w:rsidRDefault="00EE6E72" w:rsidP="00424E40">
      <w:pPr>
        <w:pStyle w:val="Zkladntext2"/>
        <w:spacing w:after="0" w:line="240" w:lineRule="auto"/>
        <w:rPr>
          <w:szCs w:val="22"/>
        </w:rPr>
      </w:pPr>
    </w:p>
    <w:p w14:paraId="64043C45" w14:textId="0B7F40F9" w:rsidR="00EE6E72" w:rsidRDefault="009D1236" w:rsidP="00424E40">
      <w:pPr>
        <w:pStyle w:val="Zkladntext2"/>
        <w:spacing w:after="0" w:line="240" w:lineRule="auto"/>
        <w:rPr>
          <w:szCs w:val="22"/>
          <w:lang w:eastAsia="en-GB"/>
        </w:rPr>
      </w:pPr>
      <w:r w:rsidRPr="009B5E44">
        <w:rPr>
          <w:szCs w:val="22"/>
        </w:rPr>
        <w:t xml:space="preserve">Dutasterid 0,5 mg/deň (n = 1 623), tamsulozín 0,4 mg/deň (n = 1 611) alebo kombinácia dutasteridu 0,5 mg plus tamsulozín 0,4 mg (n = 1 610) sa vyhodnocovala u mužov so stredne závažnými až závažnými </w:t>
      </w:r>
      <w:r w:rsidRPr="007C65FB">
        <w:rPr>
          <w:szCs w:val="22"/>
        </w:rPr>
        <w:t>symptómami BH</w:t>
      </w:r>
      <w:r w:rsidR="00B5136C">
        <w:rPr>
          <w:szCs w:val="22"/>
        </w:rPr>
        <w:t>P</w:t>
      </w:r>
      <w:r w:rsidRPr="007C65FB">
        <w:rPr>
          <w:szCs w:val="22"/>
        </w:rPr>
        <w:t>,</w:t>
      </w:r>
      <w:r w:rsidRPr="009B5E44">
        <w:rPr>
          <w:szCs w:val="22"/>
        </w:rPr>
        <w:t xml:space="preserve"> ktorí mali prostatu </w:t>
      </w:r>
      <w:r w:rsidRPr="009B5E44">
        <w:rPr>
          <w:szCs w:val="22"/>
          <w:u w:val="single"/>
        </w:rPr>
        <w:t>&gt;</w:t>
      </w:r>
      <w:r w:rsidRPr="009B5E44">
        <w:rPr>
          <w:szCs w:val="22"/>
        </w:rPr>
        <w:t> 30 ml a hodnotu PSA v rozmedzí 1,5 </w:t>
      </w:r>
      <w:r w:rsidRPr="009B5E44">
        <w:rPr>
          <w:szCs w:val="22"/>
        </w:rPr>
        <w:noBreakHyphen/>
        <w:t xml:space="preserve"> 10 ng/ml v štvorročnej multicentrickej, medzinárodnej, randomizovanej dvojito zaslepenej štúdii s paralelnými skupinami. Približne 53 % </w:t>
      </w:r>
      <w:r w:rsidR="00806EDB">
        <w:rPr>
          <w:szCs w:val="22"/>
        </w:rPr>
        <w:t>účastníkov</w:t>
      </w:r>
      <w:r w:rsidR="00806EDB" w:rsidRPr="009B5E44">
        <w:rPr>
          <w:szCs w:val="22"/>
        </w:rPr>
        <w:t xml:space="preserve"> </w:t>
      </w:r>
      <w:r w:rsidRPr="009B5E44">
        <w:rPr>
          <w:szCs w:val="22"/>
        </w:rPr>
        <w:t>bolo predtým liečených inhibítorom 5</w:t>
      </w:r>
      <w:r w:rsidRPr="009B5E44">
        <w:rPr>
          <w:szCs w:val="22"/>
        </w:rPr>
        <w:noBreakHyphen/>
        <w:t>alfa</w:t>
      </w:r>
      <w:r w:rsidRPr="009B5E44">
        <w:rPr>
          <w:szCs w:val="22"/>
        </w:rPr>
        <w:noBreakHyphen/>
        <w:t>reduktázy alebo antagonistom alfa</w:t>
      </w:r>
      <w:r w:rsidRPr="009B5E44">
        <w:rPr>
          <w:szCs w:val="22"/>
          <w:vertAlign w:val="subscript"/>
        </w:rPr>
        <w:t>1</w:t>
      </w:r>
      <w:r w:rsidRPr="009B5E44">
        <w:rPr>
          <w:szCs w:val="22"/>
        </w:rPr>
        <w:noBreakHyphen/>
        <w:t xml:space="preserve">adrenergických receptorov. Primárnym </w:t>
      </w:r>
      <w:r w:rsidR="00806EDB">
        <w:rPr>
          <w:szCs w:val="22"/>
        </w:rPr>
        <w:t>cieľovým</w:t>
      </w:r>
      <w:r w:rsidR="00806EDB" w:rsidRPr="009B5E44">
        <w:rPr>
          <w:szCs w:val="22"/>
        </w:rPr>
        <w:t xml:space="preserve"> </w:t>
      </w:r>
      <w:r w:rsidRPr="009B5E44">
        <w:rPr>
          <w:szCs w:val="22"/>
        </w:rPr>
        <w:t>ukazovateľom účinnosti počas prvých dvoch rokov liečby bola zmena medzinárodného skóre symptómov prostaty (International Prostate Symptom Score, IPSS), čo je dotazník s ôsmymi otázkami vychádzajúci z AUA</w:t>
      </w:r>
      <w:r w:rsidRPr="009B5E44">
        <w:rPr>
          <w:szCs w:val="22"/>
        </w:rPr>
        <w:noBreakHyphen/>
        <w:t xml:space="preserve">SI s dodatočnou otázkou o kvalite života. </w:t>
      </w:r>
      <w:r w:rsidRPr="009B5E44">
        <w:rPr>
          <w:color w:val="000000"/>
          <w:szCs w:val="22"/>
        </w:rPr>
        <w:t xml:space="preserve">Sekundárne </w:t>
      </w:r>
      <w:r w:rsidR="00D91136">
        <w:rPr>
          <w:color w:val="000000"/>
          <w:szCs w:val="22"/>
        </w:rPr>
        <w:t>cieľo</w:t>
      </w:r>
      <w:r w:rsidRPr="009B5E44">
        <w:rPr>
          <w:color w:val="000000"/>
          <w:szCs w:val="22"/>
        </w:rPr>
        <w:t>vé ukazovatele účinnosti po 2 rokoch liečby zahŕňali</w:t>
      </w:r>
      <w:r w:rsidRPr="009B5E44">
        <w:rPr>
          <w:szCs w:val="22"/>
        </w:rPr>
        <w:t xml:space="preserve"> maximálnu rýchlosť prietoku moču (Q</w:t>
      </w:r>
      <w:r w:rsidRPr="009B5E44">
        <w:rPr>
          <w:szCs w:val="22"/>
          <w:vertAlign w:val="subscript"/>
        </w:rPr>
        <w:t>max</w:t>
      </w:r>
      <w:r w:rsidRPr="009B5E44">
        <w:rPr>
          <w:szCs w:val="22"/>
        </w:rPr>
        <w:t xml:space="preserve">) a objem prostaty. </w:t>
      </w:r>
      <w:r w:rsidRPr="009B5E44">
        <w:rPr>
          <w:color w:val="000000"/>
          <w:szCs w:val="22"/>
        </w:rPr>
        <w:t>Pri kombinácii sa dosiahlo významné zlepšenie skóre IPSS od 3. mesiaca v porovnaní s dutasteridom a od 9. mesiaca v porovnaní s tamsulozínom.</w:t>
      </w:r>
      <w:r w:rsidRPr="009B5E44">
        <w:rPr>
          <w:szCs w:val="22"/>
        </w:rPr>
        <w:t xml:space="preserve"> Pokiaľ ide o Q</w:t>
      </w:r>
      <w:r w:rsidRPr="009B5E44">
        <w:rPr>
          <w:szCs w:val="22"/>
          <w:vertAlign w:val="subscript"/>
        </w:rPr>
        <w:t>max</w:t>
      </w:r>
      <w:r w:rsidRPr="009B5E44">
        <w:rPr>
          <w:szCs w:val="22"/>
        </w:rPr>
        <w:t>, pri kombinácii sa dosiahlo významné zlepšenie od 6. mesiaca v porovnaní s dutasteridom aj tamsulozínom.</w:t>
      </w:r>
    </w:p>
    <w:p w14:paraId="1189181C" w14:textId="77777777" w:rsidR="00EE6E72" w:rsidRDefault="00EE6E72" w:rsidP="00424E40">
      <w:pPr>
        <w:pStyle w:val="Zkladntext2"/>
        <w:spacing w:line="240" w:lineRule="auto"/>
        <w:rPr>
          <w:szCs w:val="22"/>
        </w:rPr>
      </w:pPr>
    </w:p>
    <w:p w14:paraId="536E9302" w14:textId="2F0DD776" w:rsidR="00EE6E72" w:rsidRDefault="009D1236" w:rsidP="00424E40">
      <w:pPr>
        <w:spacing w:line="240" w:lineRule="auto"/>
        <w:rPr>
          <w:bCs/>
          <w:szCs w:val="22"/>
        </w:rPr>
      </w:pPr>
      <w:r w:rsidRPr="009B5E44">
        <w:rPr>
          <w:bCs/>
          <w:szCs w:val="22"/>
        </w:rPr>
        <w:t xml:space="preserve">Kombinácia dutasteridu s tamsulozínom </w:t>
      </w:r>
      <w:r w:rsidR="00720925">
        <w:rPr>
          <w:bCs/>
          <w:szCs w:val="22"/>
        </w:rPr>
        <w:t xml:space="preserve"> vedie k výraznejšiemu </w:t>
      </w:r>
      <w:r w:rsidRPr="009B5E44">
        <w:rPr>
          <w:bCs/>
          <w:szCs w:val="22"/>
        </w:rPr>
        <w:t>zlepšen</w:t>
      </w:r>
      <w:r w:rsidR="00720925">
        <w:rPr>
          <w:bCs/>
          <w:szCs w:val="22"/>
        </w:rPr>
        <w:t>iu</w:t>
      </w:r>
      <w:r w:rsidRPr="009B5E44">
        <w:rPr>
          <w:bCs/>
          <w:szCs w:val="22"/>
        </w:rPr>
        <w:t xml:space="preserve"> príznakov </w:t>
      </w:r>
      <w:r w:rsidR="00720925">
        <w:rPr>
          <w:bCs/>
          <w:szCs w:val="22"/>
        </w:rPr>
        <w:t>ako</w:t>
      </w:r>
      <w:r w:rsidRPr="009B5E44">
        <w:rPr>
          <w:bCs/>
          <w:szCs w:val="22"/>
        </w:rPr>
        <w:t xml:space="preserve"> jednotliv</w:t>
      </w:r>
      <w:r w:rsidR="00720925">
        <w:rPr>
          <w:bCs/>
          <w:szCs w:val="22"/>
        </w:rPr>
        <w:t>é zložky samostatne.</w:t>
      </w:r>
      <w:r w:rsidRPr="009B5E44">
        <w:rPr>
          <w:bCs/>
          <w:szCs w:val="22"/>
        </w:rPr>
        <w:t xml:space="preserve"> Po dvoch rokoch liečby ukázala súbežná liečba štatisticky významnú úpravu priemerného zlepšenia  skóre symptómov z východiskovej hodnoty </w:t>
      </w:r>
      <w:r w:rsidRPr="009B5E44">
        <w:rPr>
          <w:bCs/>
          <w:szCs w:val="22"/>
        </w:rPr>
        <w:noBreakHyphen/>
        <w:t>6,2 jednotky.</w:t>
      </w:r>
    </w:p>
    <w:p w14:paraId="540A8D57" w14:textId="77777777" w:rsidR="00EE6E72" w:rsidRDefault="00EE6E72" w:rsidP="00424E40">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bCs/>
          <w:szCs w:val="22"/>
        </w:rPr>
      </w:pPr>
    </w:p>
    <w:p w14:paraId="33DD25BD" w14:textId="2BEC3F70" w:rsidR="00EE6E72" w:rsidRDefault="009D1236" w:rsidP="00424E40">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bCs/>
          <w:szCs w:val="22"/>
        </w:rPr>
      </w:pPr>
      <w:r w:rsidRPr="009B5E44">
        <w:rPr>
          <w:bCs/>
          <w:szCs w:val="22"/>
        </w:rPr>
        <w:t xml:space="preserve">Upravené priemerné zlepšenie v rýchlosti prietoku v porovnaní s východiskovou hodnotou bolo 2,4 ml/s pri súbežnej liečbe, 1,9 ml/s pri dutasteride a 0,9 ml/s pri tamsulozíne. Upravené priemerné zlepšenie </w:t>
      </w:r>
      <w:r w:rsidR="00342C31">
        <w:rPr>
          <w:bCs/>
          <w:szCs w:val="22"/>
        </w:rPr>
        <w:t> </w:t>
      </w:r>
      <w:r w:rsidRPr="009B5E44">
        <w:rPr>
          <w:color w:val="000000"/>
          <w:szCs w:val="22"/>
        </w:rPr>
        <w:t>BH</w:t>
      </w:r>
      <w:r w:rsidR="00B5136C">
        <w:rPr>
          <w:color w:val="000000"/>
          <w:szCs w:val="22"/>
        </w:rPr>
        <w:t>P</w:t>
      </w:r>
      <w:r w:rsidR="00342C31">
        <w:rPr>
          <w:color w:val="000000"/>
          <w:szCs w:val="22"/>
        </w:rPr>
        <w:t xml:space="preserve"> Impact</w:t>
      </w:r>
      <w:r w:rsidRPr="009B5E44">
        <w:rPr>
          <w:color w:val="000000"/>
          <w:szCs w:val="22"/>
        </w:rPr>
        <w:t xml:space="preserve"> Index</w:t>
      </w:r>
      <w:r w:rsidR="00342C31">
        <w:rPr>
          <w:color w:val="000000"/>
          <w:szCs w:val="22"/>
        </w:rPr>
        <w:t>u</w:t>
      </w:r>
      <w:r w:rsidRPr="009B5E44">
        <w:rPr>
          <w:color w:val="000000"/>
          <w:szCs w:val="22"/>
        </w:rPr>
        <w:t xml:space="preserve"> </w:t>
      </w:r>
      <w:r w:rsidRPr="009B5E44">
        <w:rPr>
          <w:bCs/>
          <w:szCs w:val="22"/>
        </w:rPr>
        <w:t xml:space="preserve">(BII) v porovnaní s východiskovou hodnotou bolo </w:t>
      </w:r>
      <w:r w:rsidRPr="009B5E44">
        <w:rPr>
          <w:bCs/>
          <w:szCs w:val="22"/>
        </w:rPr>
        <w:noBreakHyphen/>
        <w:t xml:space="preserve">2,1 jednotky pri súbežnej liečbe, </w:t>
      </w:r>
      <w:r w:rsidRPr="009B5E44">
        <w:rPr>
          <w:bCs/>
          <w:szCs w:val="22"/>
        </w:rPr>
        <w:noBreakHyphen/>
        <w:t xml:space="preserve">1,7  pri dutasteride a </w:t>
      </w:r>
      <w:r w:rsidRPr="009B5E44">
        <w:rPr>
          <w:bCs/>
          <w:szCs w:val="22"/>
        </w:rPr>
        <w:noBreakHyphen/>
        <w:t xml:space="preserve">1,5 pri tamsulozíne. </w:t>
      </w:r>
    </w:p>
    <w:p w14:paraId="45FD830D" w14:textId="77777777" w:rsidR="00EE6E72" w:rsidRDefault="009D1236" w:rsidP="00424E40">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bCs/>
          <w:szCs w:val="22"/>
        </w:rPr>
      </w:pPr>
      <w:r w:rsidRPr="009B5E44">
        <w:rPr>
          <w:bCs/>
          <w:szCs w:val="22"/>
        </w:rPr>
        <w:t>Tieto zlepšenia v rýchlosti prietoku a BII boli štatisticky významné pri súbežnom podávaní v porovnaní s oboma monoterapiami.</w:t>
      </w:r>
    </w:p>
    <w:p w14:paraId="299956D3" w14:textId="77777777" w:rsidR="00EE6E72" w:rsidRDefault="00EE6E72" w:rsidP="00424E40">
      <w:pPr>
        <w:tabs>
          <w:tab w:val="left" w:pos="-720"/>
          <w:tab w:val="left" w:pos="0"/>
          <w:tab w:val="left" w:pos="720"/>
          <w:tab w:val="left" w:pos="1440"/>
          <w:tab w:val="left" w:pos="2160"/>
          <w:tab w:val="left" w:pos="2880"/>
          <w:tab w:val="left" w:pos="3600"/>
          <w:tab w:val="left" w:pos="4320"/>
        </w:tabs>
        <w:autoSpaceDE w:val="0"/>
        <w:autoSpaceDN w:val="0"/>
        <w:adjustRightInd w:val="0"/>
        <w:rPr>
          <w:bCs/>
          <w:szCs w:val="22"/>
        </w:rPr>
      </w:pPr>
    </w:p>
    <w:p w14:paraId="7AA4B2F7" w14:textId="77777777" w:rsidR="00EE6E72" w:rsidRDefault="009D1236" w:rsidP="00424E40">
      <w:pPr>
        <w:tabs>
          <w:tab w:val="left" w:pos="-720"/>
          <w:tab w:val="left" w:pos="0"/>
          <w:tab w:val="left" w:pos="720"/>
          <w:tab w:val="left" w:pos="1440"/>
          <w:tab w:val="left" w:pos="2160"/>
          <w:tab w:val="left" w:pos="2880"/>
          <w:tab w:val="left" w:pos="3600"/>
          <w:tab w:val="left" w:pos="4320"/>
        </w:tabs>
        <w:autoSpaceDE w:val="0"/>
        <w:autoSpaceDN w:val="0"/>
        <w:adjustRightInd w:val="0"/>
        <w:rPr>
          <w:bCs/>
          <w:szCs w:val="22"/>
        </w:rPr>
      </w:pPr>
      <w:r w:rsidRPr="009B5E44">
        <w:rPr>
          <w:bCs/>
          <w:szCs w:val="22"/>
        </w:rPr>
        <w:t>Zníženie celkového objemu prostaty a o</w:t>
      </w:r>
      <w:r w:rsidRPr="009B5E44">
        <w:rPr>
          <w:bCs/>
          <w:color w:val="000000"/>
          <w:szCs w:val="22"/>
        </w:rPr>
        <w:t>bjemu</w:t>
      </w:r>
      <w:r w:rsidRPr="009B5E44">
        <w:rPr>
          <w:color w:val="000000"/>
          <w:szCs w:val="22"/>
        </w:rPr>
        <w:t xml:space="preserve"> prechodnej </w:t>
      </w:r>
      <w:r w:rsidRPr="009B5E44">
        <w:rPr>
          <w:bCs/>
          <w:color w:val="000000"/>
          <w:szCs w:val="22"/>
        </w:rPr>
        <w:t>zóny prostaty</w:t>
      </w:r>
      <w:r w:rsidRPr="009B5E44">
        <w:rPr>
          <w:bCs/>
          <w:szCs w:val="22"/>
        </w:rPr>
        <w:t xml:space="preserve"> po dvoch rokoch liečby bolo štatisticky významné pri súbežnom podávaní v porovnaní so samotným tamsulozínom v monoterapii.</w:t>
      </w:r>
    </w:p>
    <w:p w14:paraId="1B72B787" w14:textId="77777777" w:rsidR="00EE6E72" w:rsidRDefault="00EE6E72" w:rsidP="00424E40">
      <w:pPr>
        <w:rPr>
          <w:szCs w:val="22"/>
        </w:rPr>
      </w:pPr>
    </w:p>
    <w:p w14:paraId="1AF76B05" w14:textId="273278B3" w:rsidR="00EE6E72" w:rsidRDefault="009D1236" w:rsidP="00424E40">
      <w:pPr>
        <w:keepNext/>
        <w:keepLines/>
        <w:rPr>
          <w:szCs w:val="22"/>
        </w:rPr>
      </w:pPr>
      <w:r w:rsidRPr="009B5E44">
        <w:rPr>
          <w:szCs w:val="22"/>
        </w:rPr>
        <w:lastRenderedPageBreak/>
        <w:t xml:space="preserve">Primárnym </w:t>
      </w:r>
      <w:r w:rsidR="00D91136">
        <w:rPr>
          <w:szCs w:val="22"/>
        </w:rPr>
        <w:t>cieľo</w:t>
      </w:r>
      <w:r w:rsidRPr="009B5E44">
        <w:rPr>
          <w:szCs w:val="22"/>
        </w:rPr>
        <w:t>vým ukazovateľom účinnosti po 4 rokoch liečby bol čas do objavenia sa prvej epizódy AR</w:t>
      </w:r>
      <w:r w:rsidR="00B5136C">
        <w:rPr>
          <w:szCs w:val="22"/>
        </w:rPr>
        <w:t>M</w:t>
      </w:r>
      <w:r w:rsidRPr="009B5E44">
        <w:rPr>
          <w:szCs w:val="22"/>
        </w:rPr>
        <w:t xml:space="preserve"> alebo do potreby chirurgického zákroku súvisiaceho s BH</w:t>
      </w:r>
      <w:r w:rsidR="00B5136C">
        <w:rPr>
          <w:szCs w:val="22"/>
        </w:rPr>
        <w:t>P</w:t>
      </w:r>
      <w:r w:rsidRPr="009B5E44">
        <w:rPr>
          <w:szCs w:val="22"/>
        </w:rPr>
        <w:t>. Po 4 rokoch liečby sa pri kombinovanej liečbe štatisticky významne znížilo riziko AR</w:t>
      </w:r>
      <w:r w:rsidR="00B5136C">
        <w:rPr>
          <w:szCs w:val="22"/>
        </w:rPr>
        <w:t>M</w:t>
      </w:r>
      <w:r w:rsidRPr="009B5E44">
        <w:rPr>
          <w:szCs w:val="22"/>
        </w:rPr>
        <w:t xml:space="preserve"> alebo chirurgického zákroku súvisiaceho s BH</w:t>
      </w:r>
      <w:r w:rsidR="00B5136C">
        <w:rPr>
          <w:szCs w:val="22"/>
        </w:rPr>
        <w:t>P</w:t>
      </w:r>
      <w:r w:rsidRPr="009B5E44">
        <w:rPr>
          <w:szCs w:val="22"/>
        </w:rPr>
        <w:t xml:space="preserve"> (</w:t>
      </w:r>
      <w:r w:rsidRPr="009B5E44">
        <w:rPr>
          <w:color w:val="000000"/>
          <w:szCs w:val="22"/>
        </w:rPr>
        <w:t xml:space="preserve">65,8 % zníženie rizika, </w:t>
      </w:r>
      <w:r w:rsidRPr="009B5E44">
        <w:rPr>
          <w:szCs w:val="22"/>
        </w:rPr>
        <w:t>p &lt; 0,001 [</w:t>
      </w:r>
      <w:r w:rsidRPr="009B5E44">
        <w:rPr>
          <w:color w:val="000000"/>
          <w:szCs w:val="22"/>
        </w:rPr>
        <w:t xml:space="preserve">95 % </w:t>
      </w:r>
      <w:r w:rsidR="00342C31">
        <w:rPr>
          <w:color w:val="000000"/>
          <w:szCs w:val="22"/>
        </w:rPr>
        <w:t xml:space="preserve">interval spoľahlivosti, </w:t>
      </w:r>
      <w:r w:rsidRPr="009B5E44">
        <w:rPr>
          <w:color w:val="000000"/>
          <w:szCs w:val="22"/>
        </w:rPr>
        <w:t>I</w:t>
      </w:r>
      <w:r w:rsidR="00342C31">
        <w:rPr>
          <w:color w:val="000000"/>
          <w:szCs w:val="22"/>
        </w:rPr>
        <w:t>S</w:t>
      </w:r>
      <w:r w:rsidRPr="009B5E44">
        <w:rPr>
          <w:color w:val="000000"/>
          <w:szCs w:val="22"/>
        </w:rPr>
        <w:t xml:space="preserve"> 54,7 % až 74,1 %]</w:t>
      </w:r>
      <w:r w:rsidRPr="009B5E44">
        <w:rPr>
          <w:szCs w:val="22"/>
        </w:rPr>
        <w:t xml:space="preserve">) v porovnaní s monoterapiou tamsulozínom. Incidencia </w:t>
      </w:r>
      <w:r w:rsidRPr="009B5E44">
        <w:rPr>
          <w:color w:val="000000"/>
          <w:szCs w:val="22"/>
        </w:rPr>
        <w:t>AR</w:t>
      </w:r>
      <w:r w:rsidR="00ED00E8">
        <w:rPr>
          <w:color w:val="000000"/>
          <w:szCs w:val="22"/>
        </w:rPr>
        <w:t>M</w:t>
      </w:r>
      <w:r w:rsidRPr="009B5E44">
        <w:rPr>
          <w:color w:val="000000"/>
          <w:szCs w:val="22"/>
        </w:rPr>
        <w:t xml:space="preserve"> alebo </w:t>
      </w:r>
      <w:r w:rsidRPr="009B5E44">
        <w:rPr>
          <w:szCs w:val="22"/>
        </w:rPr>
        <w:t>chirurgického zákroku súvisiaceho s BH</w:t>
      </w:r>
      <w:r w:rsidR="00B5136C">
        <w:rPr>
          <w:szCs w:val="22"/>
        </w:rPr>
        <w:t>P</w:t>
      </w:r>
      <w:r w:rsidRPr="009B5E44">
        <w:rPr>
          <w:color w:val="000000"/>
          <w:szCs w:val="22"/>
        </w:rPr>
        <w:t xml:space="preserve"> do 4. roka bola 4,2 % pri kombinovanej liečbe a 11,9 % pri tamsulozíne (p &lt; 0,001). V porovnaní s </w:t>
      </w:r>
      <w:r w:rsidRPr="009B5E44">
        <w:rPr>
          <w:szCs w:val="22"/>
        </w:rPr>
        <w:t>monoterapiou</w:t>
      </w:r>
      <w:r w:rsidRPr="009B5E44">
        <w:rPr>
          <w:color w:val="000000"/>
          <w:szCs w:val="22"/>
        </w:rPr>
        <w:t xml:space="preserve"> dutasteridom sa pri kombinovanej liečbe znížilo riziko </w:t>
      </w:r>
      <w:r w:rsidRPr="009B5E44">
        <w:rPr>
          <w:szCs w:val="22"/>
        </w:rPr>
        <w:t>AR</w:t>
      </w:r>
      <w:r w:rsidR="00B5136C">
        <w:rPr>
          <w:szCs w:val="22"/>
        </w:rPr>
        <w:t>M</w:t>
      </w:r>
      <w:r w:rsidRPr="009B5E44">
        <w:rPr>
          <w:szCs w:val="22"/>
        </w:rPr>
        <w:t xml:space="preserve"> alebo chirurgického zákroku súvisiaceho s BH</w:t>
      </w:r>
      <w:r w:rsidR="00B5136C">
        <w:rPr>
          <w:szCs w:val="22"/>
        </w:rPr>
        <w:t>P</w:t>
      </w:r>
      <w:r w:rsidRPr="009B5E44">
        <w:rPr>
          <w:szCs w:val="22"/>
        </w:rPr>
        <w:t xml:space="preserve"> o 19,6 % (p = 0,18</w:t>
      </w:r>
      <w:r w:rsidRPr="009B5E44">
        <w:rPr>
          <w:color w:val="000000"/>
          <w:szCs w:val="22"/>
        </w:rPr>
        <w:t xml:space="preserve"> [95 % </w:t>
      </w:r>
      <w:r w:rsidR="00A20CE5">
        <w:rPr>
          <w:color w:val="000000"/>
          <w:szCs w:val="22"/>
        </w:rPr>
        <w:t>IS</w:t>
      </w:r>
      <w:r w:rsidRPr="009B5E44">
        <w:rPr>
          <w:color w:val="000000"/>
          <w:szCs w:val="22"/>
        </w:rPr>
        <w:t xml:space="preserve"> </w:t>
      </w:r>
      <w:r w:rsidRPr="009B5E44">
        <w:rPr>
          <w:color w:val="000000"/>
          <w:szCs w:val="22"/>
        </w:rPr>
        <w:noBreakHyphen/>
        <w:t>10,9 % až 41,7 %]).</w:t>
      </w:r>
      <w:r w:rsidRPr="009B5E44">
        <w:rPr>
          <w:szCs w:val="22"/>
        </w:rPr>
        <w:t xml:space="preserve"> Incidencia </w:t>
      </w:r>
      <w:r w:rsidRPr="009B5E44">
        <w:rPr>
          <w:color w:val="000000"/>
          <w:szCs w:val="22"/>
        </w:rPr>
        <w:t>AR</w:t>
      </w:r>
      <w:r w:rsidR="00B5136C">
        <w:rPr>
          <w:color w:val="000000"/>
          <w:szCs w:val="22"/>
        </w:rPr>
        <w:t>M</w:t>
      </w:r>
      <w:r w:rsidRPr="009B5E44">
        <w:rPr>
          <w:color w:val="000000"/>
          <w:szCs w:val="22"/>
        </w:rPr>
        <w:t xml:space="preserve"> alebo </w:t>
      </w:r>
      <w:r w:rsidRPr="009B5E44">
        <w:rPr>
          <w:szCs w:val="22"/>
        </w:rPr>
        <w:t>chirurgického zákroku súvisiaceho s BH</w:t>
      </w:r>
      <w:r w:rsidR="00B5136C">
        <w:rPr>
          <w:szCs w:val="22"/>
        </w:rPr>
        <w:t>P</w:t>
      </w:r>
      <w:r w:rsidRPr="009B5E44">
        <w:rPr>
          <w:color w:val="000000"/>
          <w:szCs w:val="22"/>
        </w:rPr>
        <w:t xml:space="preserve"> do 4. roka bola </w:t>
      </w:r>
      <w:r w:rsidRPr="009B5E44">
        <w:rPr>
          <w:szCs w:val="22"/>
        </w:rPr>
        <w:t>5,2 % pri dutasteride.</w:t>
      </w:r>
    </w:p>
    <w:p w14:paraId="20D16267" w14:textId="77777777" w:rsidR="00EE6E72" w:rsidRDefault="00EE6E72" w:rsidP="00424E40">
      <w:pPr>
        <w:rPr>
          <w:color w:val="000000"/>
          <w:szCs w:val="22"/>
        </w:rPr>
      </w:pPr>
    </w:p>
    <w:p w14:paraId="1BB8DD1E" w14:textId="6BBF9CAF" w:rsidR="00EE6E72" w:rsidRDefault="009D1236" w:rsidP="00424E40">
      <w:pPr>
        <w:rPr>
          <w:color w:val="000000"/>
          <w:szCs w:val="22"/>
        </w:rPr>
      </w:pPr>
      <w:r w:rsidRPr="009B5E44">
        <w:rPr>
          <w:color w:val="000000"/>
          <w:szCs w:val="22"/>
        </w:rPr>
        <w:t xml:space="preserve">Sekundárne </w:t>
      </w:r>
      <w:r w:rsidR="00D91136">
        <w:rPr>
          <w:color w:val="000000"/>
          <w:szCs w:val="22"/>
        </w:rPr>
        <w:t>cieľo</w:t>
      </w:r>
      <w:r w:rsidRPr="009B5E44">
        <w:rPr>
          <w:color w:val="000000"/>
          <w:szCs w:val="22"/>
        </w:rPr>
        <w:t xml:space="preserve">vé ukazovatele účinnosti po 4 rokoch liečby zahŕňali čas do klinickej progresie </w:t>
      </w:r>
      <w:r w:rsidRPr="009B5E44">
        <w:rPr>
          <w:szCs w:val="22"/>
        </w:rPr>
        <w:t>(definovanej kombinovane ako: zhoršenie skóre IPSS o </w:t>
      </w:r>
      <w:r w:rsidRPr="009B5E44">
        <w:rPr>
          <w:szCs w:val="22"/>
        </w:rPr>
        <w:sym w:font="Symbol" w:char="F0B3"/>
      </w:r>
      <w:r w:rsidRPr="009B5E44">
        <w:rPr>
          <w:szCs w:val="22"/>
        </w:rPr>
        <w:t> 4 body, epizódy AR</w:t>
      </w:r>
      <w:r w:rsidR="00B5136C">
        <w:rPr>
          <w:szCs w:val="22"/>
        </w:rPr>
        <w:t>M</w:t>
      </w:r>
      <w:r w:rsidRPr="009B5E44">
        <w:rPr>
          <w:szCs w:val="22"/>
        </w:rPr>
        <w:t xml:space="preserve"> súvisiace s BH</w:t>
      </w:r>
      <w:r w:rsidR="00B5136C">
        <w:rPr>
          <w:szCs w:val="22"/>
        </w:rPr>
        <w:t>P</w:t>
      </w:r>
      <w:r w:rsidRPr="009B5E44">
        <w:rPr>
          <w:szCs w:val="22"/>
        </w:rPr>
        <w:t xml:space="preserve">, inkontinencia, infekcia močových ciest (UTI) a renálna insuficiencia), zmenu medzinárodného skóre symptómov prostaty </w:t>
      </w:r>
      <w:r w:rsidRPr="009B5E44">
        <w:rPr>
          <w:color w:val="000000"/>
          <w:szCs w:val="22"/>
        </w:rPr>
        <w:t>(IPSS), maximálnu rýchlosť prietoku moču (Q</w:t>
      </w:r>
      <w:r w:rsidRPr="009B5E44">
        <w:rPr>
          <w:color w:val="000000"/>
          <w:szCs w:val="22"/>
          <w:vertAlign w:val="subscript"/>
        </w:rPr>
        <w:t>max</w:t>
      </w:r>
      <w:r w:rsidRPr="009B5E44">
        <w:rPr>
          <w:color w:val="000000"/>
          <w:szCs w:val="22"/>
        </w:rPr>
        <w:t xml:space="preserve">) a objem prostaty. IPSS </w:t>
      </w:r>
      <w:r w:rsidRPr="009B5E44">
        <w:rPr>
          <w:szCs w:val="22"/>
        </w:rPr>
        <w:t>je dotazník s ôsmymi otázkami vychádzajúci z AUA</w:t>
      </w:r>
      <w:r w:rsidRPr="009B5E44">
        <w:rPr>
          <w:szCs w:val="22"/>
        </w:rPr>
        <w:noBreakHyphen/>
        <w:t>SI s dodatočnou otázkou o kvalite života</w:t>
      </w:r>
      <w:r w:rsidRPr="009B5E44">
        <w:rPr>
          <w:color w:val="000000"/>
          <w:szCs w:val="22"/>
        </w:rPr>
        <w:t>. Výsledky po 4 rokoch liečby sú uvedené nižšie:</w:t>
      </w:r>
    </w:p>
    <w:p w14:paraId="1E077741" w14:textId="77777777" w:rsidR="00EE6E72" w:rsidRDefault="00EE6E72" w:rsidP="00424E40">
      <w:pPr>
        <w:pStyle w:val="Zkladntext2"/>
        <w:rPr>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976"/>
        <w:gridCol w:w="1323"/>
        <w:gridCol w:w="1323"/>
        <w:gridCol w:w="1323"/>
      </w:tblGrid>
      <w:tr w:rsidR="009D1236" w:rsidRPr="009B5E44" w14:paraId="0F41C583" w14:textId="77777777" w:rsidTr="00723675">
        <w:tc>
          <w:tcPr>
            <w:tcW w:w="2235" w:type="dxa"/>
          </w:tcPr>
          <w:p w14:paraId="1F76CAA9" w14:textId="77777777" w:rsidR="00EE6E72" w:rsidRDefault="009D1236" w:rsidP="00424E40">
            <w:pPr>
              <w:keepNext/>
              <w:keepLines/>
              <w:rPr>
                <w:color w:val="000000"/>
                <w:szCs w:val="22"/>
              </w:rPr>
            </w:pPr>
            <w:r w:rsidRPr="009B5E44">
              <w:rPr>
                <w:color w:val="000000"/>
                <w:szCs w:val="22"/>
              </w:rPr>
              <w:t>Parameter</w:t>
            </w:r>
          </w:p>
          <w:p w14:paraId="2B498B44" w14:textId="77777777" w:rsidR="00EE6E72" w:rsidRDefault="00EE6E72" w:rsidP="00424E40">
            <w:pPr>
              <w:keepNext/>
              <w:keepLines/>
              <w:rPr>
                <w:color w:val="000000"/>
                <w:szCs w:val="22"/>
              </w:rPr>
            </w:pPr>
          </w:p>
        </w:tc>
        <w:tc>
          <w:tcPr>
            <w:tcW w:w="2976" w:type="dxa"/>
          </w:tcPr>
          <w:p w14:paraId="3F706953" w14:textId="77777777" w:rsidR="00EE6E72" w:rsidRDefault="009D1236" w:rsidP="00424E40">
            <w:pPr>
              <w:keepNext/>
              <w:keepLines/>
              <w:rPr>
                <w:color w:val="000000"/>
                <w:szCs w:val="22"/>
              </w:rPr>
            </w:pPr>
            <w:r w:rsidRPr="009B5E44">
              <w:rPr>
                <w:color w:val="000000"/>
                <w:szCs w:val="22"/>
              </w:rPr>
              <w:t>Časový ukazovateľ</w:t>
            </w:r>
          </w:p>
        </w:tc>
        <w:tc>
          <w:tcPr>
            <w:tcW w:w="1323" w:type="dxa"/>
          </w:tcPr>
          <w:p w14:paraId="568562C7" w14:textId="77777777" w:rsidR="00EE6E72" w:rsidRDefault="009D1236" w:rsidP="00424E40">
            <w:pPr>
              <w:keepNext/>
              <w:keepLines/>
              <w:rPr>
                <w:color w:val="000000"/>
                <w:szCs w:val="22"/>
              </w:rPr>
            </w:pPr>
            <w:r w:rsidRPr="009B5E44">
              <w:rPr>
                <w:color w:val="000000"/>
                <w:szCs w:val="22"/>
              </w:rPr>
              <w:t>Kombinácia</w:t>
            </w:r>
          </w:p>
        </w:tc>
        <w:tc>
          <w:tcPr>
            <w:tcW w:w="1323" w:type="dxa"/>
          </w:tcPr>
          <w:p w14:paraId="562B4D06" w14:textId="77777777" w:rsidR="00EE6E72" w:rsidRDefault="009D1236" w:rsidP="00424E40">
            <w:pPr>
              <w:keepNext/>
              <w:keepLines/>
              <w:rPr>
                <w:color w:val="000000"/>
                <w:szCs w:val="22"/>
              </w:rPr>
            </w:pPr>
            <w:r w:rsidRPr="009B5E44">
              <w:rPr>
                <w:color w:val="000000"/>
                <w:szCs w:val="22"/>
              </w:rPr>
              <w:t>Dutasterid</w:t>
            </w:r>
          </w:p>
        </w:tc>
        <w:tc>
          <w:tcPr>
            <w:tcW w:w="1323" w:type="dxa"/>
          </w:tcPr>
          <w:p w14:paraId="5636CC20" w14:textId="77777777" w:rsidR="00EE6E72" w:rsidRDefault="009D1236" w:rsidP="00424E40">
            <w:pPr>
              <w:keepNext/>
              <w:keepLines/>
              <w:rPr>
                <w:color w:val="000000"/>
                <w:szCs w:val="22"/>
              </w:rPr>
            </w:pPr>
            <w:r w:rsidRPr="009B5E44">
              <w:rPr>
                <w:color w:val="000000"/>
                <w:szCs w:val="22"/>
              </w:rPr>
              <w:t>Tamsulozín</w:t>
            </w:r>
          </w:p>
        </w:tc>
      </w:tr>
      <w:tr w:rsidR="009D1236" w:rsidRPr="009B5E44" w14:paraId="63A32535" w14:textId="77777777" w:rsidTr="00723675">
        <w:tc>
          <w:tcPr>
            <w:tcW w:w="2235" w:type="dxa"/>
          </w:tcPr>
          <w:p w14:paraId="6942FCEB" w14:textId="3A228738" w:rsidR="00EE6E72" w:rsidRDefault="009D1236" w:rsidP="00424E40">
            <w:pPr>
              <w:keepNext/>
              <w:keepLines/>
              <w:rPr>
                <w:color w:val="000000"/>
                <w:szCs w:val="22"/>
              </w:rPr>
            </w:pPr>
            <w:r w:rsidRPr="009B5E44">
              <w:rPr>
                <w:color w:val="000000"/>
                <w:szCs w:val="22"/>
              </w:rPr>
              <w:t>AR</w:t>
            </w:r>
            <w:r w:rsidR="00B5136C">
              <w:rPr>
                <w:color w:val="000000"/>
                <w:szCs w:val="22"/>
              </w:rPr>
              <w:t>M</w:t>
            </w:r>
            <w:r w:rsidRPr="009B5E44">
              <w:rPr>
                <w:color w:val="000000"/>
                <w:szCs w:val="22"/>
              </w:rPr>
              <w:t xml:space="preserve"> alebo chirurgický zákrok súvisiaci s BH</w:t>
            </w:r>
            <w:r w:rsidR="00B5136C">
              <w:rPr>
                <w:color w:val="000000"/>
                <w:szCs w:val="22"/>
              </w:rPr>
              <w:t>P</w:t>
            </w:r>
            <w:r w:rsidRPr="009B5E44">
              <w:rPr>
                <w:color w:val="000000"/>
                <w:szCs w:val="22"/>
              </w:rPr>
              <w:t xml:space="preserve"> (%)</w:t>
            </w:r>
          </w:p>
        </w:tc>
        <w:tc>
          <w:tcPr>
            <w:tcW w:w="2976" w:type="dxa"/>
          </w:tcPr>
          <w:p w14:paraId="49EDA467" w14:textId="77777777" w:rsidR="00EE6E72" w:rsidRDefault="009D1236" w:rsidP="00424E40">
            <w:pPr>
              <w:keepNext/>
              <w:keepLines/>
              <w:rPr>
                <w:color w:val="000000"/>
                <w:szCs w:val="22"/>
              </w:rPr>
            </w:pPr>
            <w:r w:rsidRPr="009B5E44">
              <w:rPr>
                <w:color w:val="000000"/>
                <w:szCs w:val="22"/>
              </w:rPr>
              <w:t>Incidencia v 48. mesiaci</w:t>
            </w:r>
          </w:p>
        </w:tc>
        <w:tc>
          <w:tcPr>
            <w:tcW w:w="1323" w:type="dxa"/>
          </w:tcPr>
          <w:p w14:paraId="3CC8E5E0" w14:textId="77777777" w:rsidR="00EE6E72" w:rsidRDefault="009D1236" w:rsidP="00424E40">
            <w:pPr>
              <w:keepNext/>
              <w:keepLines/>
              <w:rPr>
                <w:color w:val="000000"/>
                <w:szCs w:val="22"/>
              </w:rPr>
            </w:pPr>
            <w:r w:rsidRPr="009B5E44">
              <w:rPr>
                <w:bCs/>
                <w:color w:val="000000"/>
                <w:szCs w:val="22"/>
                <w:lang w:eastAsia="en-GB"/>
              </w:rPr>
              <w:t>4,2</w:t>
            </w:r>
          </w:p>
        </w:tc>
        <w:tc>
          <w:tcPr>
            <w:tcW w:w="1323" w:type="dxa"/>
          </w:tcPr>
          <w:p w14:paraId="02278FC8" w14:textId="77777777" w:rsidR="00EE6E72" w:rsidRDefault="009D1236" w:rsidP="00424E40">
            <w:pPr>
              <w:keepNext/>
              <w:keepLines/>
              <w:rPr>
                <w:color w:val="000000"/>
                <w:szCs w:val="22"/>
              </w:rPr>
            </w:pPr>
            <w:r w:rsidRPr="009B5E44">
              <w:rPr>
                <w:bCs/>
                <w:color w:val="000000"/>
                <w:szCs w:val="22"/>
                <w:lang w:eastAsia="en-GB"/>
              </w:rPr>
              <w:t>5,2</w:t>
            </w:r>
          </w:p>
        </w:tc>
        <w:tc>
          <w:tcPr>
            <w:tcW w:w="1323" w:type="dxa"/>
          </w:tcPr>
          <w:p w14:paraId="42C3911F" w14:textId="77777777" w:rsidR="00EE6E72" w:rsidRDefault="009D1236" w:rsidP="00424E40">
            <w:pPr>
              <w:keepNext/>
              <w:keepLines/>
              <w:rPr>
                <w:color w:val="000000"/>
                <w:szCs w:val="22"/>
              </w:rPr>
            </w:pPr>
            <w:r w:rsidRPr="009B5E44">
              <w:rPr>
                <w:bCs/>
                <w:color w:val="000000"/>
                <w:szCs w:val="22"/>
                <w:lang w:eastAsia="en-GB"/>
              </w:rPr>
              <w:t>11,9</w:t>
            </w:r>
            <w:r w:rsidRPr="00855100">
              <w:rPr>
                <w:bCs/>
                <w:color w:val="000000"/>
                <w:szCs w:val="22"/>
                <w:vertAlign w:val="superscript"/>
                <w:lang w:eastAsia="en-GB"/>
              </w:rPr>
              <w:t>a</w:t>
            </w:r>
          </w:p>
        </w:tc>
      </w:tr>
      <w:tr w:rsidR="009D1236" w:rsidRPr="009B5E44" w14:paraId="3346A4DA" w14:textId="77777777" w:rsidTr="00723675">
        <w:tc>
          <w:tcPr>
            <w:tcW w:w="2235" w:type="dxa"/>
          </w:tcPr>
          <w:p w14:paraId="04D75606" w14:textId="77777777" w:rsidR="00EE6E72" w:rsidRDefault="009D1236" w:rsidP="00424E40">
            <w:pPr>
              <w:keepNext/>
              <w:keepLines/>
              <w:rPr>
                <w:rFonts w:ascii="Arial" w:hAnsi="Arial"/>
                <w:color w:val="000000"/>
                <w:szCs w:val="22"/>
              </w:rPr>
            </w:pPr>
            <w:r w:rsidRPr="009B5E44">
              <w:rPr>
                <w:color w:val="000000"/>
                <w:szCs w:val="22"/>
              </w:rPr>
              <w:t>Klinická progresia* (%)</w:t>
            </w:r>
          </w:p>
        </w:tc>
        <w:tc>
          <w:tcPr>
            <w:tcW w:w="2976" w:type="dxa"/>
          </w:tcPr>
          <w:p w14:paraId="540BC9A5" w14:textId="77777777" w:rsidR="00EE6E72" w:rsidRDefault="009D1236" w:rsidP="00424E40">
            <w:pPr>
              <w:keepNext/>
              <w:keepLines/>
              <w:rPr>
                <w:rFonts w:ascii="Arial" w:hAnsi="Arial"/>
                <w:color w:val="000000"/>
                <w:szCs w:val="22"/>
              </w:rPr>
            </w:pPr>
            <w:r w:rsidRPr="009B5E44">
              <w:rPr>
                <w:color w:val="000000"/>
                <w:szCs w:val="22"/>
              </w:rPr>
              <w:t>48. mesiac</w:t>
            </w:r>
          </w:p>
        </w:tc>
        <w:tc>
          <w:tcPr>
            <w:tcW w:w="1323" w:type="dxa"/>
          </w:tcPr>
          <w:p w14:paraId="634391E3" w14:textId="77777777" w:rsidR="00EE6E72" w:rsidRDefault="009D1236" w:rsidP="00424E40">
            <w:pPr>
              <w:keepNext/>
              <w:keepLines/>
              <w:rPr>
                <w:rFonts w:ascii="Arial" w:hAnsi="Arial"/>
                <w:color w:val="000000"/>
                <w:szCs w:val="22"/>
              </w:rPr>
            </w:pPr>
            <w:r w:rsidRPr="009B5E44">
              <w:rPr>
                <w:szCs w:val="22"/>
              </w:rPr>
              <w:t>12,6</w:t>
            </w:r>
          </w:p>
        </w:tc>
        <w:tc>
          <w:tcPr>
            <w:tcW w:w="1323" w:type="dxa"/>
          </w:tcPr>
          <w:p w14:paraId="32408E3A" w14:textId="77777777" w:rsidR="00EE6E72" w:rsidRDefault="009D1236" w:rsidP="00424E40">
            <w:pPr>
              <w:keepNext/>
              <w:keepLines/>
              <w:rPr>
                <w:rFonts w:ascii="Arial" w:hAnsi="Arial"/>
                <w:color w:val="000000"/>
                <w:szCs w:val="22"/>
              </w:rPr>
            </w:pPr>
            <w:r w:rsidRPr="009B5E44">
              <w:rPr>
                <w:szCs w:val="22"/>
              </w:rPr>
              <w:t>17,8</w:t>
            </w:r>
            <w:r w:rsidRPr="004E05DF">
              <w:rPr>
                <w:szCs w:val="22"/>
                <w:vertAlign w:val="superscript"/>
              </w:rPr>
              <w:t>b</w:t>
            </w:r>
          </w:p>
        </w:tc>
        <w:tc>
          <w:tcPr>
            <w:tcW w:w="1323" w:type="dxa"/>
          </w:tcPr>
          <w:p w14:paraId="719D1BF6" w14:textId="77777777" w:rsidR="00EE6E72" w:rsidRDefault="009D1236" w:rsidP="00424E40">
            <w:pPr>
              <w:keepNext/>
              <w:keepLines/>
              <w:rPr>
                <w:rFonts w:ascii="Arial" w:hAnsi="Arial"/>
                <w:color w:val="000000"/>
                <w:szCs w:val="22"/>
              </w:rPr>
            </w:pPr>
            <w:r w:rsidRPr="009B5E44">
              <w:rPr>
                <w:szCs w:val="22"/>
              </w:rPr>
              <w:t>21,5</w:t>
            </w:r>
            <w:r w:rsidRPr="004E05DF">
              <w:rPr>
                <w:szCs w:val="22"/>
                <w:vertAlign w:val="superscript"/>
              </w:rPr>
              <w:t>a</w:t>
            </w:r>
          </w:p>
        </w:tc>
      </w:tr>
      <w:tr w:rsidR="009D1236" w:rsidRPr="009B5E44" w14:paraId="5F646591" w14:textId="77777777" w:rsidTr="00723675">
        <w:tc>
          <w:tcPr>
            <w:tcW w:w="2235" w:type="dxa"/>
          </w:tcPr>
          <w:p w14:paraId="382F1C08" w14:textId="77777777" w:rsidR="00EE6E72" w:rsidRDefault="009D1236" w:rsidP="00424E40">
            <w:pPr>
              <w:keepNext/>
              <w:keepLines/>
              <w:rPr>
                <w:rFonts w:ascii="Arial" w:hAnsi="Arial"/>
                <w:color w:val="000000"/>
                <w:szCs w:val="22"/>
              </w:rPr>
            </w:pPr>
            <w:r w:rsidRPr="009B5E44">
              <w:rPr>
                <w:color w:val="000000"/>
                <w:szCs w:val="22"/>
              </w:rPr>
              <w:t>IPSS (jednotky)</w:t>
            </w:r>
          </w:p>
        </w:tc>
        <w:tc>
          <w:tcPr>
            <w:tcW w:w="2976" w:type="dxa"/>
          </w:tcPr>
          <w:p w14:paraId="02533AC6" w14:textId="77777777" w:rsidR="00EE6E72" w:rsidRDefault="009D1236" w:rsidP="00424E40">
            <w:pPr>
              <w:keepNext/>
              <w:keepLines/>
              <w:rPr>
                <w:rFonts w:ascii="Arial" w:hAnsi="Arial"/>
                <w:color w:val="000000"/>
                <w:szCs w:val="22"/>
              </w:rPr>
            </w:pPr>
            <w:r w:rsidRPr="009B5E44">
              <w:rPr>
                <w:color w:val="000000"/>
                <w:szCs w:val="22"/>
              </w:rPr>
              <w:t>[Východisková hodnota]</w:t>
            </w:r>
          </w:p>
          <w:p w14:paraId="4E026591" w14:textId="7607E67D" w:rsidR="00EE6E72" w:rsidRDefault="009D1236" w:rsidP="00424E40">
            <w:pPr>
              <w:keepNext/>
              <w:keepLines/>
              <w:rPr>
                <w:rFonts w:ascii="Arial" w:hAnsi="Arial"/>
                <w:color w:val="000000"/>
                <w:szCs w:val="22"/>
              </w:rPr>
            </w:pPr>
            <w:r w:rsidRPr="009B5E44">
              <w:rPr>
                <w:color w:val="000000"/>
                <w:szCs w:val="22"/>
              </w:rPr>
              <w:t>48. mesiac (</w:t>
            </w:r>
            <w:r w:rsidR="00C00C09">
              <w:rPr>
                <w:color w:val="000000"/>
                <w:szCs w:val="22"/>
              </w:rPr>
              <w:t>z</w:t>
            </w:r>
            <w:r w:rsidRPr="009B5E44">
              <w:rPr>
                <w:color w:val="000000"/>
                <w:szCs w:val="22"/>
              </w:rPr>
              <w:t>mena oproti východiskovej hodnote)</w:t>
            </w:r>
          </w:p>
        </w:tc>
        <w:tc>
          <w:tcPr>
            <w:tcW w:w="1323" w:type="dxa"/>
          </w:tcPr>
          <w:p w14:paraId="4CFF48E3" w14:textId="77777777" w:rsidR="00EE6E72" w:rsidRDefault="009D1236" w:rsidP="00424E40">
            <w:pPr>
              <w:keepNext/>
              <w:keepLines/>
              <w:rPr>
                <w:rFonts w:ascii="Arial" w:hAnsi="Arial"/>
                <w:color w:val="000000"/>
                <w:szCs w:val="22"/>
              </w:rPr>
            </w:pPr>
            <w:r w:rsidRPr="009B5E44">
              <w:rPr>
                <w:color w:val="000000"/>
                <w:szCs w:val="22"/>
              </w:rPr>
              <w:t>[16,6]</w:t>
            </w:r>
          </w:p>
          <w:p w14:paraId="789C1BCE" w14:textId="77777777" w:rsidR="00EE6E72" w:rsidRDefault="009D1236" w:rsidP="00424E40">
            <w:pPr>
              <w:keepNext/>
              <w:keepLines/>
              <w:rPr>
                <w:rFonts w:ascii="Arial" w:hAnsi="Arial"/>
                <w:color w:val="000000"/>
                <w:szCs w:val="22"/>
              </w:rPr>
            </w:pPr>
            <w:r w:rsidRPr="009B5E44">
              <w:rPr>
                <w:color w:val="000000"/>
                <w:szCs w:val="22"/>
              </w:rPr>
              <w:t>-6,3</w:t>
            </w:r>
          </w:p>
        </w:tc>
        <w:tc>
          <w:tcPr>
            <w:tcW w:w="1323" w:type="dxa"/>
          </w:tcPr>
          <w:p w14:paraId="17E3AAE5" w14:textId="77777777" w:rsidR="00EE6E72" w:rsidRDefault="009D1236" w:rsidP="00424E40">
            <w:pPr>
              <w:keepNext/>
              <w:keepLines/>
              <w:rPr>
                <w:rFonts w:ascii="Arial" w:hAnsi="Arial"/>
                <w:color w:val="000000"/>
                <w:szCs w:val="22"/>
              </w:rPr>
            </w:pPr>
            <w:r w:rsidRPr="009B5E44">
              <w:rPr>
                <w:color w:val="000000"/>
                <w:szCs w:val="22"/>
              </w:rPr>
              <w:t>[16,4]</w:t>
            </w:r>
          </w:p>
          <w:p w14:paraId="141FCCD0" w14:textId="77777777" w:rsidR="00EE6E72" w:rsidRDefault="009D1236" w:rsidP="00424E40">
            <w:pPr>
              <w:keepNext/>
              <w:keepLines/>
              <w:rPr>
                <w:rFonts w:ascii="Arial" w:hAnsi="Arial"/>
                <w:color w:val="000000"/>
                <w:szCs w:val="22"/>
              </w:rPr>
            </w:pPr>
            <w:r w:rsidRPr="009B5E44">
              <w:rPr>
                <w:color w:val="000000"/>
                <w:szCs w:val="22"/>
              </w:rPr>
              <w:t>-5,3</w:t>
            </w:r>
            <w:r w:rsidRPr="004E05DF">
              <w:rPr>
                <w:color w:val="000000"/>
                <w:szCs w:val="22"/>
                <w:vertAlign w:val="superscript"/>
              </w:rPr>
              <w:t>b</w:t>
            </w:r>
          </w:p>
        </w:tc>
        <w:tc>
          <w:tcPr>
            <w:tcW w:w="1323" w:type="dxa"/>
          </w:tcPr>
          <w:p w14:paraId="23011531" w14:textId="77777777" w:rsidR="00EE6E72" w:rsidRDefault="009D1236" w:rsidP="00424E40">
            <w:pPr>
              <w:keepNext/>
              <w:keepLines/>
              <w:rPr>
                <w:rFonts w:ascii="Arial" w:hAnsi="Arial"/>
                <w:color w:val="000000"/>
                <w:szCs w:val="22"/>
              </w:rPr>
            </w:pPr>
            <w:r w:rsidRPr="009B5E44">
              <w:rPr>
                <w:color w:val="000000"/>
                <w:szCs w:val="22"/>
              </w:rPr>
              <w:t>[16,4]</w:t>
            </w:r>
          </w:p>
          <w:p w14:paraId="7B96B32B" w14:textId="77777777" w:rsidR="00EE6E72" w:rsidRDefault="009D1236" w:rsidP="00424E40">
            <w:pPr>
              <w:keepNext/>
              <w:keepLines/>
              <w:rPr>
                <w:rFonts w:ascii="Arial" w:hAnsi="Arial"/>
                <w:color w:val="000000"/>
                <w:szCs w:val="22"/>
              </w:rPr>
            </w:pPr>
            <w:r w:rsidRPr="009B5E44">
              <w:rPr>
                <w:color w:val="000000"/>
                <w:szCs w:val="22"/>
              </w:rPr>
              <w:t>-3,8</w:t>
            </w:r>
            <w:r w:rsidRPr="004E05DF">
              <w:rPr>
                <w:color w:val="000000"/>
                <w:szCs w:val="22"/>
                <w:vertAlign w:val="superscript"/>
              </w:rPr>
              <w:t>a</w:t>
            </w:r>
          </w:p>
        </w:tc>
      </w:tr>
      <w:tr w:rsidR="009D1236" w:rsidRPr="009B5E44" w14:paraId="329E0BB1" w14:textId="77777777" w:rsidTr="00723675">
        <w:tc>
          <w:tcPr>
            <w:tcW w:w="2235" w:type="dxa"/>
          </w:tcPr>
          <w:p w14:paraId="299949B6" w14:textId="28224E8F" w:rsidR="00EE6E72" w:rsidRDefault="009D1236" w:rsidP="00424E40">
            <w:pPr>
              <w:keepNext/>
              <w:keepLines/>
              <w:rPr>
                <w:rFonts w:ascii="Arial" w:hAnsi="Arial"/>
                <w:color w:val="000000"/>
                <w:szCs w:val="22"/>
              </w:rPr>
            </w:pPr>
            <w:r w:rsidRPr="009B5E44">
              <w:rPr>
                <w:color w:val="000000"/>
                <w:szCs w:val="22"/>
              </w:rPr>
              <w:t>Q</w:t>
            </w:r>
            <w:r w:rsidRPr="009B5E44">
              <w:rPr>
                <w:color w:val="000000"/>
                <w:szCs w:val="22"/>
                <w:vertAlign w:val="subscript"/>
              </w:rPr>
              <w:t>max</w:t>
            </w:r>
            <w:r w:rsidRPr="009B5E44">
              <w:rPr>
                <w:color w:val="000000"/>
                <w:szCs w:val="22"/>
              </w:rPr>
              <w:t xml:space="preserve"> (ml/s)</w:t>
            </w:r>
          </w:p>
        </w:tc>
        <w:tc>
          <w:tcPr>
            <w:tcW w:w="2976" w:type="dxa"/>
          </w:tcPr>
          <w:p w14:paraId="78ADA361" w14:textId="77777777" w:rsidR="00EE6E72" w:rsidRDefault="009D1236" w:rsidP="00424E40">
            <w:pPr>
              <w:keepNext/>
              <w:keepLines/>
              <w:rPr>
                <w:rFonts w:ascii="Arial" w:hAnsi="Arial"/>
                <w:color w:val="000000"/>
                <w:szCs w:val="22"/>
              </w:rPr>
            </w:pPr>
            <w:r w:rsidRPr="009B5E44">
              <w:rPr>
                <w:color w:val="000000"/>
                <w:szCs w:val="22"/>
              </w:rPr>
              <w:t>[Východisková hodnota]</w:t>
            </w:r>
          </w:p>
          <w:p w14:paraId="3861BF64" w14:textId="472C953F" w:rsidR="00EE6E72" w:rsidRDefault="009D1236" w:rsidP="00424E40">
            <w:pPr>
              <w:keepNext/>
              <w:keepLines/>
              <w:rPr>
                <w:rFonts w:ascii="Arial" w:hAnsi="Arial"/>
                <w:color w:val="000000"/>
                <w:szCs w:val="22"/>
              </w:rPr>
            </w:pPr>
            <w:r w:rsidRPr="009B5E44">
              <w:rPr>
                <w:color w:val="000000"/>
                <w:szCs w:val="22"/>
              </w:rPr>
              <w:t>48. mesiac (</w:t>
            </w:r>
            <w:r w:rsidR="00C00C09">
              <w:rPr>
                <w:color w:val="000000"/>
                <w:szCs w:val="22"/>
              </w:rPr>
              <w:t>z</w:t>
            </w:r>
            <w:r w:rsidRPr="009B5E44">
              <w:rPr>
                <w:color w:val="000000"/>
                <w:szCs w:val="22"/>
              </w:rPr>
              <w:t>mena oproti východiskovej hodnote)</w:t>
            </w:r>
          </w:p>
        </w:tc>
        <w:tc>
          <w:tcPr>
            <w:tcW w:w="1323" w:type="dxa"/>
          </w:tcPr>
          <w:p w14:paraId="18F8429C" w14:textId="77777777" w:rsidR="00EE6E72" w:rsidRDefault="009D1236" w:rsidP="00424E40">
            <w:pPr>
              <w:keepNext/>
              <w:keepLines/>
              <w:rPr>
                <w:rFonts w:ascii="Arial" w:hAnsi="Arial"/>
                <w:color w:val="000000"/>
                <w:szCs w:val="22"/>
              </w:rPr>
            </w:pPr>
            <w:r w:rsidRPr="009B5E44">
              <w:rPr>
                <w:color w:val="000000"/>
                <w:szCs w:val="22"/>
              </w:rPr>
              <w:t>[10,9]</w:t>
            </w:r>
          </w:p>
          <w:p w14:paraId="07202800" w14:textId="77777777" w:rsidR="00EE6E72" w:rsidRDefault="009D1236" w:rsidP="00424E40">
            <w:pPr>
              <w:keepNext/>
              <w:keepLines/>
              <w:rPr>
                <w:rFonts w:ascii="Arial" w:hAnsi="Arial"/>
                <w:color w:val="000000"/>
                <w:szCs w:val="22"/>
              </w:rPr>
            </w:pPr>
            <w:r w:rsidRPr="009B5E44">
              <w:rPr>
                <w:color w:val="000000"/>
                <w:szCs w:val="22"/>
              </w:rPr>
              <w:t>2,4</w:t>
            </w:r>
          </w:p>
        </w:tc>
        <w:tc>
          <w:tcPr>
            <w:tcW w:w="1323" w:type="dxa"/>
          </w:tcPr>
          <w:p w14:paraId="77AB4CDB" w14:textId="77777777" w:rsidR="00EE6E72" w:rsidRDefault="009D1236" w:rsidP="00424E40">
            <w:pPr>
              <w:keepNext/>
              <w:keepLines/>
              <w:rPr>
                <w:rFonts w:ascii="Arial" w:hAnsi="Arial"/>
                <w:color w:val="000000"/>
                <w:szCs w:val="22"/>
              </w:rPr>
            </w:pPr>
            <w:r w:rsidRPr="009B5E44">
              <w:rPr>
                <w:color w:val="000000"/>
                <w:szCs w:val="22"/>
              </w:rPr>
              <w:t>[10,6]</w:t>
            </w:r>
          </w:p>
          <w:p w14:paraId="01B06AFE" w14:textId="77777777" w:rsidR="00EE6E72" w:rsidRDefault="009D1236" w:rsidP="00424E40">
            <w:pPr>
              <w:keepNext/>
              <w:keepLines/>
              <w:rPr>
                <w:rFonts w:ascii="Arial" w:hAnsi="Arial"/>
                <w:color w:val="000000"/>
                <w:szCs w:val="22"/>
              </w:rPr>
            </w:pPr>
            <w:r w:rsidRPr="009B5E44">
              <w:rPr>
                <w:color w:val="000000"/>
                <w:szCs w:val="22"/>
              </w:rPr>
              <w:t>2,0</w:t>
            </w:r>
          </w:p>
        </w:tc>
        <w:tc>
          <w:tcPr>
            <w:tcW w:w="1323" w:type="dxa"/>
          </w:tcPr>
          <w:p w14:paraId="68054872" w14:textId="77777777" w:rsidR="00EE6E72" w:rsidRDefault="009D1236" w:rsidP="00424E40">
            <w:pPr>
              <w:keepNext/>
              <w:keepLines/>
              <w:rPr>
                <w:rFonts w:ascii="Arial" w:hAnsi="Arial"/>
                <w:color w:val="000000"/>
                <w:szCs w:val="22"/>
              </w:rPr>
            </w:pPr>
            <w:r w:rsidRPr="009B5E44">
              <w:rPr>
                <w:color w:val="000000"/>
                <w:szCs w:val="22"/>
              </w:rPr>
              <w:t>[10,7]</w:t>
            </w:r>
          </w:p>
          <w:p w14:paraId="2DB923C5" w14:textId="77777777" w:rsidR="00EE6E72" w:rsidRDefault="009D1236" w:rsidP="00424E40">
            <w:pPr>
              <w:keepNext/>
              <w:keepLines/>
              <w:rPr>
                <w:rFonts w:ascii="Arial" w:hAnsi="Arial"/>
                <w:color w:val="000000"/>
                <w:szCs w:val="22"/>
              </w:rPr>
            </w:pPr>
            <w:r w:rsidRPr="009B5E44">
              <w:rPr>
                <w:color w:val="000000"/>
                <w:szCs w:val="22"/>
              </w:rPr>
              <w:t>0,7</w:t>
            </w:r>
            <w:r w:rsidRPr="004E05DF">
              <w:rPr>
                <w:color w:val="000000"/>
                <w:szCs w:val="22"/>
                <w:vertAlign w:val="superscript"/>
              </w:rPr>
              <w:t>a</w:t>
            </w:r>
          </w:p>
        </w:tc>
      </w:tr>
      <w:tr w:rsidR="009D1236" w:rsidRPr="009B5E44" w14:paraId="0004959F" w14:textId="77777777" w:rsidTr="00723675">
        <w:tc>
          <w:tcPr>
            <w:tcW w:w="2235" w:type="dxa"/>
          </w:tcPr>
          <w:p w14:paraId="743357F2" w14:textId="77777777" w:rsidR="00EE6E72" w:rsidRDefault="009D1236" w:rsidP="00424E40">
            <w:pPr>
              <w:keepNext/>
              <w:keepLines/>
              <w:rPr>
                <w:rFonts w:ascii="Arial" w:hAnsi="Arial"/>
                <w:color w:val="000000"/>
                <w:szCs w:val="22"/>
              </w:rPr>
            </w:pPr>
            <w:r w:rsidRPr="009B5E44">
              <w:rPr>
                <w:color w:val="000000"/>
                <w:szCs w:val="22"/>
              </w:rPr>
              <w:t>Objem prostaty (ml)</w:t>
            </w:r>
          </w:p>
        </w:tc>
        <w:tc>
          <w:tcPr>
            <w:tcW w:w="2976" w:type="dxa"/>
          </w:tcPr>
          <w:p w14:paraId="70C1C62A" w14:textId="77777777" w:rsidR="00EE6E72" w:rsidRDefault="009D1236" w:rsidP="00424E40">
            <w:pPr>
              <w:keepNext/>
              <w:keepLines/>
              <w:rPr>
                <w:rFonts w:ascii="Arial" w:hAnsi="Arial"/>
                <w:color w:val="000000"/>
                <w:szCs w:val="22"/>
              </w:rPr>
            </w:pPr>
            <w:r w:rsidRPr="009B5E44">
              <w:rPr>
                <w:color w:val="000000"/>
                <w:szCs w:val="22"/>
              </w:rPr>
              <w:t>[Východisková hodnota]</w:t>
            </w:r>
          </w:p>
          <w:p w14:paraId="54DC1EC9" w14:textId="77777777" w:rsidR="00EE6E72" w:rsidRDefault="009D1236" w:rsidP="00424E40">
            <w:pPr>
              <w:keepNext/>
              <w:keepLines/>
              <w:rPr>
                <w:rFonts w:ascii="Arial" w:hAnsi="Arial"/>
                <w:color w:val="000000"/>
                <w:szCs w:val="22"/>
              </w:rPr>
            </w:pPr>
            <w:r w:rsidRPr="009B5E44">
              <w:rPr>
                <w:color w:val="000000"/>
                <w:szCs w:val="22"/>
              </w:rPr>
              <w:t>48. mesiac (% zmena oproti východiskovej hodnote)</w:t>
            </w:r>
          </w:p>
        </w:tc>
        <w:tc>
          <w:tcPr>
            <w:tcW w:w="1323" w:type="dxa"/>
          </w:tcPr>
          <w:p w14:paraId="1B95E3A8" w14:textId="77777777" w:rsidR="00EE6E72" w:rsidRDefault="009D1236" w:rsidP="00424E40">
            <w:pPr>
              <w:keepNext/>
              <w:keepLines/>
              <w:rPr>
                <w:rFonts w:ascii="Arial" w:hAnsi="Arial"/>
                <w:color w:val="000000"/>
                <w:szCs w:val="22"/>
              </w:rPr>
            </w:pPr>
            <w:r w:rsidRPr="009B5E44">
              <w:rPr>
                <w:color w:val="000000"/>
                <w:szCs w:val="22"/>
              </w:rPr>
              <w:t>[54,7]</w:t>
            </w:r>
          </w:p>
          <w:p w14:paraId="604B6751" w14:textId="77777777" w:rsidR="00EE6E72" w:rsidRDefault="009D1236" w:rsidP="00424E40">
            <w:pPr>
              <w:keepNext/>
              <w:keepLines/>
              <w:rPr>
                <w:rFonts w:ascii="Arial" w:hAnsi="Arial"/>
                <w:color w:val="000000"/>
                <w:szCs w:val="22"/>
              </w:rPr>
            </w:pPr>
            <w:r w:rsidRPr="009B5E44">
              <w:rPr>
                <w:color w:val="000000"/>
                <w:szCs w:val="22"/>
              </w:rPr>
              <w:t>-27,3</w:t>
            </w:r>
          </w:p>
        </w:tc>
        <w:tc>
          <w:tcPr>
            <w:tcW w:w="1323" w:type="dxa"/>
          </w:tcPr>
          <w:p w14:paraId="47C76C9C" w14:textId="77777777" w:rsidR="00EE6E72" w:rsidRDefault="009D1236" w:rsidP="00424E40">
            <w:pPr>
              <w:keepNext/>
              <w:keepLines/>
              <w:rPr>
                <w:rFonts w:ascii="Arial" w:hAnsi="Arial"/>
                <w:color w:val="000000"/>
                <w:szCs w:val="22"/>
              </w:rPr>
            </w:pPr>
            <w:r w:rsidRPr="009B5E44">
              <w:rPr>
                <w:color w:val="000000"/>
                <w:szCs w:val="22"/>
              </w:rPr>
              <w:t>[54,6]</w:t>
            </w:r>
          </w:p>
          <w:p w14:paraId="489E82E0" w14:textId="77777777" w:rsidR="00EE6E72" w:rsidRDefault="009D1236" w:rsidP="00424E40">
            <w:pPr>
              <w:keepNext/>
              <w:keepLines/>
              <w:rPr>
                <w:rFonts w:ascii="Arial" w:hAnsi="Arial"/>
                <w:color w:val="000000"/>
                <w:szCs w:val="22"/>
              </w:rPr>
            </w:pPr>
            <w:r w:rsidRPr="009B5E44">
              <w:rPr>
                <w:color w:val="000000"/>
                <w:szCs w:val="22"/>
              </w:rPr>
              <w:t>-28,0</w:t>
            </w:r>
          </w:p>
        </w:tc>
        <w:tc>
          <w:tcPr>
            <w:tcW w:w="1323" w:type="dxa"/>
          </w:tcPr>
          <w:p w14:paraId="040F9BED" w14:textId="77777777" w:rsidR="00EE6E72" w:rsidRDefault="009D1236" w:rsidP="00424E40">
            <w:pPr>
              <w:keepNext/>
              <w:keepLines/>
              <w:rPr>
                <w:rFonts w:ascii="Arial" w:hAnsi="Arial"/>
                <w:color w:val="000000"/>
                <w:szCs w:val="22"/>
              </w:rPr>
            </w:pPr>
            <w:r w:rsidRPr="009B5E44">
              <w:rPr>
                <w:color w:val="000000"/>
                <w:szCs w:val="22"/>
              </w:rPr>
              <w:t>[55,8]</w:t>
            </w:r>
          </w:p>
          <w:p w14:paraId="65DD90B0" w14:textId="77777777" w:rsidR="00EE6E72" w:rsidRDefault="009D1236" w:rsidP="00424E40">
            <w:pPr>
              <w:keepNext/>
              <w:keepLines/>
              <w:rPr>
                <w:rFonts w:ascii="Arial" w:hAnsi="Arial"/>
                <w:color w:val="000000"/>
                <w:szCs w:val="22"/>
              </w:rPr>
            </w:pPr>
            <w:r w:rsidRPr="009B5E44">
              <w:rPr>
                <w:color w:val="000000"/>
                <w:szCs w:val="22"/>
              </w:rPr>
              <w:t>+4,6</w:t>
            </w:r>
            <w:r w:rsidRPr="004E05DF">
              <w:rPr>
                <w:color w:val="000000"/>
                <w:szCs w:val="22"/>
                <w:vertAlign w:val="superscript"/>
              </w:rPr>
              <w:t>a</w:t>
            </w:r>
          </w:p>
        </w:tc>
      </w:tr>
      <w:tr w:rsidR="009D1236" w:rsidRPr="009B5E44" w14:paraId="5B0F7FC3" w14:textId="77777777" w:rsidTr="00723675">
        <w:tc>
          <w:tcPr>
            <w:tcW w:w="2235" w:type="dxa"/>
          </w:tcPr>
          <w:p w14:paraId="4AEC9488" w14:textId="77777777" w:rsidR="00EE6E72" w:rsidRDefault="009D1236" w:rsidP="00424E40">
            <w:pPr>
              <w:keepNext/>
              <w:keepLines/>
              <w:rPr>
                <w:rFonts w:ascii="Arial" w:hAnsi="Arial"/>
                <w:color w:val="000000"/>
                <w:szCs w:val="22"/>
              </w:rPr>
            </w:pPr>
            <w:r w:rsidRPr="009B5E44">
              <w:rPr>
                <w:color w:val="000000"/>
                <w:szCs w:val="22"/>
              </w:rPr>
              <w:t>O</w:t>
            </w:r>
            <w:r w:rsidRPr="009B5E44">
              <w:rPr>
                <w:bCs/>
                <w:color w:val="000000"/>
                <w:szCs w:val="22"/>
              </w:rPr>
              <w:t>bjem</w:t>
            </w:r>
            <w:r w:rsidRPr="009B5E44">
              <w:rPr>
                <w:color w:val="000000"/>
                <w:szCs w:val="22"/>
              </w:rPr>
              <w:t xml:space="preserve"> prechodnej </w:t>
            </w:r>
            <w:r w:rsidRPr="009B5E44">
              <w:rPr>
                <w:bCs/>
                <w:color w:val="000000"/>
                <w:szCs w:val="22"/>
              </w:rPr>
              <w:t xml:space="preserve">zóny prostaty </w:t>
            </w:r>
            <w:r w:rsidRPr="009B5E44">
              <w:rPr>
                <w:color w:val="000000"/>
                <w:szCs w:val="22"/>
              </w:rPr>
              <w:t>(ml)</w:t>
            </w:r>
            <w:r w:rsidRPr="009B5E44">
              <w:rPr>
                <w:bCs/>
                <w:color w:val="000000"/>
                <w:szCs w:val="22"/>
                <w:lang w:eastAsia="en-GB"/>
              </w:rPr>
              <w:t>#</w:t>
            </w:r>
          </w:p>
          <w:p w14:paraId="710AFFD8" w14:textId="77777777" w:rsidR="00EE6E72" w:rsidRDefault="00EE6E72" w:rsidP="00424E40">
            <w:pPr>
              <w:keepNext/>
              <w:keepLines/>
              <w:rPr>
                <w:color w:val="000000"/>
                <w:szCs w:val="22"/>
              </w:rPr>
            </w:pPr>
          </w:p>
        </w:tc>
        <w:tc>
          <w:tcPr>
            <w:tcW w:w="2976" w:type="dxa"/>
          </w:tcPr>
          <w:p w14:paraId="4E05F263" w14:textId="77777777" w:rsidR="00EE6E72" w:rsidRDefault="009D1236" w:rsidP="00424E40">
            <w:pPr>
              <w:keepNext/>
              <w:keepLines/>
              <w:rPr>
                <w:color w:val="000000"/>
                <w:szCs w:val="22"/>
              </w:rPr>
            </w:pPr>
            <w:r w:rsidRPr="009B5E44">
              <w:rPr>
                <w:color w:val="000000"/>
                <w:szCs w:val="22"/>
              </w:rPr>
              <w:t>[Východisková hodnota]</w:t>
            </w:r>
          </w:p>
          <w:p w14:paraId="55308F9D" w14:textId="77777777" w:rsidR="00EE6E72" w:rsidRDefault="009D1236" w:rsidP="00424E40">
            <w:pPr>
              <w:keepNext/>
              <w:keepLines/>
              <w:rPr>
                <w:color w:val="000000"/>
                <w:szCs w:val="22"/>
              </w:rPr>
            </w:pPr>
            <w:r w:rsidRPr="009B5E44">
              <w:rPr>
                <w:color w:val="000000"/>
                <w:szCs w:val="22"/>
              </w:rPr>
              <w:t>48. mesiac (% zmena oproti východiskovej hodnote)</w:t>
            </w:r>
          </w:p>
        </w:tc>
        <w:tc>
          <w:tcPr>
            <w:tcW w:w="1323" w:type="dxa"/>
          </w:tcPr>
          <w:p w14:paraId="43025719" w14:textId="77777777" w:rsidR="00EE6E72" w:rsidRDefault="009D1236" w:rsidP="00424E40">
            <w:pPr>
              <w:keepNext/>
              <w:keepLines/>
              <w:rPr>
                <w:color w:val="000000"/>
                <w:szCs w:val="22"/>
              </w:rPr>
            </w:pPr>
            <w:r w:rsidRPr="009B5E44">
              <w:rPr>
                <w:color w:val="000000"/>
                <w:szCs w:val="22"/>
              </w:rPr>
              <w:t>[27,7]</w:t>
            </w:r>
          </w:p>
          <w:p w14:paraId="4BD4247C" w14:textId="77777777" w:rsidR="00EE6E72" w:rsidRDefault="009D1236" w:rsidP="00424E40">
            <w:pPr>
              <w:keepNext/>
              <w:keepLines/>
              <w:rPr>
                <w:color w:val="000000"/>
                <w:szCs w:val="22"/>
              </w:rPr>
            </w:pPr>
            <w:r w:rsidRPr="009B5E44">
              <w:rPr>
                <w:color w:val="000000"/>
                <w:szCs w:val="22"/>
              </w:rPr>
              <w:t>-17,9</w:t>
            </w:r>
          </w:p>
        </w:tc>
        <w:tc>
          <w:tcPr>
            <w:tcW w:w="1323" w:type="dxa"/>
          </w:tcPr>
          <w:p w14:paraId="2488910D" w14:textId="77777777" w:rsidR="00EE6E72" w:rsidRDefault="009D1236" w:rsidP="00424E40">
            <w:pPr>
              <w:keepNext/>
              <w:keepLines/>
              <w:rPr>
                <w:color w:val="000000"/>
                <w:szCs w:val="22"/>
              </w:rPr>
            </w:pPr>
            <w:r w:rsidRPr="009B5E44">
              <w:rPr>
                <w:color w:val="000000"/>
                <w:szCs w:val="22"/>
              </w:rPr>
              <w:t>[30,3]</w:t>
            </w:r>
          </w:p>
          <w:p w14:paraId="263157B2" w14:textId="77777777" w:rsidR="00EE6E72" w:rsidRDefault="009D1236" w:rsidP="00424E40">
            <w:pPr>
              <w:keepNext/>
              <w:keepLines/>
              <w:rPr>
                <w:color w:val="000000"/>
                <w:szCs w:val="22"/>
              </w:rPr>
            </w:pPr>
            <w:r w:rsidRPr="009B5E44">
              <w:rPr>
                <w:color w:val="000000"/>
                <w:szCs w:val="22"/>
              </w:rPr>
              <w:t>-26,5</w:t>
            </w:r>
          </w:p>
        </w:tc>
        <w:tc>
          <w:tcPr>
            <w:tcW w:w="1323" w:type="dxa"/>
          </w:tcPr>
          <w:p w14:paraId="4DFE1570" w14:textId="77777777" w:rsidR="00EE6E72" w:rsidRDefault="009D1236" w:rsidP="00424E40">
            <w:pPr>
              <w:keepNext/>
              <w:keepLines/>
              <w:rPr>
                <w:color w:val="000000"/>
                <w:szCs w:val="22"/>
              </w:rPr>
            </w:pPr>
            <w:r w:rsidRPr="009B5E44">
              <w:rPr>
                <w:color w:val="000000"/>
                <w:szCs w:val="22"/>
              </w:rPr>
              <w:t>[30,5]</w:t>
            </w:r>
          </w:p>
          <w:p w14:paraId="2789585C" w14:textId="77777777" w:rsidR="00EE6E72" w:rsidRDefault="009D1236" w:rsidP="00424E40">
            <w:pPr>
              <w:keepNext/>
              <w:keepLines/>
              <w:rPr>
                <w:color w:val="000000"/>
                <w:szCs w:val="22"/>
              </w:rPr>
            </w:pPr>
            <w:r w:rsidRPr="009B5E44">
              <w:rPr>
                <w:color w:val="000000"/>
                <w:szCs w:val="22"/>
              </w:rPr>
              <w:t>18,2</w:t>
            </w:r>
            <w:r w:rsidRPr="004E05DF">
              <w:rPr>
                <w:color w:val="000000"/>
                <w:szCs w:val="22"/>
                <w:vertAlign w:val="superscript"/>
              </w:rPr>
              <w:t>a</w:t>
            </w:r>
          </w:p>
        </w:tc>
      </w:tr>
      <w:tr w:rsidR="009D1236" w:rsidRPr="009B5E44" w14:paraId="7EBB12A6" w14:textId="77777777" w:rsidTr="00723675">
        <w:tc>
          <w:tcPr>
            <w:tcW w:w="2235" w:type="dxa"/>
          </w:tcPr>
          <w:p w14:paraId="7CA53A79" w14:textId="59AA4369" w:rsidR="00EE6E72" w:rsidRDefault="009D1236" w:rsidP="00424E40">
            <w:pPr>
              <w:keepNext/>
              <w:keepLines/>
              <w:rPr>
                <w:color w:val="000000"/>
                <w:szCs w:val="22"/>
              </w:rPr>
            </w:pPr>
            <w:r w:rsidRPr="009B5E44">
              <w:rPr>
                <w:color w:val="000000"/>
                <w:szCs w:val="22"/>
              </w:rPr>
              <w:t>BH</w:t>
            </w:r>
            <w:r w:rsidR="00B5136C">
              <w:rPr>
                <w:color w:val="000000"/>
                <w:szCs w:val="22"/>
              </w:rPr>
              <w:t>P</w:t>
            </w:r>
            <w:r w:rsidRPr="009B5E44">
              <w:rPr>
                <w:color w:val="000000"/>
                <w:szCs w:val="22"/>
              </w:rPr>
              <w:t xml:space="preserve"> Index dopadu (BII) (jednotky)</w:t>
            </w:r>
          </w:p>
        </w:tc>
        <w:tc>
          <w:tcPr>
            <w:tcW w:w="2976" w:type="dxa"/>
          </w:tcPr>
          <w:p w14:paraId="69C11D9B" w14:textId="77777777" w:rsidR="00EE6E72" w:rsidRDefault="009D1236" w:rsidP="00424E40">
            <w:pPr>
              <w:keepNext/>
              <w:keepLines/>
              <w:rPr>
                <w:color w:val="000000"/>
                <w:szCs w:val="22"/>
              </w:rPr>
            </w:pPr>
            <w:r w:rsidRPr="009B5E44">
              <w:rPr>
                <w:color w:val="000000"/>
                <w:szCs w:val="22"/>
              </w:rPr>
              <w:t>[Východisková hodnota]</w:t>
            </w:r>
          </w:p>
          <w:p w14:paraId="3099A1A5" w14:textId="14666ECD" w:rsidR="00EE6E72" w:rsidRDefault="009D1236" w:rsidP="00424E40">
            <w:pPr>
              <w:keepNext/>
              <w:keepLines/>
              <w:rPr>
                <w:color w:val="000000"/>
                <w:szCs w:val="22"/>
              </w:rPr>
            </w:pPr>
            <w:r w:rsidRPr="009B5E44">
              <w:rPr>
                <w:color w:val="000000"/>
                <w:szCs w:val="22"/>
              </w:rPr>
              <w:t>48. mesiac (</w:t>
            </w:r>
            <w:r w:rsidR="00C00C09">
              <w:rPr>
                <w:color w:val="000000"/>
                <w:szCs w:val="22"/>
              </w:rPr>
              <w:t>z</w:t>
            </w:r>
            <w:r w:rsidRPr="009B5E44">
              <w:rPr>
                <w:color w:val="000000"/>
                <w:szCs w:val="22"/>
              </w:rPr>
              <w:t>mena oproti východiskovej hodnote)</w:t>
            </w:r>
          </w:p>
        </w:tc>
        <w:tc>
          <w:tcPr>
            <w:tcW w:w="1323" w:type="dxa"/>
          </w:tcPr>
          <w:p w14:paraId="10DB04B8" w14:textId="77777777" w:rsidR="00EE6E72" w:rsidRDefault="009D1236" w:rsidP="00424E40">
            <w:pPr>
              <w:keepNext/>
              <w:keepLines/>
              <w:rPr>
                <w:color w:val="000000"/>
                <w:szCs w:val="22"/>
              </w:rPr>
            </w:pPr>
            <w:r w:rsidRPr="009B5E44">
              <w:rPr>
                <w:color w:val="000000"/>
                <w:szCs w:val="22"/>
              </w:rPr>
              <w:t>[5,3]</w:t>
            </w:r>
          </w:p>
          <w:p w14:paraId="3D50CF26" w14:textId="77777777" w:rsidR="00EE6E72" w:rsidRDefault="009D1236" w:rsidP="00424E40">
            <w:pPr>
              <w:keepNext/>
              <w:keepLines/>
              <w:rPr>
                <w:color w:val="000000"/>
                <w:szCs w:val="22"/>
              </w:rPr>
            </w:pPr>
            <w:r w:rsidRPr="009B5E44">
              <w:rPr>
                <w:color w:val="000000"/>
                <w:szCs w:val="22"/>
              </w:rPr>
              <w:t>-2,2</w:t>
            </w:r>
          </w:p>
        </w:tc>
        <w:tc>
          <w:tcPr>
            <w:tcW w:w="1323" w:type="dxa"/>
          </w:tcPr>
          <w:p w14:paraId="6027C982" w14:textId="77777777" w:rsidR="00EE6E72" w:rsidRDefault="009D1236" w:rsidP="00424E40">
            <w:pPr>
              <w:keepNext/>
              <w:keepLines/>
              <w:rPr>
                <w:color w:val="000000"/>
                <w:szCs w:val="22"/>
              </w:rPr>
            </w:pPr>
            <w:r w:rsidRPr="009B5E44">
              <w:rPr>
                <w:color w:val="000000"/>
                <w:szCs w:val="22"/>
              </w:rPr>
              <w:t>[5,3]</w:t>
            </w:r>
          </w:p>
          <w:p w14:paraId="716A5EDC" w14:textId="77777777" w:rsidR="00EE6E72" w:rsidRDefault="009D1236" w:rsidP="00424E40">
            <w:pPr>
              <w:keepNext/>
              <w:keepLines/>
              <w:rPr>
                <w:color w:val="000000"/>
                <w:szCs w:val="22"/>
              </w:rPr>
            </w:pPr>
            <w:r w:rsidRPr="009B5E44">
              <w:rPr>
                <w:color w:val="000000"/>
                <w:szCs w:val="22"/>
              </w:rPr>
              <w:t>-1,8</w:t>
            </w:r>
            <w:r w:rsidRPr="004E05DF">
              <w:rPr>
                <w:color w:val="000000"/>
                <w:szCs w:val="22"/>
                <w:vertAlign w:val="superscript"/>
              </w:rPr>
              <w:t>b</w:t>
            </w:r>
          </w:p>
        </w:tc>
        <w:tc>
          <w:tcPr>
            <w:tcW w:w="1323" w:type="dxa"/>
          </w:tcPr>
          <w:p w14:paraId="18C60793" w14:textId="77777777" w:rsidR="00EE6E72" w:rsidRDefault="009D1236" w:rsidP="00424E40">
            <w:pPr>
              <w:keepNext/>
              <w:keepLines/>
              <w:rPr>
                <w:color w:val="000000"/>
                <w:szCs w:val="22"/>
              </w:rPr>
            </w:pPr>
            <w:r w:rsidRPr="009B5E44">
              <w:rPr>
                <w:color w:val="000000"/>
                <w:szCs w:val="22"/>
              </w:rPr>
              <w:t>[5,3]</w:t>
            </w:r>
          </w:p>
          <w:p w14:paraId="001D4A61" w14:textId="77777777" w:rsidR="00EE6E72" w:rsidRDefault="009D1236" w:rsidP="00424E40">
            <w:pPr>
              <w:keepNext/>
              <w:keepLines/>
              <w:rPr>
                <w:color w:val="000000"/>
                <w:szCs w:val="22"/>
              </w:rPr>
            </w:pPr>
            <w:r w:rsidRPr="009B5E44">
              <w:rPr>
                <w:color w:val="000000"/>
                <w:szCs w:val="22"/>
              </w:rPr>
              <w:t>-1,2</w:t>
            </w:r>
            <w:r w:rsidRPr="004E05DF">
              <w:rPr>
                <w:color w:val="000000"/>
                <w:szCs w:val="22"/>
                <w:vertAlign w:val="superscript"/>
              </w:rPr>
              <w:t>a</w:t>
            </w:r>
          </w:p>
        </w:tc>
      </w:tr>
      <w:tr w:rsidR="009D1236" w:rsidRPr="009B5E44" w14:paraId="39F0DDE3" w14:textId="77777777" w:rsidTr="00723675">
        <w:tc>
          <w:tcPr>
            <w:tcW w:w="2235" w:type="dxa"/>
          </w:tcPr>
          <w:p w14:paraId="69C758F9" w14:textId="73E90BB4" w:rsidR="00EE6E72" w:rsidRDefault="009D1236" w:rsidP="00424E40">
            <w:pPr>
              <w:keepNext/>
              <w:keepLines/>
              <w:rPr>
                <w:color w:val="000000"/>
                <w:szCs w:val="22"/>
              </w:rPr>
            </w:pPr>
            <w:r w:rsidRPr="009B5E44">
              <w:rPr>
                <w:color w:val="000000"/>
                <w:szCs w:val="22"/>
              </w:rPr>
              <w:t>IPSS otázka 8 (BH</w:t>
            </w:r>
            <w:r w:rsidR="00B5136C">
              <w:rPr>
                <w:color w:val="000000"/>
                <w:szCs w:val="22"/>
              </w:rPr>
              <w:t>P</w:t>
            </w:r>
            <w:r w:rsidRPr="009B5E44">
              <w:rPr>
                <w:color w:val="000000"/>
                <w:szCs w:val="22"/>
              </w:rPr>
              <w:t xml:space="preserve"> - súvisiaca so zdravotným stavom) (jednotky)</w:t>
            </w:r>
          </w:p>
        </w:tc>
        <w:tc>
          <w:tcPr>
            <w:tcW w:w="2976" w:type="dxa"/>
          </w:tcPr>
          <w:p w14:paraId="1FAD3BA0" w14:textId="77777777" w:rsidR="00EE6E72" w:rsidRDefault="009D1236" w:rsidP="00424E40">
            <w:pPr>
              <w:keepNext/>
              <w:keepLines/>
              <w:rPr>
                <w:color w:val="000000"/>
                <w:szCs w:val="22"/>
              </w:rPr>
            </w:pPr>
            <w:r w:rsidRPr="009B5E44">
              <w:rPr>
                <w:color w:val="000000"/>
                <w:szCs w:val="22"/>
              </w:rPr>
              <w:t>[Východisková hodnota]</w:t>
            </w:r>
          </w:p>
          <w:p w14:paraId="53D52391" w14:textId="38B56AF1" w:rsidR="00EE6E72" w:rsidRDefault="009D1236" w:rsidP="00424E40">
            <w:pPr>
              <w:keepNext/>
              <w:keepLines/>
              <w:rPr>
                <w:color w:val="000000"/>
                <w:szCs w:val="22"/>
              </w:rPr>
            </w:pPr>
            <w:r w:rsidRPr="009B5E44">
              <w:rPr>
                <w:color w:val="000000"/>
                <w:szCs w:val="22"/>
              </w:rPr>
              <w:t>48. mesiac (</w:t>
            </w:r>
            <w:r w:rsidR="00C00C09">
              <w:rPr>
                <w:color w:val="000000"/>
                <w:szCs w:val="22"/>
              </w:rPr>
              <w:t>z</w:t>
            </w:r>
            <w:r w:rsidRPr="009B5E44">
              <w:rPr>
                <w:color w:val="000000"/>
                <w:szCs w:val="22"/>
              </w:rPr>
              <w:t>mena oproti východiskovej hodnote)</w:t>
            </w:r>
          </w:p>
        </w:tc>
        <w:tc>
          <w:tcPr>
            <w:tcW w:w="1323" w:type="dxa"/>
          </w:tcPr>
          <w:p w14:paraId="32C26597" w14:textId="77777777" w:rsidR="00EE6E72" w:rsidRDefault="009D1236" w:rsidP="00424E40">
            <w:pPr>
              <w:keepNext/>
              <w:keepLines/>
              <w:rPr>
                <w:color w:val="000000"/>
                <w:szCs w:val="22"/>
              </w:rPr>
            </w:pPr>
            <w:r w:rsidRPr="009B5E44">
              <w:rPr>
                <w:color w:val="000000"/>
                <w:szCs w:val="22"/>
              </w:rPr>
              <w:t>[3,6]</w:t>
            </w:r>
          </w:p>
          <w:p w14:paraId="66C02B9E" w14:textId="77777777" w:rsidR="00EE6E72" w:rsidRDefault="009D1236" w:rsidP="00424E40">
            <w:pPr>
              <w:keepNext/>
              <w:keepLines/>
              <w:rPr>
                <w:color w:val="000000"/>
                <w:szCs w:val="22"/>
              </w:rPr>
            </w:pPr>
            <w:r w:rsidRPr="009B5E44">
              <w:rPr>
                <w:color w:val="000000"/>
                <w:szCs w:val="22"/>
              </w:rPr>
              <w:t>-1,5</w:t>
            </w:r>
          </w:p>
        </w:tc>
        <w:tc>
          <w:tcPr>
            <w:tcW w:w="1323" w:type="dxa"/>
          </w:tcPr>
          <w:p w14:paraId="75563D76" w14:textId="77777777" w:rsidR="00EE6E72" w:rsidRDefault="009D1236" w:rsidP="00424E40">
            <w:pPr>
              <w:keepNext/>
              <w:keepLines/>
              <w:rPr>
                <w:color w:val="000000"/>
                <w:szCs w:val="22"/>
              </w:rPr>
            </w:pPr>
            <w:r w:rsidRPr="009B5E44">
              <w:rPr>
                <w:color w:val="000000"/>
                <w:szCs w:val="22"/>
              </w:rPr>
              <w:t>[3,6]</w:t>
            </w:r>
          </w:p>
          <w:p w14:paraId="0880DBBF" w14:textId="77777777" w:rsidR="00EE6E72" w:rsidRDefault="009D1236" w:rsidP="00424E40">
            <w:pPr>
              <w:keepNext/>
              <w:keepLines/>
              <w:rPr>
                <w:color w:val="000000"/>
                <w:szCs w:val="22"/>
              </w:rPr>
            </w:pPr>
            <w:r w:rsidRPr="009B5E44">
              <w:rPr>
                <w:color w:val="000000"/>
                <w:szCs w:val="22"/>
              </w:rPr>
              <w:t>-1,3</w:t>
            </w:r>
            <w:r w:rsidRPr="00291331">
              <w:rPr>
                <w:color w:val="000000"/>
                <w:szCs w:val="22"/>
                <w:vertAlign w:val="superscript"/>
              </w:rPr>
              <w:t>b</w:t>
            </w:r>
          </w:p>
        </w:tc>
        <w:tc>
          <w:tcPr>
            <w:tcW w:w="1323" w:type="dxa"/>
          </w:tcPr>
          <w:p w14:paraId="527AD5E0" w14:textId="77777777" w:rsidR="00EE6E72" w:rsidRDefault="009D1236" w:rsidP="00424E40">
            <w:pPr>
              <w:keepNext/>
              <w:keepLines/>
              <w:rPr>
                <w:color w:val="000000"/>
                <w:szCs w:val="22"/>
              </w:rPr>
            </w:pPr>
            <w:r w:rsidRPr="009B5E44">
              <w:rPr>
                <w:color w:val="000000"/>
                <w:szCs w:val="22"/>
              </w:rPr>
              <w:t>[3,6]</w:t>
            </w:r>
          </w:p>
          <w:p w14:paraId="4D6BC1A6" w14:textId="77777777" w:rsidR="00EE6E72" w:rsidRDefault="009D1236" w:rsidP="00424E40">
            <w:pPr>
              <w:keepNext/>
              <w:keepLines/>
              <w:rPr>
                <w:color w:val="000000"/>
                <w:szCs w:val="22"/>
              </w:rPr>
            </w:pPr>
            <w:r w:rsidRPr="009B5E44">
              <w:rPr>
                <w:color w:val="000000"/>
                <w:szCs w:val="22"/>
              </w:rPr>
              <w:t>-1,1</w:t>
            </w:r>
            <w:r w:rsidRPr="00291331">
              <w:rPr>
                <w:color w:val="000000"/>
                <w:szCs w:val="22"/>
                <w:vertAlign w:val="superscript"/>
              </w:rPr>
              <w:t>a</w:t>
            </w:r>
          </w:p>
        </w:tc>
      </w:tr>
    </w:tbl>
    <w:p w14:paraId="687D2C79" w14:textId="77777777" w:rsidR="00EE6E72" w:rsidRDefault="009D1236" w:rsidP="00424E40">
      <w:pPr>
        <w:rPr>
          <w:szCs w:val="22"/>
        </w:rPr>
      </w:pPr>
      <w:r w:rsidRPr="009B5E44">
        <w:rPr>
          <w:szCs w:val="22"/>
        </w:rPr>
        <w:t>Východiskové hodnoty sú priemerné hodnoty a zmeny od východiskového stavu sú upravené priemerné zmeny.</w:t>
      </w:r>
    </w:p>
    <w:p w14:paraId="25200416" w14:textId="277641E8" w:rsidR="00EE6E72" w:rsidRDefault="009D1236" w:rsidP="00424E40">
      <w:pPr>
        <w:rPr>
          <w:szCs w:val="22"/>
        </w:rPr>
      </w:pPr>
      <w:r w:rsidRPr="00342FB3">
        <w:rPr>
          <w:szCs w:val="22"/>
          <w:vertAlign w:val="superscript"/>
        </w:rPr>
        <w:t>*</w:t>
      </w:r>
      <w:r w:rsidRPr="009B5E44">
        <w:rPr>
          <w:color w:val="000000"/>
          <w:szCs w:val="22"/>
        </w:rPr>
        <w:t xml:space="preserve"> Klinická progresia bola definovaná kombinovane ako</w:t>
      </w:r>
      <w:r w:rsidRPr="009B5E44">
        <w:rPr>
          <w:szCs w:val="22"/>
        </w:rPr>
        <w:t>: zhoršenie skóre IPSS o </w:t>
      </w:r>
      <w:r w:rsidRPr="009B5E44">
        <w:rPr>
          <w:szCs w:val="22"/>
        </w:rPr>
        <w:sym w:font="Symbol" w:char="F0B3"/>
      </w:r>
      <w:r w:rsidRPr="009B5E44">
        <w:rPr>
          <w:szCs w:val="22"/>
        </w:rPr>
        <w:t> 4 body, epizódy AR</w:t>
      </w:r>
      <w:r w:rsidR="00B5136C">
        <w:rPr>
          <w:szCs w:val="22"/>
        </w:rPr>
        <w:t>M</w:t>
      </w:r>
      <w:r w:rsidRPr="009B5E44">
        <w:rPr>
          <w:szCs w:val="22"/>
        </w:rPr>
        <w:t xml:space="preserve"> súvisiace s BH</w:t>
      </w:r>
      <w:r w:rsidR="00B5136C">
        <w:rPr>
          <w:szCs w:val="22"/>
        </w:rPr>
        <w:t>P</w:t>
      </w:r>
      <w:r w:rsidRPr="009B5E44">
        <w:rPr>
          <w:szCs w:val="22"/>
        </w:rPr>
        <w:t>, inkontinencia, UTI a renálna insuficiencia.</w:t>
      </w:r>
    </w:p>
    <w:p w14:paraId="58498992" w14:textId="49DD7E8C" w:rsidR="00EE6E72" w:rsidRDefault="009D1236" w:rsidP="00424E40">
      <w:pPr>
        <w:rPr>
          <w:szCs w:val="22"/>
        </w:rPr>
      </w:pPr>
      <w:r w:rsidRPr="00342FB3">
        <w:rPr>
          <w:szCs w:val="22"/>
          <w:vertAlign w:val="superscript"/>
        </w:rPr>
        <w:t>#</w:t>
      </w:r>
      <w:r w:rsidRPr="009B5E44">
        <w:rPr>
          <w:szCs w:val="22"/>
        </w:rPr>
        <w:t xml:space="preserve"> </w:t>
      </w:r>
      <w:r w:rsidR="00C00C09">
        <w:rPr>
          <w:szCs w:val="22"/>
        </w:rPr>
        <w:t>Hodnotené</w:t>
      </w:r>
      <w:r w:rsidRPr="009B5E44">
        <w:rPr>
          <w:szCs w:val="22"/>
        </w:rPr>
        <w:t xml:space="preserve"> vo vybraných </w:t>
      </w:r>
      <w:r w:rsidR="00C00C09">
        <w:rPr>
          <w:szCs w:val="22"/>
        </w:rPr>
        <w:t>centrách</w:t>
      </w:r>
      <w:r w:rsidRPr="009B5E44">
        <w:rPr>
          <w:szCs w:val="22"/>
        </w:rPr>
        <w:t xml:space="preserve"> štúdie (13 % randomizovaných pacientov)</w:t>
      </w:r>
    </w:p>
    <w:p w14:paraId="182F8E1E" w14:textId="77777777" w:rsidR="00EE6E72" w:rsidRDefault="009D1236" w:rsidP="00424E40">
      <w:pPr>
        <w:rPr>
          <w:rFonts w:eastAsia="MS Mincho"/>
          <w:szCs w:val="22"/>
          <w:lang w:eastAsia="ja-JP"/>
        </w:rPr>
      </w:pPr>
      <w:r w:rsidRPr="00342FB3">
        <w:rPr>
          <w:szCs w:val="22"/>
          <w:vertAlign w:val="superscript"/>
        </w:rPr>
        <w:t>a</w:t>
      </w:r>
      <w:r w:rsidRPr="009B5E44">
        <w:rPr>
          <w:szCs w:val="22"/>
        </w:rPr>
        <w:t xml:space="preserve"> Pri kombinácii sa dosiahlo významné zlepšenie </w:t>
      </w:r>
      <w:r w:rsidRPr="009B5E44">
        <w:rPr>
          <w:rFonts w:eastAsia="MS Mincho"/>
          <w:szCs w:val="22"/>
          <w:lang w:eastAsia="ja-JP"/>
        </w:rPr>
        <w:t>(p &lt; 0,001) oproti tamsulozínu v 48. mesiaci</w:t>
      </w:r>
    </w:p>
    <w:p w14:paraId="736BD3D6" w14:textId="77777777" w:rsidR="00EE6E72" w:rsidRDefault="009D1236" w:rsidP="00424E40">
      <w:pPr>
        <w:rPr>
          <w:szCs w:val="22"/>
        </w:rPr>
      </w:pPr>
      <w:r w:rsidRPr="00342FB3">
        <w:rPr>
          <w:rFonts w:eastAsia="MS Mincho"/>
          <w:szCs w:val="22"/>
          <w:vertAlign w:val="superscript"/>
          <w:lang w:eastAsia="ja-JP"/>
        </w:rPr>
        <w:t>b</w:t>
      </w:r>
      <w:r w:rsidRPr="009B5E44">
        <w:rPr>
          <w:rFonts w:eastAsia="MS Mincho"/>
          <w:szCs w:val="22"/>
          <w:lang w:eastAsia="ja-JP"/>
        </w:rPr>
        <w:t xml:space="preserve"> </w:t>
      </w:r>
      <w:r w:rsidRPr="009B5E44">
        <w:rPr>
          <w:szCs w:val="22"/>
        </w:rPr>
        <w:t xml:space="preserve">Pri kombinácii sa dosiahlo významné zlepšenie </w:t>
      </w:r>
      <w:r w:rsidRPr="009B5E44">
        <w:rPr>
          <w:rFonts w:eastAsia="MS Mincho"/>
          <w:szCs w:val="22"/>
          <w:lang w:eastAsia="ja-JP"/>
        </w:rPr>
        <w:t>(p &lt; 0,001) oproti dutasteridu v 48. mesiaci</w:t>
      </w:r>
    </w:p>
    <w:p w14:paraId="0AAAA8C3" w14:textId="77777777" w:rsidR="00EE6E72" w:rsidRDefault="00EE6E72" w:rsidP="00424E40">
      <w:pPr>
        <w:rPr>
          <w:szCs w:val="22"/>
        </w:rPr>
      </w:pPr>
    </w:p>
    <w:p w14:paraId="50190998" w14:textId="77777777" w:rsidR="00EE6E72" w:rsidRDefault="009D1236" w:rsidP="00424E40">
      <w:pPr>
        <w:keepNext/>
        <w:keepLines/>
        <w:rPr>
          <w:szCs w:val="22"/>
        </w:rPr>
      </w:pPr>
      <w:r w:rsidRPr="009B5E44">
        <w:rPr>
          <w:i/>
          <w:szCs w:val="22"/>
        </w:rPr>
        <w:lastRenderedPageBreak/>
        <w:t>Dutasterid</w:t>
      </w:r>
    </w:p>
    <w:p w14:paraId="6B91F45E" w14:textId="7ECB2FA7" w:rsidR="00EE6E72" w:rsidRDefault="009D1236" w:rsidP="00424E40">
      <w:pPr>
        <w:keepNext/>
        <w:keepLines/>
        <w:rPr>
          <w:szCs w:val="22"/>
        </w:rPr>
      </w:pPr>
      <w:r w:rsidRPr="009B5E44">
        <w:rPr>
          <w:szCs w:val="22"/>
        </w:rPr>
        <w:t>Dutasterid v dávke 0,5 mg/deň alebo placebo boli vyhodnotené u 4 325 mužov so stredne ťažkými až ťažkými symptómami BH</w:t>
      </w:r>
      <w:r w:rsidR="00B5136C">
        <w:rPr>
          <w:szCs w:val="22"/>
        </w:rPr>
        <w:t>P</w:t>
      </w:r>
      <w:r w:rsidRPr="009B5E44">
        <w:rPr>
          <w:szCs w:val="22"/>
        </w:rPr>
        <w:t xml:space="preserve">, ktorí mali prostatu </w:t>
      </w:r>
      <w:r w:rsidRPr="009B5E44">
        <w:rPr>
          <w:szCs w:val="22"/>
        </w:rPr>
        <w:sym w:font="Symbol" w:char="F0B3"/>
      </w:r>
      <w:r w:rsidRPr="009B5E44">
        <w:rPr>
          <w:szCs w:val="22"/>
        </w:rPr>
        <w:t> 30 ml a hodnotu PSA v rozsahu 1,5 – 10 ng/ml, v troch 2</w:t>
      </w:r>
      <w:r w:rsidRPr="009B5E44">
        <w:rPr>
          <w:szCs w:val="22"/>
        </w:rPr>
        <w:noBreakHyphen/>
        <w:t>ročných multicentrických, medzinárodných, placebom kontrolovaných, dvojito</w:t>
      </w:r>
      <w:r w:rsidRPr="009B5E44">
        <w:rPr>
          <w:szCs w:val="22"/>
        </w:rPr>
        <w:noBreakHyphen/>
        <w:t xml:space="preserve">zaslepených štúdiách primárnej účinnosti. Štúdie potom pokračovali do 4 rokov ako predĺžené otvorené so všetkými pacientmi zostávajúcimi v štúdii, ktorí užívali dutasterid v rovnakej dávke 0,5 mg. 37 % pacientov pôvodne randomizovaných </w:t>
      </w:r>
      <w:r w:rsidR="00C00C09">
        <w:rPr>
          <w:szCs w:val="22"/>
        </w:rPr>
        <w:t>na</w:t>
      </w:r>
      <w:r w:rsidRPr="009B5E44">
        <w:rPr>
          <w:szCs w:val="22"/>
        </w:rPr>
        <w:t> placeb</w:t>
      </w:r>
      <w:r w:rsidR="00C00C09">
        <w:rPr>
          <w:szCs w:val="22"/>
        </w:rPr>
        <w:t>o</w:t>
      </w:r>
      <w:r w:rsidRPr="009B5E44">
        <w:rPr>
          <w:szCs w:val="22"/>
        </w:rPr>
        <w:t xml:space="preserve"> a 40 % pacientov randomizovaných </w:t>
      </w:r>
      <w:r w:rsidR="00C00C09">
        <w:rPr>
          <w:szCs w:val="22"/>
        </w:rPr>
        <w:t>na</w:t>
      </w:r>
      <w:r w:rsidRPr="009B5E44">
        <w:rPr>
          <w:szCs w:val="22"/>
        </w:rPr>
        <w:t> dutasterid zostalo v štúdii 4 roky. Väčšina (71 %) z 2 340 </w:t>
      </w:r>
      <w:r w:rsidR="007C65FB">
        <w:rPr>
          <w:szCs w:val="22"/>
        </w:rPr>
        <w:t>účastníkov</w:t>
      </w:r>
      <w:r w:rsidRPr="009B5E44">
        <w:rPr>
          <w:szCs w:val="22"/>
        </w:rPr>
        <w:t xml:space="preserve"> v predĺženej otvorenej štúdii dokončila ďalšie 2 roky otvorenej liečby.</w:t>
      </w:r>
    </w:p>
    <w:p w14:paraId="5958A66B" w14:textId="77777777" w:rsidR="00EE6E72" w:rsidRDefault="00EE6E72" w:rsidP="00424E40">
      <w:pPr>
        <w:rPr>
          <w:szCs w:val="22"/>
        </w:rPr>
      </w:pPr>
    </w:p>
    <w:p w14:paraId="38F542D8" w14:textId="53F019B8" w:rsidR="00EE6E72" w:rsidRDefault="009D1236" w:rsidP="00424E40">
      <w:pPr>
        <w:pStyle w:val="Zkladntext2"/>
        <w:spacing w:after="0" w:line="240" w:lineRule="auto"/>
        <w:rPr>
          <w:szCs w:val="22"/>
        </w:rPr>
      </w:pPr>
      <w:r w:rsidRPr="009B5E44">
        <w:rPr>
          <w:szCs w:val="22"/>
        </w:rPr>
        <w:t>Najdôležitejšími parametrami klinickej účinnosti bol Index symptómov Americkej urologickej asociácie (AUA</w:t>
      </w:r>
      <w:r w:rsidRPr="009B5E44">
        <w:rPr>
          <w:szCs w:val="22"/>
        </w:rPr>
        <w:noBreakHyphen/>
        <w:t>SI), maximálny prietok moču (Q</w:t>
      </w:r>
      <w:r w:rsidRPr="009B5E44">
        <w:rPr>
          <w:szCs w:val="22"/>
          <w:vertAlign w:val="subscript"/>
        </w:rPr>
        <w:t>max</w:t>
      </w:r>
      <w:r w:rsidRPr="009B5E44">
        <w:rPr>
          <w:szCs w:val="22"/>
        </w:rPr>
        <w:t>) a výskyt akútnej retencie moču a chirurgického zákroku súvisiaceho s BH</w:t>
      </w:r>
      <w:r w:rsidR="00B5136C">
        <w:rPr>
          <w:szCs w:val="22"/>
        </w:rPr>
        <w:t>P</w:t>
      </w:r>
      <w:r w:rsidRPr="009B5E44">
        <w:rPr>
          <w:szCs w:val="22"/>
        </w:rPr>
        <w:t>.</w:t>
      </w:r>
    </w:p>
    <w:p w14:paraId="3412287E" w14:textId="77777777" w:rsidR="00EE6E72" w:rsidRDefault="00EE6E72" w:rsidP="00424E40">
      <w:pPr>
        <w:pStyle w:val="Zkladntext2"/>
        <w:spacing w:after="0" w:line="240" w:lineRule="auto"/>
        <w:rPr>
          <w:szCs w:val="22"/>
        </w:rPr>
      </w:pPr>
    </w:p>
    <w:p w14:paraId="37A84350" w14:textId="3D179205" w:rsidR="00EE6E72" w:rsidRDefault="009D1236" w:rsidP="00424E40">
      <w:pPr>
        <w:rPr>
          <w:szCs w:val="22"/>
        </w:rPr>
      </w:pPr>
      <w:r w:rsidRPr="009B5E44">
        <w:rPr>
          <w:szCs w:val="22"/>
        </w:rPr>
        <w:t>AUA</w:t>
      </w:r>
      <w:r w:rsidRPr="009B5E44">
        <w:rPr>
          <w:szCs w:val="22"/>
        </w:rPr>
        <w:noBreakHyphen/>
        <w:t>SI je sedem</w:t>
      </w:r>
      <w:r w:rsidR="00D87456">
        <w:rPr>
          <w:szCs w:val="22"/>
        </w:rPr>
        <w:t>zložkový</w:t>
      </w:r>
      <w:r w:rsidRPr="009B5E44">
        <w:rPr>
          <w:szCs w:val="22"/>
        </w:rPr>
        <w:t xml:space="preserve"> dotazník o symptómoch týkajúcich sa BH</w:t>
      </w:r>
      <w:r w:rsidR="00B5136C">
        <w:rPr>
          <w:szCs w:val="22"/>
        </w:rPr>
        <w:t>P</w:t>
      </w:r>
      <w:r w:rsidRPr="009B5E44">
        <w:rPr>
          <w:szCs w:val="22"/>
        </w:rPr>
        <w:t xml:space="preserve"> s maximálnym bodovým skóre 35. Na začiatku štúdií mali pacienti priemerné skóre približne 17. Po šesťmesačnej, jednoročnej a dvojročnej liečbe mala skupina s placebom priemerné zlepšenia o 2,5; </w:t>
      </w:r>
      <w:smartTag w:uri="urn:schemas-microsoft-com:office:smarttags" w:element="metricconverter">
        <w:smartTagPr>
          <w:attr w:name="ProductID" w:val="2,5 a"/>
        </w:smartTagPr>
        <w:r w:rsidRPr="009B5E44">
          <w:rPr>
            <w:szCs w:val="22"/>
          </w:rPr>
          <w:t>2,5 a</w:t>
        </w:r>
      </w:smartTag>
      <w:r w:rsidRPr="009B5E44">
        <w:rPr>
          <w:szCs w:val="22"/>
        </w:rPr>
        <w:t xml:space="preserve"> 2,3 bodu, zatiaľ čo skupina s</w:t>
      </w:r>
      <w:r w:rsidR="00003023">
        <w:rPr>
          <w:szCs w:val="22"/>
        </w:rPr>
        <w:t> účinnou látkou dutasterid</w:t>
      </w:r>
      <w:r w:rsidRPr="009B5E44">
        <w:rPr>
          <w:szCs w:val="22"/>
        </w:rPr>
        <w:t xml:space="preserve"> sa zlepšila o 3,2; </w:t>
      </w:r>
      <w:smartTag w:uri="urn:schemas-microsoft-com:office:smarttags" w:element="metricconverter">
        <w:smartTagPr>
          <w:attr w:name="ProductID" w:val="3,8 a"/>
        </w:smartTagPr>
        <w:r w:rsidRPr="009B5E44">
          <w:rPr>
            <w:szCs w:val="22"/>
          </w:rPr>
          <w:t>3,8 a</w:t>
        </w:r>
      </w:smartTag>
      <w:r w:rsidRPr="009B5E44">
        <w:rPr>
          <w:szCs w:val="22"/>
        </w:rPr>
        <w:t xml:space="preserve"> 4,5 bodu. Rozdiely medzi skupinami boli štatisticky signifikantné. Zlepšenie uvedené v AUA</w:t>
      </w:r>
      <w:r w:rsidRPr="009B5E44">
        <w:rPr>
          <w:szCs w:val="22"/>
        </w:rPr>
        <w:noBreakHyphen/>
        <w:t>SI pozorované počas prvých 2 rokov dvojito zaslepenej liečby sa zachovalo počas ďalších 2 rokov predĺžených otvorených štúdií.</w:t>
      </w:r>
    </w:p>
    <w:p w14:paraId="4D2B3039" w14:textId="77777777" w:rsidR="00EE6E72" w:rsidRDefault="00EE6E72" w:rsidP="00424E40">
      <w:pPr>
        <w:rPr>
          <w:szCs w:val="22"/>
        </w:rPr>
      </w:pPr>
    </w:p>
    <w:p w14:paraId="0CE5E496" w14:textId="77777777" w:rsidR="00EE6E72" w:rsidRDefault="009D1236" w:rsidP="00424E40">
      <w:pPr>
        <w:keepNext/>
        <w:keepLines/>
        <w:rPr>
          <w:szCs w:val="22"/>
        </w:rPr>
      </w:pPr>
      <w:r w:rsidRPr="009B5E44">
        <w:rPr>
          <w:szCs w:val="22"/>
        </w:rPr>
        <w:t>Q</w:t>
      </w:r>
      <w:r w:rsidRPr="009B5E44">
        <w:rPr>
          <w:szCs w:val="22"/>
          <w:vertAlign w:val="subscript"/>
        </w:rPr>
        <w:t>max</w:t>
      </w:r>
      <w:r w:rsidRPr="009B5E44">
        <w:rPr>
          <w:szCs w:val="22"/>
        </w:rPr>
        <w:t xml:space="preserve"> (maximálny prietok moču)</w:t>
      </w:r>
    </w:p>
    <w:p w14:paraId="6A7EF4DA" w14:textId="398C38D4" w:rsidR="00EE6E72" w:rsidRDefault="009D1236" w:rsidP="00424E40">
      <w:pPr>
        <w:keepNext/>
        <w:keepLines/>
        <w:rPr>
          <w:szCs w:val="22"/>
        </w:rPr>
      </w:pPr>
      <w:r w:rsidRPr="009B5E44">
        <w:rPr>
          <w:szCs w:val="22"/>
        </w:rPr>
        <w:t>Priemerná bazálna hodnota Q</w:t>
      </w:r>
      <w:r w:rsidRPr="009B5E44">
        <w:rPr>
          <w:szCs w:val="22"/>
          <w:vertAlign w:val="subscript"/>
        </w:rPr>
        <w:t>max</w:t>
      </w:r>
      <w:r w:rsidRPr="009B5E44">
        <w:rPr>
          <w:szCs w:val="22"/>
        </w:rPr>
        <w:t xml:space="preserve"> v štúdiách bola približne 10 ml/sekundu (normálny Q</w:t>
      </w:r>
      <w:r w:rsidRPr="009B5E44">
        <w:rPr>
          <w:szCs w:val="22"/>
          <w:vertAlign w:val="subscript"/>
        </w:rPr>
        <w:t>max</w:t>
      </w:r>
      <w:r w:rsidRPr="009B5E44">
        <w:rPr>
          <w:szCs w:val="22"/>
        </w:rPr>
        <w:t> </w:t>
      </w:r>
      <w:r w:rsidRPr="009B5E44">
        <w:rPr>
          <w:szCs w:val="22"/>
        </w:rPr>
        <w:sym w:font="Symbol" w:char="F0B3"/>
      </w:r>
      <w:r w:rsidRPr="009B5E44">
        <w:rPr>
          <w:szCs w:val="22"/>
        </w:rPr>
        <w:t xml:space="preserve"> 15 ml/s). Po jednom a dvoch rokoch liečby sa prietok v skupine s placebom zlepšil o 0,8 a 0,9 ml/s, v uvedenom poradí, a o 1,7 a 2,0 ml/s, v uvedenom poradí, v skupine </w:t>
      </w:r>
      <w:r w:rsidR="00003023" w:rsidRPr="009B5E44">
        <w:rPr>
          <w:szCs w:val="22"/>
        </w:rPr>
        <w:t>s</w:t>
      </w:r>
      <w:r w:rsidR="00003023">
        <w:rPr>
          <w:szCs w:val="22"/>
        </w:rPr>
        <w:t> účinnou látkou dutasterid</w:t>
      </w:r>
      <w:r w:rsidRPr="009B5E44">
        <w:rPr>
          <w:szCs w:val="22"/>
        </w:rPr>
        <w:t>. Rozdiel medzi skupinami bol štatisticky signifikantný od 1. mesiaca po 24. mesiac. Zvýšenie maximálnej rýchlosti prietoku moču pozorované počas prvých 2 rokov dvojito zaslepenej liečby sa zachovalo počas ďalších 2 rokov predĺžených otvorených štúdií.</w:t>
      </w:r>
    </w:p>
    <w:p w14:paraId="23844F66" w14:textId="77777777" w:rsidR="00EE6E72" w:rsidRDefault="00EE6E72" w:rsidP="00424E40">
      <w:pPr>
        <w:rPr>
          <w:szCs w:val="22"/>
        </w:rPr>
      </w:pPr>
    </w:p>
    <w:p w14:paraId="25E6CDBA" w14:textId="77777777" w:rsidR="00EE6E72" w:rsidRDefault="009D1236" w:rsidP="00424E40">
      <w:pPr>
        <w:pStyle w:val="Nadpis5"/>
        <w:spacing w:before="0" w:line="240" w:lineRule="auto"/>
        <w:rPr>
          <w:rFonts w:ascii="Times New Roman" w:hAnsi="Times New Roman"/>
          <w:iCs/>
          <w:color w:val="auto"/>
          <w:szCs w:val="22"/>
        </w:rPr>
      </w:pPr>
      <w:r w:rsidRPr="009642AA">
        <w:rPr>
          <w:rFonts w:ascii="Times New Roman" w:hAnsi="Times New Roman"/>
          <w:iCs/>
          <w:color w:val="auto"/>
          <w:szCs w:val="22"/>
        </w:rPr>
        <w:t>Akútna retencia moču a chirurgická intervencia</w:t>
      </w:r>
    </w:p>
    <w:p w14:paraId="226F31F6" w14:textId="3C8EBE71" w:rsidR="00EE6E72" w:rsidRDefault="009D1236" w:rsidP="00424E40">
      <w:pPr>
        <w:pStyle w:val="Zkladntext2"/>
        <w:spacing w:after="0" w:line="240" w:lineRule="auto"/>
        <w:rPr>
          <w:iCs/>
          <w:szCs w:val="22"/>
        </w:rPr>
      </w:pPr>
      <w:r w:rsidRPr="009642AA">
        <w:rPr>
          <w:iCs/>
          <w:szCs w:val="22"/>
        </w:rPr>
        <w:t>Po dvoch rokoch liečby bol výskyt AR</w:t>
      </w:r>
      <w:r w:rsidR="00B5136C">
        <w:rPr>
          <w:iCs/>
          <w:szCs w:val="22"/>
        </w:rPr>
        <w:t>M</w:t>
      </w:r>
      <w:r w:rsidRPr="009642AA">
        <w:rPr>
          <w:iCs/>
          <w:szCs w:val="22"/>
        </w:rPr>
        <w:t xml:space="preserve"> v skupine s placebom 4,2 % oproti 1,8 % v skupine s </w:t>
      </w:r>
      <w:r w:rsidR="00390E15">
        <w:rPr>
          <w:szCs w:val="22"/>
        </w:rPr>
        <w:t>účinnou látkou dutasterid</w:t>
      </w:r>
      <w:r w:rsidRPr="009642AA">
        <w:rPr>
          <w:iCs/>
          <w:szCs w:val="22"/>
        </w:rPr>
        <w:t xml:space="preserve"> (57 % zníženie rizika). Tento rozdiel je štatisticky signifikantný a znamená, že 42 pacientov (95 % </w:t>
      </w:r>
      <w:r w:rsidR="00A20CE5">
        <w:rPr>
          <w:iCs/>
          <w:szCs w:val="22"/>
        </w:rPr>
        <w:t>IS</w:t>
      </w:r>
      <w:r w:rsidR="00A20CE5" w:rsidRPr="009642AA">
        <w:rPr>
          <w:iCs/>
          <w:szCs w:val="22"/>
        </w:rPr>
        <w:t xml:space="preserve"> </w:t>
      </w:r>
      <w:r w:rsidRPr="009642AA">
        <w:rPr>
          <w:iCs/>
          <w:szCs w:val="22"/>
        </w:rPr>
        <w:t>30 – 73) musí byť liečených počas dvoch rokov, aby sa zabránilo 1 prípadu AR</w:t>
      </w:r>
      <w:r w:rsidR="00B5136C">
        <w:rPr>
          <w:iCs/>
          <w:szCs w:val="22"/>
        </w:rPr>
        <w:t>M</w:t>
      </w:r>
      <w:r w:rsidRPr="009642AA">
        <w:rPr>
          <w:iCs/>
          <w:szCs w:val="22"/>
        </w:rPr>
        <w:t>.</w:t>
      </w:r>
    </w:p>
    <w:p w14:paraId="1EDC7898" w14:textId="77777777" w:rsidR="00EE6E72" w:rsidRDefault="00EE6E72" w:rsidP="00424E40">
      <w:pPr>
        <w:spacing w:line="240" w:lineRule="auto"/>
        <w:rPr>
          <w:iCs/>
          <w:szCs w:val="22"/>
        </w:rPr>
      </w:pPr>
    </w:p>
    <w:p w14:paraId="0B0B2AFA" w14:textId="4B2CC839" w:rsidR="00EE6E72" w:rsidRDefault="00D87456" w:rsidP="00424E40">
      <w:pPr>
        <w:spacing w:line="240" w:lineRule="auto"/>
        <w:rPr>
          <w:iCs/>
          <w:szCs w:val="22"/>
        </w:rPr>
      </w:pPr>
      <w:r>
        <w:rPr>
          <w:iCs/>
          <w:szCs w:val="22"/>
        </w:rPr>
        <w:t xml:space="preserve">Potreba </w:t>
      </w:r>
      <w:r w:rsidR="009D1236" w:rsidRPr="009642AA">
        <w:rPr>
          <w:iCs/>
          <w:szCs w:val="22"/>
        </w:rPr>
        <w:t>chirurgického zákroku súvisiaceho s BH</w:t>
      </w:r>
      <w:r w:rsidR="00B5136C">
        <w:rPr>
          <w:iCs/>
          <w:szCs w:val="22"/>
        </w:rPr>
        <w:t>P</w:t>
      </w:r>
      <w:r w:rsidR="009D1236" w:rsidRPr="009642AA">
        <w:rPr>
          <w:iCs/>
          <w:szCs w:val="22"/>
        </w:rPr>
        <w:t xml:space="preserve"> po dvoch rokoch bol 4,1 % v skupine s placebom a 2,2 % v skupine </w:t>
      </w:r>
      <w:r w:rsidR="00164807" w:rsidRPr="009B5E44">
        <w:rPr>
          <w:szCs w:val="22"/>
        </w:rPr>
        <w:t>s</w:t>
      </w:r>
      <w:r w:rsidR="00164807">
        <w:rPr>
          <w:szCs w:val="22"/>
        </w:rPr>
        <w:t> účinnou látkou dutasterid</w:t>
      </w:r>
      <w:r w:rsidR="009D1236" w:rsidRPr="009642AA">
        <w:rPr>
          <w:iCs/>
          <w:szCs w:val="22"/>
        </w:rPr>
        <w:t xml:space="preserve"> (48 % zníženie rizika). Tento rozdiel je štatisticky signifikantný a znamená, že 51 pacientov (95 % </w:t>
      </w:r>
      <w:r w:rsidR="00A20CE5">
        <w:rPr>
          <w:iCs/>
          <w:szCs w:val="22"/>
        </w:rPr>
        <w:t>IS</w:t>
      </w:r>
      <w:r w:rsidR="009D1236" w:rsidRPr="009642AA">
        <w:rPr>
          <w:iCs/>
          <w:szCs w:val="22"/>
        </w:rPr>
        <w:t xml:space="preserve"> 33 – 109) musí byť liečených počas dvoch rokov, aby sa zabránilo jednej chirurgickej intervencii.</w:t>
      </w:r>
    </w:p>
    <w:p w14:paraId="467C5E6F" w14:textId="77777777" w:rsidR="00EE6E72" w:rsidRDefault="00EE6E72" w:rsidP="00424E40">
      <w:pPr>
        <w:spacing w:line="240" w:lineRule="auto"/>
        <w:rPr>
          <w:iCs/>
          <w:szCs w:val="22"/>
        </w:rPr>
      </w:pPr>
    </w:p>
    <w:p w14:paraId="2C3FA935" w14:textId="77777777" w:rsidR="00EE6E72" w:rsidRDefault="009D1236" w:rsidP="00424E40">
      <w:pPr>
        <w:pStyle w:val="Nadpis5"/>
        <w:spacing w:before="0" w:line="240" w:lineRule="auto"/>
        <w:rPr>
          <w:rFonts w:ascii="Times New Roman" w:hAnsi="Times New Roman"/>
          <w:iCs/>
          <w:color w:val="auto"/>
          <w:szCs w:val="22"/>
        </w:rPr>
      </w:pPr>
      <w:r w:rsidRPr="009642AA">
        <w:rPr>
          <w:rFonts w:ascii="Times New Roman" w:hAnsi="Times New Roman"/>
          <w:iCs/>
          <w:color w:val="auto"/>
          <w:szCs w:val="22"/>
        </w:rPr>
        <w:t>Distribúcia vlasov</w:t>
      </w:r>
      <w:r w:rsidR="009E6D81">
        <w:rPr>
          <w:rFonts w:ascii="Times New Roman" w:hAnsi="Times New Roman"/>
          <w:iCs/>
          <w:color w:val="auto"/>
          <w:szCs w:val="22"/>
        </w:rPr>
        <w:t>:</w:t>
      </w:r>
    </w:p>
    <w:p w14:paraId="214B2AC6" w14:textId="77777777" w:rsidR="00EE6E72" w:rsidRDefault="009D1236" w:rsidP="00424E40">
      <w:pPr>
        <w:keepNext/>
        <w:keepLines/>
        <w:spacing w:line="240" w:lineRule="auto"/>
        <w:rPr>
          <w:iCs/>
          <w:szCs w:val="22"/>
        </w:rPr>
      </w:pPr>
      <w:r w:rsidRPr="009642AA">
        <w:rPr>
          <w:iCs/>
          <w:szCs w:val="22"/>
        </w:rPr>
        <w:t>Účinok dutasteridu na distribúciu vlasov sa počas fázy III programu formálne neskúmal, inhibítory 5</w:t>
      </w:r>
      <w:r w:rsidRPr="009642AA">
        <w:rPr>
          <w:iCs/>
          <w:szCs w:val="22"/>
        </w:rPr>
        <w:noBreakHyphen/>
        <w:t>alfa</w:t>
      </w:r>
      <w:r w:rsidRPr="009642AA">
        <w:rPr>
          <w:iCs/>
          <w:szCs w:val="22"/>
        </w:rPr>
        <w:noBreakHyphen/>
        <w:t xml:space="preserve">reduktázy však môžu znížiť vypadávanie vlasov a môžu vyvolať rast vlasov u osôb s mužským typom vypadávania vlasov </w:t>
      </w:r>
      <w:r w:rsidR="00783847">
        <w:rPr>
          <w:iCs/>
          <w:szCs w:val="22"/>
        </w:rPr>
        <w:t>u </w:t>
      </w:r>
      <w:r w:rsidRPr="009642AA">
        <w:rPr>
          <w:iCs/>
          <w:szCs w:val="22"/>
        </w:rPr>
        <w:t>muž</w:t>
      </w:r>
      <w:r w:rsidR="00783847">
        <w:rPr>
          <w:iCs/>
          <w:szCs w:val="22"/>
        </w:rPr>
        <w:t>ů s</w:t>
      </w:r>
      <w:r w:rsidRPr="009642AA">
        <w:rPr>
          <w:iCs/>
          <w:szCs w:val="22"/>
        </w:rPr>
        <w:t xml:space="preserve"> androgenetickou alopéciou.</w:t>
      </w:r>
    </w:p>
    <w:p w14:paraId="5BB4C392" w14:textId="77777777" w:rsidR="00EE6E72" w:rsidRDefault="00EE6E72" w:rsidP="00424E40">
      <w:pPr>
        <w:rPr>
          <w:szCs w:val="22"/>
        </w:rPr>
      </w:pPr>
    </w:p>
    <w:p w14:paraId="40BFA97B" w14:textId="77777777" w:rsidR="00EE6E72" w:rsidRDefault="009D1236" w:rsidP="00424E40">
      <w:pPr>
        <w:pStyle w:val="Zkladntext2"/>
        <w:keepNext/>
        <w:keepLines/>
        <w:spacing w:after="0" w:line="240" w:lineRule="auto"/>
        <w:rPr>
          <w:szCs w:val="22"/>
        </w:rPr>
      </w:pPr>
      <w:r w:rsidRPr="009B5E44">
        <w:rPr>
          <w:szCs w:val="22"/>
        </w:rPr>
        <w:t>Funkcia štítnej žľazy</w:t>
      </w:r>
      <w:r w:rsidR="009E6D81">
        <w:rPr>
          <w:szCs w:val="22"/>
        </w:rPr>
        <w:t>:</w:t>
      </w:r>
    </w:p>
    <w:p w14:paraId="13D5ADAD" w14:textId="77777777" w:rsidR="00EE6E72" w:rsidRDefault="009D1236" w:rsidP="00424E40">
      <w:pPr>
        <w:keepNext/>
        <w:keepLines/>
        <w:rPr>
          <w:szCs w:val="22"/>
        </w:rPr>
      </w:pPr>
      <w:r w:rsidRPr="009B5E44">
        <w:rPr>
          <w:szCs w:val="22"/>
        </w:rPr>
        <w:t>Funkcia štítnej žľazy u zdravých mužov bola vyhodnotená v jednoročnej štúdii. Hladiny voľného tyroxínu boli počas liečby dutasteridom stabilné, ale hladiny TSH boli na konci jednoročnej liečby v porovnaní s placebom mierne zvýšené (o 0,4 MCIU/ml). Hladiny TSH boli variabilné, ale priemerné rozsahy TSH (1,4 – 1,9 MCIU/ml) zostali v rámci normálnych limitov (0,5 – 5/6 MCIU/ml), hladiny voľného tyroxínu boli stabilné v rámci normálneho rozsahu a podobné v liečbe placebom a aj v liečbe dutasteridom, zmeny v TSH neboli považované za klinicky signifikantné. V klinických štúdiách sa nedokázal nepriaznivý vplyv dutasteridu na funkciu štítnej žľazy.</w:t>
      </w:r>
    </w:p>
    <w:p w14:paraId="07747F19" w14:textId="77777777" w:rsidR="00EE6E72" w:rsidRDefault="00EE6E72" w:rsidP="00424E40">
      <w:pPr>
        <w:rPr>
          <w:szCs w:val="22"/>
        </w:rPr>
      </w:pPr>
    </w:p>
    <w:p w14:paraId="1B3C8CDE" w14:textId="77777777" w:rsidR="00EE6E72" w:rsidRDefault="009D1236" w:rsidP="00424E40">
      <w:pPr>
        <w:rPr>
          <w:szCs w:val="22"/>
        </w:rPr>
      </w:pPr>
      <w:r w:rsidRPr="009B5E44">
        <w:rPr>
          <w:szCs w:val="22"/>
        </w:rPr>
        <w:t>Neoplázia prsníkov</w:t>
      </w:r>
      <w:r w:rsidR="009E6D81">
        <w:rPr>
          <w:szCs w:val="22"/>
        </w:rPr>
        <w:t>:</w:t>
      </w:r>
    </w:p>
    <w:p w14:paraId="7CF4EF9F" w14:textId="77777777" w:rsidR="00EE6E72" w:rsidRDefault="009D1236" w:rsidP="00424E40">
      <w:pPr>
        <w:rPr>
          <w:szCs w:val="22"/>
        </w:rPr>
      </w:pPr>
      <w:r w:rsidRPr="009B5E44">
        <w:rPr>
          <w:szCs w:val="22"/>
        </w:rPr>
        <w:lastRenderedPageBreak/>
        <w:t>V dvojročných klinických skúšaniach, ktoré poskytujú 3 374 pacientorokov expozície dutasteridu, a v čase registrácie v predĺženej dvojročnej otvorenej štúdii, boli hlásené 2 prípady mužskej rakoviny prsníka u pacientov liečených dutasteridom a 1 prípad u pacienta užívajúceho placebo. V 4</w:t>
      </w:r>
      <w:r w:rsidRPr="009B5E44">
        <w:rPr>
          <w:szCs w:val="22"/>
        </w:rPr>
        <w:noBreakHyphen/>
        <w:t>ročných klinických skúšaniach CombAT a REDUCE, ktoré poskytujú 17 489 pacientorokov expozície dutasteridu a 5 027 pacientorokov expozície kombinácii dutasteridu a tamsulozínu, neboli hlásené žiadne prípady rakoviny prsníka v žiadnej z liečebných skupín.</w:t>
      </w:r>
    </w:p>
    <w:p w14:paraId="5B9991D5" w14:textId="77777777" w:rsidR="00EE6E72" w:rsidRDefault="00EE6E72" w:rsidP="00424E40">
      <w:pPr>
        <w:rPr>
          <w:szCs w:val="22"/>
        </w:rPr>
      </w:pPr>
    </w:p>
    <w:p w14:paraId="2D7C87F3" w14:textId="2614A42F" w:rsidR="00EE6E72" w:rsidRDefault="009D1236" w:rsidP="00424E40">
      <w:pPr>
        <w:rPr>
          <w:szCs w:val="22"/>
        </w:rPr>
      </w:pPr>
      <w:r w:rsidRPr="009B5E44">
        <w:rPr>
          <w:szCs w:val="22"/>
        </w:rPr>
        <w:t>Dve</w:t>
      </w:r>
      <w:r w:rsidR="00D87456">
        <w:rPr>
          <w:szCs w:val="22"/>
        </w:rPr>
        <w:t xml:space="preserve"> prípadové kontrolné</w:t>
      </w:r>
      <w:r w:rsidRPr="009B5E44">
        <w:rPr>
          <w:szCs w:val="22"/>
        </w:rPr>
        <w:t xml:space="preserve"> epidemiologické štúdie, jedna sa vykonala s využitím údajov o zdravotnej starostlivosti z US databázy (n = 339 prípadov rakoviny prsníka a n = 6780 kontrol) a druhá z UK databázy (n = 398 prípadov rakoviny prsníka a n = 3 930 kontrol), nepreukázali zvýšenie rizika vzniku rakoviny prsníka u mužov pri užívaní 5 ARI (pozri časť 4.4). Výsledky prvej štúdie neodhalili pozitívnu súvislosť s rakovinou prsníka u mužov (relatívne riziko pri ≥ 1</w:t>
      </w:r>
      <w:r w:rsidRPr="009B5E44">
        <w:rPr>
          <w:szCs w:val="22"/>
        </w:rPr>
        <w:noBreakHyphen/>
        <w:t>ročnom používaní pred diagnostikovaním rakoviny prsníka v porovnaní s &lt; 1</w:t>
      </w:r>
      <w:r w:rsidRPr="009B5E44">
        <w:rPr>
          <w:szCs w:val="22"/>
        </w:rPr>
        <w:noBreakHyphen/>
        <w:t>ročným používaním: 0,70: 95 % IS: 0,34; 1,45). V druhej štúdii bol odhadovaný pomer rizík (odds ratio) pre rakovinu prsníka súvisiacu s užívaním 5 ARI v porovnaní s ich neužívaním: 1,08: 95 % IS: 0,62; 1,87).</w:t>
      </w:r>
    </w:p>
    <w:p w14:paraId="1D783A83" w14:textId="77777777" w:rsidR="00EE6E72" w:rsidRDefault="00EE6E72" w:rsidP="00424E40">
      <w:pPr>
        <w:rPr>
          <w:szCs w:val="22"/>
        </w:rPr>
      </w:pPr>
    </w:p>
    <w:p w14:paraId="28698723" w14:textId="77777777" w:rsidR="00EE6E72" w:rsidRDefault="009D1236" w:rsidP="00424E40">
      <w:pPr>
        <w:rPr>
          <w:szCs w:val="22"/>
        </w:rPr>
      </w:pPr>
      <w:r w:rsidRPr="009B5E44">
        <w:rPr>
          <w:szCs w:val="22"/>
        </w:rPr>
        <w:t>Príčinná súvislosť medzi výskytom rakoviny prsníka u mužov a dlhodobým používaním dutasteridu nebola stanovená.</w:t>
      </w:r>
    </w:p>
    <w:p w14:paraId="7372117E" w14:textId="77777777" w:rsidR="00EE6E72" w:rsidRDefault="00EE6E72" w:rsidP="00424E40">
      <w:pPr>
        <w:rPr>
          <w:szCs w:val="22"/>
        </w:rPr>
      </w:pPr>
    </w:p>
    <w:p w14:paraId="7A160F6C" w14:textId="77777777" w:rsidR="00EE6E72" w:rsidRDefault="009D1236" w:rsidP="00424E40">
      <w:pPr>
        <w:pStyle w:val="Zkladntext2"/>
        <w:keepNext/>
        <w:keepLines/>
        <w:spacing w:after="0" w:line="240" w:lineRule="auto"/>
        <w:rPr>
          <w:iCs/>
          <w:szCs w:val="22"/>
        </w:rPr>
      </w:pPr>
      <w:r w:rsidRPr="009B5E44">
        <w:rPr>
          <w:iCs/>
          <w:szCs w:val="22"/>
        </w:rPr>
        <w:t>Účinky na mužskú fertilitu</w:t>
      </w:r>
      <w:r w:rsidR="000B393D">
        <w:rPr>
          <w:iCs/>
          <w:szCs w:val="22"/>
        </w:rPr>
        <w:t>:</w:t>
      </w:r>
    </w:p>
    <w:p w14:paraId="3B5A9DCB" w14:textId="00EB60F1" w:rsidR="00EE6E72" w:rsidRDefault="009D1236" w:rsidP="00424E40">
      <w:pPr>
        <w:pStyle w:val="Zkladntext2"/>
        <w:keepNext/>
        <w:keepLines/>
        <w:spacing w:after="0" w:line="240" w:lineRule="auto"/>
        <w:rPr>
          <w:i/>
          <w:iCs/>
          <w:szCs w:val="22"/>
        </w:rPr>
      </w:pPr>
      <w:r w:rsidRPr="009B5E44">
        <w:rPr>
          <w:szCs w:val="22"/>
        </w:rPr>
        <w:t xml:space="preserve">Účinky dutasteridu v dávke 0,5 mg/deň na charakteristické vlastnosti spermy boli hodnotené u zdravých dobrovoľníkov vo veku 18 až 52 rokov (n = 27 pre dutasterid, n = 23 pre placebo) počas 52 týždňov liečby a 24 týždňov sledovania po liečbe. V 52. týždni bolo v skupine s dutasteridom priemerné percentuálne zníženie od bazálnych hodnôt v celkovom počte spermií 23 %, v objeme spermy 26 % a v motilite spermií 18 %, po prepočte na zmeny od bazálnych hodnôt v skupine s placebom. Koncentrácia spermií a morfológia spermií nebola ovplyvnená. Po 24 týždňoch sledovania zostala priemerná percentuálna zmena v celkovom počte spermií v skupine s dutasteridom o 23 % nižšia ako boli bazálne hodnoty. Zatiaľ čo priemerné hodnoty pre všetky parametre zostali vo všetkých časových bodoch v rámci normálnych rozsahov a nesplnili vopred definované kritériá pre klinicky významnú zmenu (30 %), dvaja </w:t>
      </w:r>
      <w:r w:rsidR="007C65FB">
        <w:rPr>
          <w:szCs w:val="22"/>
        </w:rPr>
        <w:t>účastníci</w:t>
      </w:r>
      <w:r w:rsidRPr="009B5E44">
        <w:rPr>
          <w:szCs w:val="22"/>
        </w:rPr>
        <w:t xml:space="preserve"> v skupine s dutasteridom mali v 52. týždni zníženia v počte spermií vyššie ako 90 % od bazálnych hodnôt, s čiastočným obnovením počas 24</w:t>
      </w:r>
      <w:r w:rsidRPr="009B5E44">
        <w:rPr>
          <w:szCs w:val="22"/>
        </w:rPr>
        <w:noBreakHyphen/>
        <w:t>týždňového sledovania. Možnosť zníženej mužskej fertility nie je možné vylúčiť.</w:t>
      </w:r>
    </w:p>
    <w:p w14:paraId="1E643C74" w14:textId="77777777" w:rsidR="00EE6E72" w:rsidRDefault="00EE6E72" w:rsidP="00424E40">
      <w:pPr>
        <w:spacing w:line="240" w:lineRule="auto"/>
        <w:rPr>
          <w:szCs w:val="22"/>
        </w:rPr>
      </w:pPr>
    </w:p>
    <w:p w14:paraId="06700177" w14:textId="77777777" w:rsidR="00EE6E72" w:rsidRDefault="009D1236" w:rsidP="00424E40">
      <w:pPr>
        <w:spacing w:line="240" w:lineRule="auto"/>
        <w:rPr>
          <w:szCs w:val="22"/>
        </w:rPr>
      </w:pPr>
      <w:r w:rsidRPr="009B5E44">
        <w:rPr>
          <w:szCs w:val="22"/>
        </w:rPr>
        <w:t>Kardiovaskulárne nežiaduce udalosti</w:t>
      </w:r>
      <w:r w:rsidR="000B393D">
        <w:rPr>
          <w:szCs w:val="22"/>
        </w:rPr>
        <w:t>:</w:t>
      </w:r>
    </w:p>
    <w:p w14:paraId="11F4E51C" w14:textId="1009FE03" w:rsidR="00EE6E72" w:rsidRDefault="009D1236" w:rsidP="00424E40">
      <w:pPr>
        <w:spacing w:line="240" w:lineRule="auto"/>
        <w:rPr>
          <w:szCs w:val="22"/>
        </w:rPr>
      </w:pPr>
      <w:r w:rsidRPr="009B5E44">
        <w:rPr>
          <w:szCs w:val="22"/>
        </w:rPr>
        <w:t>V štvorročnej štúdii BH</w:t>
      </w:r>
      <w:r w:rsidR="00B5136C">
        <w:rPr>
          <w:szCs w:val="22"/>
        </w:rPr>
        <w:t>P</w:t>
      </w:r>
      <w:r w:rsidRPr="009B5E44">
        <w:rPr>
          <w:szCs w:val="22"/>
        </w:rPr>
        <w:t xml:space="preserve"> s dutasteridom v kombinácii s tamsulozínom, ktorá bola vykonaná so 4 844 mužmi (štúdia CombAT), bola </w:t>
      </w:r>
      <w:r w:rsidRPr="009B5E44">
        <w:rPr>
          <w:bCs/>
          <w:iCs/>
          <w:szCs w:val="22"/>
        </w:rPr>
        <w:t xml:space="preserve">incidencia  zlyhávania </w:t>
      </w:r>
      <w:r w:rsidR="00D87456">
        <w:rPr>
          <w:bCs/>
          <w:iCs/>
          <w:szCs w:val="22"/>
        </w:rPr>
        <w:t xml:space="preserve">srdca </w:t>
      </w:r>
      <w:r w:rsidRPr="009B5E44">
        <w:rPr>
          <w:bCs/>
          <w:iCs/>
          <w:szCs w:val="22"/>
        </w:rPr>
        <w:t xml:space="preserve">ako kombinovaného termínu v skupine liečenej kombináciou </w:t>
      </w:r>
      <w:r w:rsidRPr="009B5E44">
        <w:rPr>
          <w:szCs w:val="22"/>
        </w:rPr>
        <w:t>(14/1 610; 0,9 %) vyššia než v skupinách liečených monoterapiou: d</w:t>
      </w:r>
      <w:r w:rsidRPr="009B5E44">
        <w:rPr>
          <w:iCs/>
          <w:szCs w:val="22"/>
          <w:lang w:eastAsia="en-GB"/>
        </w:rPr>
        <w:t>utasterid</w:t>
      </w:r>
      <w:r w:rsidRPr="009B5E44">
        <w:rPr>
          <w:szCs w:val="22"/>
        </w:rPr>
        <w:t xml:space="preserve"> (4/1 623; 0,2 %) a tamsulozín (10/1 611; 0,6 %).</w:t>
      </w:r>
    </w:p>
    <w:p w14:paraId="7B062375" w14:textId="77777777" w:rsidR="00EE6E72" w:rsidRDefault="00EE6E72" w:rsidP="00424E40">
      <w:pPr>
        <w:spacing w:line="240" w:lineRule="auto"/>
        <w:rPr>
          <w:szCs w:val="22"/>
        </w:rPr>
      </w:pPr>
    </w:p>
    <w:p w14:paraId="358B39DD" w14:textId="2919DEAB" w:rsidR="00EE6E72" w:rsidRDefault="009D1236" w:rsidP="00424E40">
      <w:pPr>
        <w:keepNext/>
        <w:keepLines/>
        <w:rPr>
          <w:szCs w:val="22"/>
          <w:lang w:eastAsia="en-GB"/>
        </w:rPr>
      </w:pPr>
      <w:r w:rsidRPr="009B5E44">
        <w:rPr>
          <w:szCs w:val="22"/>
        </w:rPr>
        <w:t>V samostatnej 4</w:t>
      </w:r>
      <w:r w:rsidRPr="009B5E44">
        <w:rPr>
          <w:szCs w:val="22"/>
        </w:rPr>
        <w:noBreakHyphen/>
        <w:t>ročnej štúdii s 8 231 mužmi vo veku 50 až 75 rokov, s predchádzajúcou negatívnou biopsiou overujúcou rakovinu prostaty a s bazálnou hodnotou PSA pohybujúcou sa medzi 2,5 ng/ml a 10,0 ng/ml v prípade 50</w:t>
      </w:r>
      <w:r w:rsidRPr="009B5E44">
        <w:rPr>
          <w:szCs w:val="22"/>
        </w:rPr>
        <w:noBreakHyphen/>
        <w:t> až 60</w:t>
      </w:r>
      <w:r w:rsidRPr="009B5E44">
        <w:rPr>
          <w:szCs w:val="22"/>
        </w:rPr>
        <w:noBreakHyphen/>
        <w:t xml:space="preserve">ročných mužov, alebo medzi 3 ng/ml a 10,0 ng/ml v prípade mužov starších ako 60 rokov (štúdia REDUCE), sa zistila vyššia incidencia  zlyhávania </w:t>
      </w:r>
      <w:r w:rsidR="00D87456">
        <w:rPr>
          <w:szCs w:val="22"/>
        </w:rPr>
        <w:t xml:space="preserve">srdca </w:t>
      </w:r>
      <w:r w:rsidRPr="009B5E44">
        <w:rPr>
          <w:szCs w:val="22"/>
        </w:rPr>
        <w:t>ako kombinovaného termínu u </w:t>
      </w:r>
      <w:r w:rsidR="007C65FB">
        <w:rPr>
          <w:szCs w:val="22"/>
        </w:rPr>
        <w:t>účastníkov</w:t>
      </w:r>
      <w:r w:rsidRPr="009B5E44">
        <w:rPr>
          <w:szCs w:val="22"/>
        </w:rPr>
        <w:t>, ktorí užívali 0,5 mg dutasteridu jedenkrát denne (30/4 105; 0,7 %) v porovnaní s </w:t>
      </w:r>
      <w:r w:rsidR="007C65FB">
        <w:rPr>
          <w:szCs w:val="22"/>
        </w:rPr>
        <w:t>účastníkmi</w:t>
      </w:r>
      <w:r w:rsidRPr="009B5E44">
        <w:rPr>
          <w:szCs w:val="22"/>
        </w:rPr>
        <w:t xml:space="preserve">, ktorí užívali placebo (16/4 126; 0,4 %). </w:t>
      </w:r>
      <w:r w:rsidRPr="009B5E44">
        <w:rPr>
          <w:i/>
          <w:iCs/>
          <w:szCs w:val="22"/>
        </w:rPr>
        <w:t>Post</w:t>
      </w:r>
      <w:r w:rsidRPr="009B5E44">
        <w:rPr>
          <w:i/>
          <w:iCs/>
          <w:szCs w:val="22"/>
        </w:rPr>
        <w:noBreakHyphen/>
        <w:t>hoc</w:t>
      </w:r>
      <w:r w:rsidRPr="009B5E44">
        <w:rPr>
          <w:szCs w:val="22"/>
        </w:rPr>
        <w:t xml:space="preserve"> analýza tejto štúdie preukázala vyššiu incidenciu  zlyhávania</w:t>
      </w:r>
      <w:r w:rsidR="006039AE">
        <w:rPr>
          <w:szCs w:val="22"/>
        </w:rPr>
        <w:t xml:space="preserve"> srdca</w:t>
      </w:r>
      <w:r w:rsidRPr="009B5E44">
        <w:rPr>
          <w:szCs w:val="22"/>
        </w:rPr>
        <w:t xml:space="preserve"> ako kombinovaného termínu u </w:t>
      </w:r>
      <w:r w:rsidR="007C65FB">
        <w:rPr>
          <w:szCs w:val="22"/>
        </w:rPr>
        <w:t>účastníkov</w:t>
      </w:r>
      <w:r w:rsidRPr="009B5E44">
        <w:rPr>
          <w:szCs w:val="22"/>
        </w:rPr>
        <w:t xml:space="preserve">, ktorí užívali </w:t>
      </w:r>
      <w:r w:rsidRPr="009B5E44">
        <w:rPr>
          <w:bCs/>
          <w:iCs/>
          <w:snapToGrid w:val="0"/>
          <w:szCs w:val="22"/>
        </w:rPr>
        <w:t xml:space="preserve">dutasterid </w:t>
      </w:r>
      <w:r w:rsidRPr="009B5E44">
        <w:rPr>
          <w:szCs w:val="22"/>
        </w:rPr>
        <w:t>a antagonistu alfa</w:t>
      </w:r>
      <w:r w:rsidRPr="009B5E44">
        <w:rPr>
          <w:szCs w:val="22"/>
          <w:vertAlign w:val="subscript"/>
        </w:rPr>
        <w:t>1</w:t>
      </w:r>
      <w:r w:rsidRPr="009B5E44">
        <w:rPr>
          <w:szCs w:val="22"/>
        </w:rPr>
        <w:noBreakHyphen/>
        <w:t xml:space="preserve">adrenergických receptorov súbežne </w:t>
      </w:r>
      <w:r w:rsidRPr="009B5E44">
        <w:rPr>
          <w:szCs w:val="22"/>
          <w:lang w:eastAsia="en-GB"/>
        </w:rPr>
        <w:t>(12/1 152</w:t>
      </w:r>
      <w:r w:rsidRPr="009B5E44">
        <w:rPr>
          <w:szCs w:val="22"/>
        </w:rPr>
        <w:t>;</w:t>
      </w:r>
      <w:r w:rsidRPr="009B5E44">
        <w:rPr>
          <w:szCs w:val="22"/>
          <w:lang w:eastAsia="en-GB"/>
        </w:rPr>
        <w:t xml:space="preserve"> 1,0 %)</w:t>
      </w:r>
      <w:r w:rsidRPr="009B5E44">
        <w:rPr>
          <w:szCs w:val="22"/>
        </w:rPr>
        <w:t>, v porovnaní s </w:t>
      </w:r>
      <w:r w:rsidR="007C65FB">
        <w:rPr>
          <w:szCs w:val="22"/>
        </w:rPr>
        <w:t>účastníkmi</w:t>
      </w:r>
      <w:r w:rsidRPr="009B5E44">
        <w:rPr>
          <w:szCs w:val="22"/>
        </w:rPr>
        <w:t>, ktorí užívali dutasterid a neužívali antagonistu alfa</w:t>
      </w:r>
      <w:r w:rsidRPr="009B5E44">
        <w:rPr>
          <w:szCs w:val="22"/>
          <w:vertAlign w:val="subscript"/>
        </w:rPr>
        <w:t>1</w:t>
      </w:r>
      <w:r w:rsidRPr="009B5E44">
        <w:rPr>
          <w:szCs w:val="22"/>
        </w:rPr>
        <w:noBreakHyphen/>
        <w:t xml:space="preserve">adrenergických receptorov </w:t>
      </w:r>
      <w:r w:rsidRPr="009B5E44">
        <w:rPr>
          <w:szCs w:val="22"/>
          <w:lang w:eastAsia="en-GB"/>
        </w:rPr>
        <w:t>(18/2 953</w:t>
      </w:r>
      <w:r w:rsidRPr="009B5E44">
        <w:rPr>
          <w:szCs w:val="22"/>
        </w:rPr>
        <w:t>;</w:t>
      </w:r>
      <w:r w:rsidRPr="009B5E44">
        <w:rPr>
          <w:szCs w:val="22"/>
          <w:lang w:eastAsia="en-GB"/>
        </w:rPr>
        <w:t xml:space="preserve"> 0,6 %), ktorí užívali placebo a</w:t>
      </w:r>
      <w:r w:rsidRPr="009B5E44">
        <w:rPr>
          <w:szCs w:val="22"/>
        </w:rPr>
        <w:t xml:space="preserve"> antagonistu</w:t>
      </w:r>
      <w:r w:rsidRPr="009B5E44">
        <w:rPr>
          <w:szCs w:val="22"/>
          <w:lang w:eastAsia="en-GB"/>
        </w:rPr>
        <w:t> alfa</w:t>
      </w:r>
      <w:r w:rsidRPr="009B5E44">
        <w:rPr>
          <w:szCs w:val="22"/>
          <w:vertAlign w:val="subscript"/>
          <w:lang w:eastAsia="en-GB"/>
        </w:rPr>
        <w:t>1</w:t>
      </w:r>
      <w:r w:rsidRPr="009B5E44">
        <w:rPr>
          <w:szCs w:val="22"/>
          <w:lang w:eastAsia="en-GB"/>
        </w:rPr>
        <w:noBreakHyphen/>
      </w:r>
      <w:r w:rsidRPr="009B5E44">
        <w:rPr>
          <w:szCs w:val="22"/>
        </w:rPr>
        <w:t xml:space="preserve">adrenergických receptorov </w:t>
      </w:r>
      <w:r w:rsidRPr="009B5E44">
        <w:rPr>
          <w:szCs w:val="22"/>
          <w:lang w:eastAsia="en-GB"/>
        </w:rPr>
        <w:t>(1/1 399</w:t>
      </w:r>
      <w:r w:rsidRPr="009B5E44">
        <w:rPr>
          <w:szCs w:val="22"/>
        </w:rPr>
        <w:t>;</w:t>
      </w:r>
      <w:r w:rsidRPr="009B5E44">
        <w:rPr>
          <w:szCs w:val="22"/>
          <w:lang w:eastAsia="en-GB"/>
        </w:rPr>
        <w:t xml:space="preserve"> &lt; 0,1 %), alebo ktorí užívali placebo a neužívali </w:t>
      </w:r>
      <w:r w:rsidRPr="009B5E44">
        <w:rPr>
          <w:szCs w:val="22"/>
        </w:rPr>
        <w:t>antagonistu</w:t>
      </w:r>
      <w:r w:rsidRPr="009B5E44">
        <w:rPr>
          <w:szCs w:val="22"/>
          <w:lang w:eastAsia="en-GB"/>
        </w:rPr>
        <w:t xml:space="preserve"> alfa</w:t>
      </w:r>
      <w:r w:rsidRPr="009B5E44">
        <w:rPr>
          <w:szCs w:val="22"/>
          <w:vertAlign w:val="subscript"/>
          <w:lang w:eastAsia="en-GB"/>
        </w:rPr>
        <w:t>1</w:t>
      </w:r>
      <w:r w:rsidRPr="009B5E44">
        <w:rPr>
          <w:szCs w:val="22"/>
          <w:lang w:eastAsia="en-GB"/>
        </w:rPr>
        <w:noBreakHyphen/>
      </w:r>
      <w:r w:rsidRPr="009B5E44">
        <w:rPr>
          <w:szCs w:val="22"/>
        </w:rPr>
        <w:t xml:space="preserve">adrenergických receptorov </w:t>
      </w:r>
      <w:r w:rsidRPr="009B5E44">
        <w:rPr>
          <w:szCs w:val="22"/>
          <w:lang w:eastAsia="en-GB"/>
        </w:rPr>
        <w:t>(15/2 727</w:t>
      </w:r>
      <w:r w:rsidRPr="009B5E44">
        <w:rPr>
          <w:szCs w:val="22"/>
        </w:rPr>
        <w:t>;</w:t>
      </w:r>
      <w:r w:rsidRPr="009B5E44">
        <w:rPr>
          <w:szCs w:val="22"/>
          <w:lang w:eastAsia="en-GB"/>
        </w:rPr>
        <w:t xml:space="preserve"> 0,6 %).</w:t>
      </w:r>
    </w:p>
    <w:p w14:paraId="39379E97" w14:textId="77777777" w:rsidR="00EE6E72" w:rsidRDefault="00EE6E72" w:rsidP="00424E40">
      <w:pPr>
        <w:rPr>
          <w:szCs w:val="22"/>
        </w:rPr>
      </w:pPr>
    </w:p>
    <w:p w14:paraId="25CBCF63" w14:textId="291B6E4E" w:rsidR="00EE6E72" w:rsidRDefault="009D1236" w:rsidP="00424E40">
      <w:pPr>
        <w:rPr>
          <w:szCs w:val="22"/>
        </w:rPr>
      </w:pPr>
      <w:r w:rsidRPr="009B5E44">
        <w:rPr>
          <w:szCs w:val="22"/>
        </w:rPr>
        <w:t xml:space="preserve">V metaanalýze 12 randomizovaných, placebom alebo komparátorom kontrolovaných klinických štúdií (n = 18 802), ktoré hodnotili riziko </w:t>
      </w:r>
      <w:r w:rsidR="006039AE">
        <w:rPr>
          <w:szCs w:val="22"/>
        </w:rPr>
        <w:t>vzniku</w:t>
      </w:r>
      <w:r w:rsidRPr="009B5E44">
        <w:rPr>
          <w:szCs w:val="22"/>
        </w:rPr>
        <w:t xml:space="preserve"> kardiovaskulárnych nežiaducich udalostí pri užívaní dutasteridu (v porovnaní s kontrolami), sa nezistilo konzistentné štatisticky významné zvýšenie rizika </w:t>
      </w:r>
      <w:r w:rsidRPr="009B5E44">
        <w:rPr>
          <w:szCs w:val="22"/>
        </w:rPr>
        <w:lastRenderedPageBreak/>
        <w:t xml:space="preserve">vzniku zlyhávania </w:t>
      </w:r>
      <w:r w:rsidR="006039AE">
        <w:rPr>
          <w:szCs w:val="22"/>
        </w:rPr>
        <w:t xml:space="preserve">srdca </w:t>
      </w:r>
      <w:r w:rsidRPr="009B5E44">
        <w:rPr>
          <w:szCs w:val="22"/>
        </w:rPr>
        <w:t>(RR 1,05; 95 % IS: 0,71; 1,57), akútneho infarktu myokardu (RR 1,00; 95 % IS: 0,77; 1,30) alebo cievnej mozgovej príhody (RR 1,20; 95 % IS: 0,88; 1,64).</w:t>
      </w:r>
    </w:p>
    <w:p w14:paraId="16DFDC37" w14:textId="77777777" w:rsidR="00EE6E72" w:rsidRDefault="00EE6E72" w:rsidP="00424E40">
      <w:pPr>
        <w:rPr>
          <w:szCs w:val="22"/>
        </w:rPr>
      </w:pPr>
    </w:p>
    <w:p w14:paraId="250FD5E4" w14:textId="77777777" w:rsidR="00EE6E72" w:rsidRDefault="009D1236" w:rsidP="00424E40">
      <w:pPr>
        <w:rPr>
          <w:szCs w:val="22"/>
        </w:rPr>
      </w:pPr>
      <w:r w:rsidRPr="009B5E44">
        <w:rPr>
          <w:szCs w:val="22"/>
        </w:rPr>
        <w:t>Rakovina prostaty a nádory vysokého stupňa</w:t>
      </w:r>
    </w:p>
    <w:p w14:paraId="6B8D503C" w14:textId="6EC25694" w:rsidR="00EE6E72" w:rsidRDefault="009D1236" w:rsidP="00424E40">
      <w:pPr>
        <w:rPr>
          <w:szCs w:val="22"/>
        </w:rPr>
      </w:pPr>
      <w:r w:rsidRPr="009B5E44">
        <w:rPr>
          <w:szCs w:val="22"/>
        </w:rPr>
        <w:t>V 4</w:t>
      </w:r>
      <w:r w:rsidRPr="009B5E44">
        <w:rPr>
          <w:szCs w:val="22"/>
        </w:rPr>
        <w:noBreakHyphen/>
        <w:t>ročnom porovnaní placeba a dutasteridu u 8 231 mužov vo veku 50 až 75 rokov, s predchádzajúcou negatívnou biopsiou overujúcou rakovinu prostaty a s bazálnou hodnotou PSA pohybujúcou sa medzi 2,5 ng/ml a 10,0 ng/ml v prípade 50</w:t>
      </w:r>
      <w:r w:rsidRPr="009B5E44">
        <w:rPr>
          <w:szCs w:val="22"/>
        </w:rPr>
        <w:noBreakHyphen/>
        <w:t> až 60</w:t>
      </w:r>
      <w:r w:rsidRPr="009B5E44">
        <w:rPr>
          <w:szCs w:val="22"/>
        </w:rPr>
        <w:noBreakHyphen/>
        <w:t>ročných mužov, alebo medzi 3 ng/ml a 10,0 ng/ml v prípade mužov starších ako 60 rokov (štúdia REDUCE), boli u 6 706 </w:t>
      </w:r>
      <w:r w:rsidR="007C65FB">
        <w:rPr>
          <w:szCs w:val="22"/>
        </w:rPr>
        <w:t>úč</w:t>
      </w:r>
      <w:r w:rsidR="00826BD1">
        <w:rPr>
          <w:szCs w:val="22"/>
        </w:rPr>
        <w:t>a</w:t>
      </w:r>
      <w:r w:rsidR="007C65FB">
        <w:rPr>
          <w:szCs w:val="22"/>
        </w:rPr>
        <w:t>stníkov</w:t>
      </w:r>
      <w:r w:rsidRPr="009B5E44">
        <w:rPr>
          <w:szCs w:val="22"/>
        </w:rPr>
        <w:t xml:space="preserve"> k dispozícii údaje o ihlovej biopsii prostaty (predovšetkým vyžiadanej protokolom) na analýzu zameranú na určenie Gleasonovho skóre. V tejto štúdii sa u 1 517 </w:t>
      </w:r>
      <w:r w:rsidR="007C65FB">
        <w:rPr>
          <w:szCs w:val="22"/>
        </w:rPr>
        <w:t>úč</w:t>
      </w:r>
      <w:r w:rsidR="00826BD1">
        <w:rPr>
          <w:szCs w:val="22"/>
        </w:rPr>
        <w:t>a</w:t>
      </w:r>
      <w:r w:rsidR="007C65FB">
        <w:rPr>
          <w:szCs w:val="22"/>
        </w:rPr>
        <w:t>stníkov</w:t>
      </w:r>
      <w:r w:rsidRPr="009B5E44">
        <w:rPr>
          <w:szCs w:val="22"/>
        </w:rPr>
        <w:t xml:space="preserve"> stanovila diagnóza rakoviny prostaty. Väčšina karcinómov prostaty detegovateľných biopsiou v oboch liečebných skupinách bola diagnostikovaná ako karcinómy nízkeho stupňa (Gleasonovo skóre 5 – 6; 70 %).</w:t>
      </w:r>
    </w:p>
    <w:p w14:paraId="274C07C8" w14:textId="77777777" w:rsidR="00EE6E72" w:rsidRDefault="00EE6E72" w:rsidP="00424E40">
      <w:pPr>
        <w:rPr>
          <w:szCs w:val="22"/>
        </w:rPr>
      </w:pPr>
    </w:p>
    <w:p w14:paraId="2AD35268" w14:textId="0CC6F06C" w:rsidR="00EE6E72" w:rsidRDefault="009D1236" w:rsidP="00424E40">
      <w:pPr>
        <w:rPr>
          <w:szCs w:val="22"/>
        </w:rPr>
      </w:pPr>
      <w:r w:rsidRPr="009B5E44">
        <w:rPr>
          <w:szCs w:val="22"/>
        </w:rPr>
        <w:t>Zaznamenala sa vyššia incidencia karcinómov prostaty s Gleasonovým skóre 8 – 10 v skupine s dutasteridom (n = 29; 0,9 %) v porovnaní so skupinou s placebom (n = 19; 0,6 %) (p = 0,15). V 1. </w:t>
      </w:r>
      <w:r w:rsidRPr="009B5E44">
        <w:rPr>
          <w:szCs w:val="22"/>
        </w:rPr>
        <w:noBreakHyphen/>
        <w:t xml:space="preserve"> 2. roku liečby bol počet </w:t>
      </w:r>
      <w:r w:rsidR="007C65FB">
        <w:rPr>
          <w:szCs w:val="22"/>
        </w:rPr>
        <w:t>úč</w:t>
      </w:r>
      <w:r w:rsidR="00EE6E72">
        <w:rPr>
          <w:szCs w:val="22"/>
        </w:rPr>
        <w:t>a</w:t>
      </w:r>
      <w:r w:rsidR="007C65FB">
        <w:rPr>
          <w:szCs w:val="22"/>
        </w:rPr>
        <w:t>stníkov</w:t>
      </w:r>
      <w:r w:rsidRPr="009B5E44">
        <w:rPr>
          <w:szCs w:val="22"/>
        </w:rPr>
        <w:t xml:space="preserve"> s karcinómami s Gleasonovým skóre 8 – 10 v skupine s dutasteridom (n = 17; 0,5 %) a v skupine s placebom (n = 18; 0,5 %) podobný. V 3. </w:t>
      </w:r>
      <w:r w:rsidRPr="009B5E44">
        <w:rPr>
          <w:szCs w:val="22"/>
        </w:rPr>
        <w:noBreakHyphen/>
        <w:t> 4. roku liečby sa diagnostikoval vyšší počet karcinómov s Gleasonovým skóre 8 </w:t>
      </w:r>
      <w:r w:rsidRPr="009B5E44">
        <w:rPr>
          <w:szCs w:val="22"/>
        </w:rPr>
        <w:noBreakHyphen/>
        <w:t> 10 v skupine s d</w:t>
      </w:r>
      <w:r w:rsidRPr="009B5E44">
        <w:rPr>
          <w:bCs/>
          <w:iCs/>
          <w:snapToGrid w:val="0"/>
          <w:szCs w:val="22"/>
        </w:rPr>
        <w:t xml:space="preserve">utasteridom </w:t>
      </w:r>
      <w:r w:rsidRPr="009B5E44">
        <w:rPr>
          <w:szCs w:val="22"/>
        </w:rPr>
        <w:t xml:space="preserve">(n = 12; 0,5 %) v porovnaní so skupinou s placebom (n = 1; &lt; 0,1 %) (p = 0,0035). K dispozícii nie sú údaje o vplyve dutasteridu po 4 rokoch liečby u mužov s rizikom vzniku rakoviny prostaty. Percento </w:t>
      </w:r>
      <w:r w:rsidR="007C65FB">
        <w:rPr>
          <w:szCs w:val="22"/>
        </w:rPr>
        <w:t>úč</w:t>
      </w:r>
      <w:r w:rsidR="00EE6E72">
        <w:rPr>
          <w:szCs w:val="22"/>
        </w:rPr>
        <w:t>a</w:t>
      </w:r>
      <w:r w:rsidR="007C65FB">
        <w:rPr>
          <w:szCs w:val="22"/>
        </w:rPr>
        <w:t>stníkov</w:t>
      </w:r>
      <w:r w:rsidRPr="009B5E44">
        <w:rPr>
          <w:szCs w:val="22"/>
        </w:rPr>
        <w:t>, ktorí mali diagnostikovaný karcinóm s Gleasonovým skóre 8 </w:t>
      </w:r>
      <w:r w:rsidRPr="009B5E44">
        <w:rPr>
          <w:szCs w:val="22"/>
        </w:rPr>
        <w:noBreakHyphen/>
        <w:t> 10, bolo v rámci časových období štúdie (1. </w:t>
      </w:r>
      <w:r w:rsidRPr="009B5E44">
        <w:rPr>
          <w:szCs w:val="22"/>
        </w:rPr>
        <w:noBreakHyphen/>
        <w:t> 2. rok a 3. </w:t>
      </w:r>
      <w:r w:rsidRPr="009B5E44">
        <w:rPr>
          <w:szCs w:val="22"/>
        </w:rPr>
        <w:noBreakHyphen/>
        <w:t xml:space="preserve"> 4. rok) zhodné v skupine s dutasteridom (0,5 % v každom časovom období), kým v skupine s placebom bolo percento </w:t>
      </w:r>
      <w:r w:rsidR="007C65FB">
        <w:rPr>
          <w:szCs w:val="22"/>
        </w:rPr>
        <w:t>účastníkov</w:t>
      </w:r>
      <w:r w:rsidRPr="009B5E44">
        <w:rPr>
          <w:szCs w:val="22"/>
        </w:rPr>
        <w:t>, ktorí mali diagnostikovaný karcinóm s Gleasonovým skóre 8 – 10, nižšie v priebehu 3. - 4. roku ako v priebehu 1. </w:t>
      </w:r>
      <w:r w:rsidRPr="009B5E44">
        <w:rPr>
          <w:szCs w:val="22"/>
        </w:rPr>
        <w:noBreakHyphen/>
        <w:t> 2. roku (&lt; 0,1 % oproti 0,5 %, v uvedenom poradí) (pozri časť 4.4). V incidencii karcinómov s Gleasonovým skóre 7 – 10 sa nezistil žiaden rozdiel (p = 0,81).</w:t>
      </w:r>
    </w:p>
    <w:p w14:paraId="080D35F4" w14:textId="77777777" w:rsidR="00EE6E72" w:rsidRDefault="00EE6E72" w:rsidP="00424E40">
      <w:pPr>
        <w:rPr>
          <w:szCs w:val="22"/>
        </w:rPr>
      </w:pPr>
    </w:p>
    <w:p w14:paraId="7DDB80C4" w14:textId="77777777" w:rsidR="00EE6E72" w:rsidRDefault="009D1236" w:rsidP="00424E40">
      <w:pPr>
        <w:rPr>
          <w:szCs w:val="22"/>
        </w:rPr>
      </w:pPr>
      <w:r w:rsidRPr="009B5E44">
        <w:rPr>
          <w:szCs w:val="22"/>
        </w:rPr>
        <w:t>V ďalšej 2</w:t>
      </w:r>
      <w:r w:rsidRPr="009B5E44">
        <w:rPr>
          <w:szCs w:val="22"/>
        </w:rPr>
        <w:noBreakHyphen/>
        <w:t>ročnej štúdii nadväzujúcej na klinické skúšanie REDUCE sa nezistili žiadne nové prípady karcinómov prostaty s Gleasonovým skóre 8 – 10.</w:t>
      </w:r>
    </w:p>
    <w:p w14:paraId="68E7E912" w14:textId="77777777" w:rsidR="00EE6E72" w:rsidRDefault="00EE6E72" w:rsidP="00424E40">
      <w:pPr>
        <w:rPr>
          <w:szCs w:val="22"/>
        </w:rPr>
      </w:pPr>
    </w:p>
    <w:p w14:paraId="23E539C6" w14:textId="6A62819E" w:rsidR="00EE6E72" w:rsidRDefault="009D1236" w:rsidP="00424E40">
      <w:pPr>
        <w:rPr>
          <w:szCs w:val="22"/>
        </w:rPr>
      </w:pPr>
      <w:r w:rsidRPr="009B5E44">
        <w:rPr>
          <w:szCs w:val="22"/>
        </w:rPr>
        <w:t>V 4</w:t>
      </w:r>
      <w:r w:rsidRPr="009B5E44">
        <w:rPr>
          <w:szCs w:val="22"/>
        </w:rPr>
        <w:noBreakHyphen/>
        <w:t>ročnej štúdii BH</w:t>
      </w:r>
      <w:r w:rsidR="00B5136C">
        <w:rPr>
          <w:szCs w:val="22"/>
        </w:rPr>
        <w:t>P</w:t>
      </w:r>
      <w:r w:rsidRPr="009B5E44">
        <w:rPr>
          <w:szCs w:val="22"/>
        </w:rPr>
        <w:t xml:space="preserve"> (CombAT), v rámci ktorej sa nerobili žiadne protokolom vyžiadané biopsie a všetky diagnózy rakoviny prostaty sa zakladali na </w:t>
      </w:r>
      <w:r w:rsidRPr="009B5E44">
        <w:rPr>
          <w:i/>
          <w:iCs/>
          <w:szCs w:val="22"/>
        </w:rPr>
        <w:t xml:space="preserve">for-cause </w:t>
      </w:r>
      <w:r w:rsidRPr="009B5E44">
        <w:rPr>
          <w:szCs w:val="22"/>
        </w:rPr>
        <w:t>(diagnostických) biopsiách, bol výskyt karcinómu s Gleasonovým skóre 8 – 10 pri dutasteride (n = 8; 0,5 %), pri tamsulo</w:t>
      </w:r>
      <w:r w:rsidR="00822123">
        <w:rPr>
          <w:szCs w:val="22"/>
        </w:rPr>
        <w:t>z</w:t>
      </w:r>
      <w:r w:rsidRPr="009B5E44">
        <w:rPr>
          <w:szCs w:val="22"/>
        </w:rPr>
        <w:t>íne (n = 11; 0,7 %) a pri kombinovanej liečbe (n = 5; 0,3 %).</w:t>
      </w:r>
    </w:p>
    <w:p w14:paraId="2BE6196D" w14:textId="77777777" w:rsidR="00EE6E72" w:rsidRDefault="00EE6E72" w:rsidP="00424E40">
      <w:pPr>
        <w:rPr>
          <w:szCs w:val="22"/>
        </w:rPr>
      </w:pPr>
    </w:p>
    <w:p w14:paraId="356A42CA" w14:textId="77777777" w:rsidR="00EE6E72" w:rsidRDefault="009D1236" w:rsidP="00424E40">
      <w:pPr>
        <w:rPr>
          <w:szCs w:val="22"/>
        </w:rPr>
      </w:pPr>
      <w:r w:rsidRPr="009B5E44">
        <w:rPr>
          <w:szCs w:val="22"/>
        </w:rPr>
        <w:t>Štyri rôzne epidemiologické populačné štúdie (dve z nich boli založené na celkovej populácii 174 895 osôb, jedna na populácii 13 892 osôb a jedna na populácii 38 058 osôb) ukázali, že užívanie inhibítorov 5</w:t>
      </w:r>
      <w:r w:rsidRPr="009B5E44">
        <w:rPr>
          <w:szCs w:val="22"/>
        </w:rPr>
        <w:noBreakHyphen/>
        <w:t>alfa</w:t>
      </w:r>
      <w:r w:rsidRPr="009B5E44">
        <w:rPr>
          <w:szCs w:val="22"/>
        </w:rPr>
        <w:noBreakHyphen/>
        <w:t>reduktázy nesúvisí s výskytom rakoviny prostaty vysokého stupňa, ani s rakovinou prostaty či s celkovou mortalitou.</w:t>
      </w:r>
    </w:p>
    <w:p w14:paraId="48911134" w14:textId="77777777" w:rsidR="00EE6E72" w:rsidRDefault="00EE6E72" w:rsidP="00424E40">
      <w:pPr>
        <w:rPr>
          <w:szCs w:val="22"/>
        </w:rPr>
      </w:pPr>
    </w:p>
    <w:p w14:paraId="004DDF39" w14:textId="77777777" w:rsidR="00EE6E72" w:rsidRDefault="009D1236" w:rsidP="00424E40">
      <w:pPr>
        <w:rPr>
          <w:szCs w:val="22"/>
        </w:rPr>
      </w:pPr>
      <w:r w:rsidRPr="009B5E44">
        <w:rPr>
          <w:szCs w:val="22"/>
        </w:rPr>
        <w:t>Súvislosť medzi dutasteridom a rakovinou prostaty vysokého stupňa nie je jasná.</w:t>
      </w:r>
    </w:p>
    <w:p w14:paraId="46792D54" w14:textId="77777777" w:rsidR="00EE6E72" w:rsidRDefault="00EE6E72" w:rsidP="00424E40">
      <w:pPr>
        <w:rPr>
          <w:szCs w:val="22"/>
        </w:rPr>
      </w:pPr>
    </w:p>
    <w:p w14:paraId="31CCBC05" w14:textId="77777777" w:rsidR="00EE6E72" w:rsidRDefault="009D1236" w:rsidP="00424E40">
      <w:pPr>
        <w:rPr>
          <w:rFonts w:eastAsia="Calibri"/>
          <w:szCs w:val="22"/>
        </w:rPr>
      </w:pPr>
      <w:r w:rsidRPr="009B5E44">
        <w:rPr>
          <w:rFonts w:eastAsia="Calibri"/>
          <w:szCs w:val="22"/>
        </w:rPr>
        <w:t>Účinky na sexuálne funkcie:</w:t>
      </w:r>
    </w:p>
    <w:p w14:paraId="1655DF24" w14:textId="60138401" w:rsidR="00EE6E72" w:rsidRDefault="009D1236" w:rsidP="00424E40">
      <w:pPr>
        <w:rPr>
          <w:rFonts w:eastAsia="Calibri"/>
          <w:szCs w:val="22"/>
        </w:rPr>
      </w:pPr>
      <w:r w:rsidRPr="009B5E44">
        <w:rPr>
          <w:rFonts w:eastAsia="Calibri"/>
          <w:szCs w:val="22"/>
        </w:rPr>
        <w:t xml:space="preserve">Účinky </w:t>
      </w:r>
      <w:r w:rsidR="006039AE">
        <w:rPr>
          <w:rFonts w:eastAsia="Calibri"/>
          <w:szCs w:val="22"/>
        </w:rPr>
        <w:t xml:space="preserve">dutasteridu/tamsulozínu </w:t>
      </w:r>
      <w:r w:rsidRPr="009B5E44">
        <w:rPr>
          <w:rFonts w:eastAsia="Calibri"/>
          <w:szCs w:val="22"/>
        </w:rPr>
        <w:t>na sexuálne funkcie sa hodnotili v dvojito zaslepenej, placebom kontrolovanej štúdii u sexuálne aktívnych mužov s BH</w:t>
      </w:r>
      <w:r w:rsidR="00B5136C">
        <w:rPr>
          <w:rFonts w:eastAsia="Calibri"/>
          <w:szCs w:val="22"/>
        </w:rPr>
        <w:t>P</w:t>
      </w:r>
      <w:r w:rsidRPr="009B5E44">
        <w:rPr>
          <w:rFonts w:eastAsia="Calibri"/>
          <w:szCs w:val="22"/>
        </w:rPr>
        <w:t xml:space="preserve"> (n=243 </w:t>
      </w:r>
      <w:r w:rsidR="00C4765B">
        <w:rPr>
          <w:noProof/>
          <w:szCs w:val="22"/>
        </w:rPr>
        <w:t>dutasterid/tam</w:t>
      </w:r>
      <w:r w:rsidR="00822123">
        <w:rPr>
          <w:noProof/>
          <w:szCs w:val="22"/>
        </w:rPr>
        <w:t>s</w:t>
      </w:r>
      <w:r w:rsidR="00C4765B">
        <w:rPr>
          <w:noProof/>
          <w:szCs w:val="22"/>
        </w:rPr>
        <w:t>ulo</w:t>
      </w:r>
      <w:r w:rsidR="00822123">
        <w:rPr>
          <w:noProof/>
          <w:szCs w:val="22"/>
        </w:rPr>
        <w:t>z</w:t>
      </w:r>
      <w:r w:rsidR="00E87482">
        <w:rPr>
          <w:noProof/>
          <w:szCs w:val="22"/>
        </w:rPr>
        <w:t>í</w:t>
      </w:r>
      <w:r w:rsidR="00C4765B">
        <w:rPr>
          <w:noProof/>
          <w:szCs w:val="22"/>
        </w:rPr>
        <w:t>n</w:t>
      </w:r>
      <w:r w:rsidRPr="009B5E44">
        <w:rPr>
          <w:rFonts w:eastAsia="Calibri"/>
          <w:szCs w:val="22"/>
        </w:rPr>
        <w:t>, n=246 placebo). V skupine s kombinovanou liečbou sa po 12 mesiacoch pozorovalo štatisticky významné (p</w:t>
      </w:r>
      <w:r w:rsidR="0079388D">
        <w:rPr>
          <w:rFonts w:eastAsia="Calibri"/>
          <w:szCs w:val="22"/>
        </w:rPr>
        <w:t xml:space="preserve"> </w:t>
      </w:r>
      <w:r w:rsidRPr="009B5E44">
        <w:rPr>
          <w:rFonts w:eastAsia="Calibri"/>
          <w:szCs w:val="22"/>
        </w:rPr>
        <w:t xml:space="preserve">&lt;0,001) väčšie zníženie (zhoršenie) skóre dotazníka sexuálneho zdravia mužov (Men’s Sexual Health Questionnaire, MSHQ). Zníženie skóre súviselo hlavne so zhoršením domén týkajúcich ejakulácie a celkovej spokojnosti a nie domén týkajúcich sa erekcie. Tieto účinky nemali vplyv na to, ako účastníci štúdie vnímali liečbu </w:t>
      </w:r>
      <w:r w:rsidR="00B32191">
        <w:rPr>
          <w:noProof/>
          <w:szCs w:val="22"/>
        </w:rPr>
        <w:t>dutasterid</w:t>
      </w:r>
      <w:r w:rsidR="006039AE">
        <w:rPr>
          <w:noProof/>
          <w:szCs w:val="22"/>
        </w:rPr>
        <w:t>om</w:t>
      </w:r>
      <w:r w:rsidR="00B32191">
        <w:rPr>
          <w:noProof/>
          <w:szCs w:val="22"/>
        </w:rPr>
        <w:t>/tam</w:t>
      </w:r>
      <w:r w:rsidR="00C21919">
        <w:rPr>
          <w:noProof/>
          <w:szCs w:val="22"/>
        </w:rPr>
        <w:t>z</w:t>
      </w:r>
      <w:r w:rsidR="00B32191">
        <w:rPr>
          <w:noProof/>
          <w:szCs w:val="22"/>
        </w:rPr>
        <w:t>ulo</w:t>
      </w:r>
      <w:r w:rsidR="006039AE">
        <w:rPr>
          <w:noProof/>
          <w:szCs w:val="22"/>
        </w:rPr>
        <w:t>zínom</w:t>
      </w:r>
      <w:r w:rsidRPr="009B5E44">
        <w:rPr>
          <w:rFonts w:eastAsia="Calibri"/>
          <w:szCs w:val="22"/>
        </w:rPr>
        <w:t>, ktorá bola počas celých 12 mesiacov hodnotená so štatisticky významnou väčšou spokojnosťou v porovnaní s placebom (p</w:t>
      </w:r>
      <w:r w:rsidR="00B94897">
        <w:rPr>
          <w:rFonts w:eastAsia="Calibri"/>
          <w:szCs w:val="22"/>
        </w:rPr>
        <w:t xml:space="preserve"> </w:t>
      </w:r>
      <w:r w:rsidRPr="009B5E44">
        <w:rPr>
          <w:rFonts w:eastAsia="Calibri"/>
          <w:szCs w:val="22"/>
        </w:rPr>
        <w:t>&lt;0,05). V tejto štúdii sa sexuálne nežiaduce udalosti vyskytli v priebehu 12 mesiacov liečby a približne polovica z nich odznela do 6 mesiacov po ukončení liečby.</w:t>
      </w:r>
    </w:p>
    <w:p w14:paraId="775E1AF4" w14:textId="77777777" w:rsidR="00EE6E72" w:rsidRDefault="00EE6E72" w:rsidP="00424E40">
      <w:pPr>
        <w:rPr>
          <w:rFonts w:eastAsia="Calibri"/>
          <w:szCs w:val="22"/>
        </w:rPr>
      </w:pPr>
    </w:p>
    <w:p w14:paraId="703CE94A" w14:textId="08D1009B" w:rsidR="00EE6E72" w:rsidRDefault="009D1236" w:rsidP="00424E40">
      <w:pPr>
        <w:rPr>
          <w:rFonts w:eastAsia="Calibri"/>
          <w:szCs w:val="22"/>
        </w:rPr>
      </w:pPr>
      <w:r w:rsidRPr="009B5E44">
        <w:rPr>
          <w:rFonts w:eastAsia="Calibri"/>
          <w:szCs w:val="22"/>
        </w:rPr>
        <w:t>Je známe, že kombinácia dutasterid</w:t>
      </w:r>
      <w:r w:rsidR="008E682B">
        <w:rPr>
          <w:rFonts w:eastAsia="Calibri"/>
          <w:szCs w:val="22"/>
        </w:rPr>
        <w:t>/</w:t>
      </w:r>
      <w:r w:rsidRPr="009B5E44">
        <w:rPr>
          <w:rFonts w:eastAsia="Calibri"/>
          <w:szCs w:val="22"/>
        </w:rPr>
        <w:t>tamsulozín a dutasterid v monoterapii spôsobujú nežiaduce účinky na sexuálne funkcie (pozri časť 4.8).</w:t>
      </w:r>
    </w:p>
    <w:p w14:paraId="6BCEB663" w14:textId="77777777" w:rsidR="00EE6E72" w:rsidRDefault="00EE6E72" w:rsidP="00424E40">
      <w:pPr>
        <w:rPr>
          <w:rFonts w:eastAsia="Calibri"/>
          <w:szCs w:val="22"/>
        </w:rPr>
      </w:pPr>
    </w:p>
    <w:p w14:paraId="7437F391" w14:textId="77777777" w:rsidR="00EE6E72" w:rsidRDefault="009D1236" w:rsidP="00424E40">
      <w:pPr>
        <w:rPr>
          <w:szCs w:val="22"/>
        </w:rPr>
      </w:pPr>
      <w:r w:rsidRPr="009B5E44">
        <w:rPr>
          <w:szCs w:val="22"/>
        </w:rPr>
        <w:t>Tak ako sa to pozorovalo v iných klinických štúdiách vrátane CombAT a REDUCE, výskyt nežiaducich udalostí súvisiacich so sexuálnymi funkciami sa pri pokračujúcej liečbe v priebehu času znižuje.</w:t>
      </w:r>
    </w:p>
    <w:p w14:paraId="2187E868" w14:textId="77777777" w:rsidR="00EE6E72" w:rsidRDefault="00EE6E72" w:rsidP="00424E40">
      <w:pPr>
        <w:rPr>
          <w:szCs w:val="22"/>
        </w:rPr>
      </w:pPr>
    </w:p>
    <w:p w14:paraId="75EB9274" w14:textId="77777777" w:rsidR="00EE6E72" w:rsidRDefault="009D1236" w:rsidP="00424E40">
      <w:pPr>
        <w:keepNext/>
        <w:rPr>
          <w:bCs/>
          <w:szCs w:val="22"/>
        </w:rPr>
      </w:pPr>
      <w:r w:rsidRPr="009B5E44">
        <w:rPr>
          <w:bCs/>
          <w:i/>
          <w:szCs w:val="22"/>
        </w:rPr>
        <w:t>Tamsulozín</w:t>
      </w:r>
    </w:p>
    <w:p w14:paraId="695E6094" w14:textId="77777777" w:rsidR="00EE6E72" w:rsidRDefault="009D1236" w:rsidP="00424E40">
      <w:pPr>
        <w:pStyle w:val="Zkladntext2"/>
        <w:overflowPunct w:val="0"/>
        <w:autoSpaceDE w:val="0"/>
        <w:autoSpaceDN w:val="0"/>
        <w:adjustRightInd w:val="0"/>
        <w:spacing w:line="240" w:lineRule="auto"/>
        <w:rPr>
          <w:szCs w:val="22"/>
        </w:rPr>
      </w:pPr>
      <w:r w:rsidRPr="009B5E44">
        <w:rPr>
          <w:szCs w:val="22"/>
        </w:rPr>
        <w:t>Tamsulozín zvyšuje maximálny prietok moču. Zmierňuje obštrukciu relaxáciou hladkého svalstva prostaty a uretry, a tým zlepšuje symptómy vyprázdňovania. Zlepšuje aj symptómy udržiavania moču, pri ktorom hrá dôležitú úlohu nestabilita močového mechúra. Tieto účinky na symptómy udržiavania moču a na vyprázdňovanie sa počas dlhodobej liečby uchovávajú. Potreba chirurgickej liečby alebo katetrizácia sa významne odďaľujú.</w:t>
      </w:r>
    </w:p>
    <w:p w14:paraId="64ABF218" w14:textId="77777777" w:rsidR="00EE6E72" w:rsidRDefault="009D1236" w:rsidP="00424E40">
      <w:pPr>
        <w:autoSpaceDE w:val="0"/>
        <w:autoSpaceDN w:val="0"/>
        <w:adjustRightInd w:val="0"/>
        <w:rPr>
          <w:bCs/>
          <w:szCs w:val="22"/>
        </w:rPr>
      </w:pPr>
      <w:r w:rsidRPr="009B5E44">
        <w:rPr>
          <w:bCs/>
          <w:szCs w:val="22"/>
        </w:rPr>
        <w:t>Antagonisty alfa</w:t>
      </w:r>
      <w:r w:rsidRPr="009B5E44">
        <w:rPr>
          <w:bCs/>
          <w:szCs w:val="22"/>
          <w:vertAlign w:val="subscript"/>
        </w:rPr>
        <w:t>1</w:t>
      </w:r>
      <w:r w:rsidRPr="009B5E44">
        <w:rPr>
          <w:bCs/>
          <w:szCs w:val="22"/>
        </w:rPr>
        <w:noBreakHyphen/>
        <w:t>adrenergických receptorov môžu znižovaním krvného tlaku znižovať periférnu rezistenciu. Počas štúdií s tamsulozínom sa nepozorovalo klinicky významné zníženie krvného tlaku.</w:t>
      </w:r>
    </w:p>
    <w:p w14:paraId="337364E0" w14:textId="77777777" w:rsidR="00EE6E72" w:rsidRDefault="00EE6E72" w:rsidP="00424E40">
      <w:pPr>
        <w:numPr>
          <w:ilvl w:val="12"/>
          <w:numId w:val="0"/>
        </w:numPr>
        <w:spacing w:line="240" w:lineRule="auto"/>
        <w:ind w:right="-2"/>
      </w:pPr>
    </w:p>
    <w:p w14:paraId="6CF1BD43" w14:textId="77777777" w:rsidR="00EE6E72" w:rsidRDefault="00B81AFC" w:rsidP="00424E40">
      <w:pPr>
        <w:keepNext/>
        <w:numPr>
          <w:ilvl w:val="1"/>
          <w:numId w:val="6"/>
        </w:numPr>
        <w:spacing w:line="240" w:lineRule="auto"/>
        <w:outlineLvl w:val="0"/>
        <w:rPr>
          <w:b/>
        </w:rPr>
      </w:pPr>
      <w:r w:rsidRPr="00BF5AB0">
        <w:rPr>
          <w:b/>
        </w:rPr>
        <w:t>Farmakokinetické vlastnosti</w:t>
      </w:r>
    </w:p>
    <w:p w14:paraId="10F6B605" w14:textId="77777777" w:rsidR="00EE6E72" w:rsidRDefault="00EE6E72" w:rsidP="00424E40">
      <w:pPr>
        <w:keepNext/>
        <w:spacing w:line="240" w:lineRule="auto"/>
        <w:ind w:left="567" w:hanging="567"/>
        <w:outlineLvl w:val="0"/>
      </w:pPr>
    </w:p>
    <w:p w14:paraId="63B188E6" w14:textId="77777777" w:rsidR="008E682B" w:rsidRPr="000B4C61" w:rsidRDefault="008E682B" w:rsidP="008E682B">
      <w:pPr>
        <w:autoSpaceDE w:val="0"/>
        <w:autoSpaceDN w:val="0"/>
        <w:adjustRightInd w:val="0"/>
        <w:rPr>
          <w:bCs/>
          <w:iCs/>
        </w:rPr>
      </w:pPr>
      <w:r w:rsidRPr="000B4C61">
        <w:rPr>
          <w:bCs/>
          <w:iCs/>
        </w:rPr>
        <w:t xml:space="preserve">Medzi </w:t>
      </w:r>
      <w:r>
        <w:rPr>
          <w:bCs/>
          <w:iCs/>
        </w:rPr>
        <w:t xml:space="preserve">kombináciou </w:t>
      </w:r>
      <w:r w:rsidRPr="000B4C61">
        <w:rPr>
          <w:bCs/>
          <w:iCs/>
        </w:rPr>
        <w:t>dutasterid</w:t>
      </w:r>
      <w:r>
        <w:rPr>
          <w:bCs/>
          <w:iCs/>
        </w:rPr>
        <w:t>u/</w:t>
      </w:r>
      <w:r w:rsidRPr="000B4C61">
        <w:rPr>
          <w:bCs/>
          <w:iCs/>
        </w:rPr>
        <w:t>tamsulozín</w:t>
      </w:r>
      <w:r>
        <w:rPr>
          <w:bCs/>
          <w:iCs/>
        </w:rPr>
        <w:t>u</w:t>
      </w:r>
      <w:r w:rsidRPr="000B4C61">
        <w:rPr>
          <w:bCs/>
          <w:iCs/>
        </w:rPr>
        <w:t xml:space="preserve"> a súbežným podávaním samo</w:t>
      </w:r>
      <w:r>
        <w:rPr>
          <w:bCs/>
          <w:iCs/>
        </w:rPr>
        <w:t xml:space="preserve">statných </w:t>
      </w:r>
      <w:r w:rsidRPr="000B4C61">
        <w:rPr>
          <w:bCs/>
          <w:iCs/>
        </w:rPr>
        <w:t xml:space="preserve">kapsúl </w:t>
      </w:r>
      <w:r>
        <w:rPr>
          <w:bCs/>
          <w:iCs/>
        </w:rPr>
        <w:t xml:space="preserve">s </w:t>
      </w:r>
      <w:r w:rsidRPr="000B4C61">
        <w:rPr>
          <w:bCs/>
          <w:iCs/>
        </w:rPr>
        <w:t>dutasterid</w:t>
      </w:r>
      <w:r>
        <w:rPr>
          <w:bCs/>
          <w:iCs/>
        </w:rPr>
        <w:t>om</w:t>
      </w:r>
      <w:r w:rsidRPr="000B4C61">
        <w:rPr>
          <w:bCs/>
          <w:iCs/>
        </w:rPr>
        <w:t xml:space="preserve"> a tamsulozín</w:t>
      </w:r>
      <w:r>
        <w:rPr>
          <w:bCs/>
          <w:iCs/>
        </w:rPr>
        <w:t>om</w:t>
      </w:r>
      <w:r w:rsidRPr="000B4C61">
        <w:rPr>
          <w:bCs/>
          <w:iCs/>
        </w:rPr>
        <w:t xml:space="preserve"> sa potvrdila bioekvivalencia.</w:t>
      </w:r>
    </w:p>
    <w:p w14:paraId="53AAAC01" w14:textId="77777777" w:rsidR="00EE6E72" w:rsidRDefault="00EE6E72" w:rsidP="00424E40">
      <w:pPr>
        <w:autoSpaceDE w:val="0"/>
        <w:autoSpaceDN w:val="0"/>
        <w:adjustRightInd w:val="0"/>
        <w:rPr>
          <w:bCs/>
          <w:iCs/>
          <w:szCs w:val="22"/>
        </w:rPr>
      </w:pPr>
    </w:p>
    <w:p w14:paraId="5595935B" w14:textId="073F7585" w:rsidR="00EE6E72" w:rsidRDefault="009D1236" w:rsidP="00424E40">
      <w:pPr>
        <w:autoSpaceDE w:val="0"/>
        <w:autoSpaceDN w:val="0"/>
        <w:adjustRightInd w:val="0"/>
        <w:rPr>
          <w:bCs/>
          <w:iCs/>
          <w:szCs w:val="22"/>
        </w:rPr>
      </w:pPr>
      <w:r w:rsidRPr="009B5E44">
        <w:rPr>
          <w:bCs/>
          <w:iCs/>
          <w:szCs w:val="22"/>
        </w:rPr>
        <w:t>Bioekvivalenčná štúdia s jednorazovou dávkou sa vykonala nalačno aj v stave nasýtenia. 30 % zníženie C</w:t>
      </w:r>
      <w:r w:rsidRPr="009B5E44">
        <w:rPr>
          <w:bCs/>
          <w:iCs/>
          <w:szCs w:val="22"/>
          <w:vertAlign w:val="subscript"/>
        </w:rPr>
        <w:t>max</w:t>
      </w:r>
      <w:r w:rsidRPr="009B5E44">
        <w:rPr>
          <w:bCs/>
          <w:iCs/>
          <w:szCs w:val="22"/>
        </w:rPr>
        <w:t xml:space="preserve"> sa pozorovalo pre tamsulozín, zložku dutasterid</w:t>
      </w:r>
      <w:r w:rsidR="008E682B">
        <w:rPr>
          <w:bCs/>
          <w:iCs/>
          <w:szCs w:val="22"/>
        </w:rPr>
        <w:t>u/</w:t>
      </w:r>
      <w:r w:rsidRPr="009B5E44">
        <w:rPr>
          <w:bCs/>
          <w:iCs/>
          <w:szCs w:val="22"/>
        </w:rPr>
        <w:t>tamsulozínu v stave nasýtenia v porovnaní so stavom nalačno. Jedlo nemá vplyv na AUC tamsulozínu.</w:t>
      </w:r>
    </w:p>
    <w:p w14:paraId="6642E099" w14:textId="77777777" w:rsidR="00EE6E72" w:rsidRDefault="00EE6E72" w:rsidP="00424E40">
      <w:pPr>
        <w:rPr>
          <w:szCs w:val="22"/>
        </w:rPr>
      </w:pPr>
    </w:p>
    <w:p w14:paraId="2EAF45EB" w14:textId="77777777" w:rsidR="00EE6E72" w:rsidRDefault="009D1236" w:rsidP="00424E40">
      <w:pPr>
        <w:pStyle w:val="Nadpis5"/>
        <w:spacing w:before="0" w:line="240" w:lineRule="auto"/>
        <w:rPr>
          <w:rFonts w:ascii="Times New Roman" w:hAnsi="Times New Roman"/>
          <w:iCs/>
          <w:color w:val="auto"/>
          <w:szCs w:val="22"/>
          <w:u w:val="single"/>
        </w:rPr>
      </w:pPr>
      <w:r w:rsidRPr="00CA2A7E">
        <w:rPr>
          <w:rFonts w:ascii="Times New Roman" w:hAnsi="Times New Roman"/>
          <w:iCs/>
          <w:color w:val="auto"/>
          <w:szCs w:val="22"/>
          <w:u w:val="single"/>
        </w:rPr>
        <w:t>Absorpcia</w:t>
      </w:r>
    </w:p>
    <w:p w14:paraId="151A1746" w14:textId="77777777" w:rsidR="00CA2A7E" w:rsidRPr="00CA2A7E" w:rsidRDefault="00CA2A7E" w:rsidP="00487B0F"/>
    <w:p w14:paraId="24FB962C" w14:textId="77777777" w:rsidR="00EE6E72" w:rsidRDefault="009D1236" w:rsidP="00424E40">
      <w:pPr>
        <w:spacing w:line="240" w:lineRule="auto"/>
        <w:rPr>
          <w:bCs/>
          <w:i/>
          <w:snapToGrid w:val="0"/>
          <w:szCs w:val="22"/>
        </w:rPr>
      </w:pPr>
      <w:r w:rsidRPr="00CA2A7E">
        <w:rPr>
          <w:bCs/>
          <w:i/>
          <w:snapToGrid w:val="0"/>
          <w:szCs w:val="22"/>
        </w:rPr>
        <w:t>Dutasterid</w:t>
      </w:r>
    </w:p>
    <w:p w14:paraId="62BCE33C" w14:textId="77777777" w:rsidR="00EE6E72" w:rsidRDefault="009D1236" w:rsidP="00424E40">
      <w:pPr>
        <w:pStyle w:val="Zkladntext2"/>
        <w:spacing w:line="240" w:lineRule="auto"/>
        <w:rPr>
          <w:iCs/>
          <w:szCs w:val="22"/>
        </w:rPr>
      </w:pPr>
      <w:r w:rsidRPr="00CA2A7E">
        <w:rPr>
          <w:iCs/>
          <w:szCs w:val="22"/>
        </w:rPr>
        <w:t>Po perorálnom podaní jednorazovej dávky 0,5 mg dutasteridu sú maximálne sérové koncentrácie dutasteridu dosiahnuté za 1 až 3 hodiny. Absolútna biologická dostupnosť je približne 60 %. Biologická dostupnosť dutasteridu nie je ovplyvnená jedlom.</w:t>
      </w:r>
    </w:p>
    <w:p w14:paraId="0366590E" w14:textId="77777777" w:rsidR="00EE6E72" w:rsidRDefault="00EE6E72" w:rsidP="00424E40">
      <w:pPr>
        <w:spacing w:line="240" w:lineRule="auto"/>
        <w:rPr>
          <w:iCs/>
          <w:szCs w:val="22"/>
        </w:rPr>
      </w:pPr>
    </w:p>
    <w:p w14:paraId="087322EA" w14:textId="77777777" w:rsidR="00EE6E72" w:rsidRDefault="009D1236" w:rsidP="00424E40">
      <w:pPr>
        <w:rPr>
          <w:i/>
          <w:iCs/>
          <w:szCs w:val="22"/>
        </w:rPr>
      </w:pPr>
      <w:r w:rsidRPr="0086362C">
        <w:rPr>
          <w:i/>
          <w:iCs/>
          <w:szCs w:val="22"/>
        </w:rPr>
        <w:t>Tamsulozín</w:t>
      </w:r>
    </w:p>
    <w:p w14:paraId="440F20A8" w14:textId="2472C829" w:rsidR="00EE6E72" w:rsidRDefault="009D1236" w:rsidP="00424E40">
      <w:pPr>
        <w:pStyle w:val="Zkladntext"/>
        <w:rPr>
          <w:szCs w:val="22"/>
        </w:rPr>
      </w:pPr>
      <w:r w:rsidRPr="009B5E44">
        <w:rPr>
          <w:szCs w:val="22"/>
        </w:rPr>
        <w:t xml:space="preserve">Tamsulozín sa vstrebáva z čriev a jeho biologická dostupnosť je takmer úplná. Rýchlosť aj rozsah absorpcie sa znižujú, ak sa užije v priebehu 30 minút po jedle. </w:t>
      </w:r>
      <w:r w:rsidR="008E682B">
        <w:rPr>
          <w:szCs w:val="22"/>
        </w:rPr>
        <w:t>Rovnomernosť</w:t>
      </w:r>
      <w:r w:rsidR="008E682B" w:rsidRPr="009B5E44">
        <w:rPr>
          <w:szCs w:val="22"/>
        </w:rPr>
        <w:t xml:space="preserve"> </w:t>
      </w:r>
      <w:r w:rsidRPr="009B5E44">
        <w:rPr>
          <w:szCs w:val="22"/>
        </w:rPr>
        <w:t xml:space="preserve">vstrebávania možno zlepšiť, ak pacient vždy užíva </w:t>
      </w:r>
      <w:r w:rsidR="001518EA">
        <w:rPr>
          <w:szCs w:val="22"/>
        </w:rPr>
        <w:t>Tedez</w:t>
      </w:r>
      <w:r w:rsidRPr="009B5E44">
        <w:rPr>
          <w:szCs w:val="22"/>
        </w:rPr>
        <w:t xml:space="preserve"> po tom istom jedle. </w:t>
      </w:r>
      <w:r w:rsidR="008E682B" w:rsidRPr="00120FA3">
        <w:t>Plazmatická expozícia tamsulozínu je úmerná dávke.</w:t>
      </w:r>
    </w:p>
    <w:p w14:paraId="1364A8F9" w14:textId="77777777" w:rsidR="00EE6E72" w:rsidRDefault="009D1236" w:rsidP="00424E40">
      <w:pPr>
        <w:rPr>
          <w:szCs w:val="22"/>
        </w:rPr>
      </w:pPr>
      <w:r w:rsidRPr="009B5E44">
        <w:rPr>
          <w:szCs w:val="22"/>
        </w:rPr>
        <w:t>Maximálne plazmatické hladiny sa dosahujú približne šesť hodín po jednorazovej dávke tamsulozínu užitej v stave nasýtenia a pri opakovanom podávaní sa rovnovážny stav dosiahne na 5. deň, keď je C</w:t>
      </w:r>
      <w:r w:rsidRPr="009B5E44">
        <w:rPr>
          <w:szCs w:val="22"/>
          <w:vertAlign w:val="subscript"/>
        </w:rPr>
        <w:t>max</w:t>
      </w:r>
      <w:r w:rsidRPr="009B5E44">
        <w:rPr>
          <w:szCs w:val="22"/>
        </w:rPr>
        <w:t xml:space="preserve"> u pacientov približne o dve tretiny vyššia než koncentrácia dosiahnutá po jednorazovej dávke. Hoci sa to pozorovalo iba u starších pacientov, rovnaké nálezy možno tiež očakávať aj u mladších pacientov.</w:t>
      </w:r>
    </w:p>
    <w:p w14:paraId="17B30711" w14:textId="77777777" w:rsidR="00EE6E72" w:rsidRDefault="00EE6E72" w:rsidP="00424E40">
      <w:pPr>
        <w:rPr>
          <w:szCs w:val="22"/>
        </w:rPr>
      </w:pPr>
    </w:p>
    <w:p w14:paraId="4A22C9E7" w14:textId="77777777" w:rsidR="00EE6E72" w:rsidRDefault="009D1236" w:rsidP="00424E40">
      <w:pPr>
        <w:pStyle w:val="Nadpis5"/>
        <w:spacing w:before="0" w:line="240" w:lineRule="auto"/>
        <w:rPr>
          <w:rFonts w:ascii="Times New Roman" w:hAnsi="Times New Roman"/>
          <w:iCs/>
          <w:color w:val="auto"/>
          <w:szCs w:val="22"/>
          <w:u w:val="single"/>
        </w:rPr>
      </w:pPr>
      <w:r w:rsidRPr="00F52BB2">
        <w:rPr>
          <w:rFonts w:ascii="Times New Roman" w:hAnsi="Times New Roman"/>
          <w:iCs/>
          <w:color w:val="auto"/>
          <w:szCs w:val="22"/>
          <w:u w:val="single"/>
        </w:rPr>
        <w:t>Distribúcia</w:t>
      </w:r>
    </w:p>
    <w:p w14:paraId="33A87BA2" w14:textId="77777777" w:rsidR="00EE6E72" w:rsidRDefault="00EE6E72" w:rsidP="00424E40">
      <w:pPr>
        <w:keepNext/>
        <w:keepLines/>
        <w:spacing w:line="240" w:lineRule="auto"/>
        <w:rPr>
          <w:bCs/>
          <w:iCs/>
          <w:snapToGrid w:val="0"/>
          <w:szCs w:val="22"/>
        </w:rPr>
      </w:pPr>
    </w:p>
    <w:p w14:paraId="619BD216" w14:textId="77777777" w:rsidR="00EE6E72" w:rsidRDefault="009D1236" w:rsidP="00424E40">
      <w:pPr>
        <w:keepNext/>
        <w:keepLines/>
        <w:spacing w:line="240" w:lineRule="auto"/>
        <w:rPr>
          <w:bCs/>
          <w:i/>
          <w:snapToGrid w:val="0"/>
          <w:szCs w:val="22"/>
        </w:rPr>
      </w:pPr>
      <w:r w:rsidRPr="00A657CB">
        <w:rPr>
          <w:bCs/>
          <w:i/>
          <w:snapToGrid w:val="0"/>
          <w:szCs w:val="22"/>
        </w:rPr>
        <w:t>Dutasterid</w:t>
      </w:r>
    </w:p>
    <w:p w14:paraId="31D786D6" w14:textId="77777777" w:rsidR="00EE6E72" w:rsidRDefault="009D1236" w:rsidP="00424E40">
      <w:pPr>
        <w:pStyle w:val="Zkladntext2"/>
        <w:keepNext/>
        <w:keepLines/>
        <w:spacing w:line="240" w:lineRule="auto"/>
        <w:rPr>
          <w:iCs/>
          <w:szCs w:val="22"/>
        </w:rPr>
      </w:pPr>
      <w:r w:rsidRPr="00F52BB2">
        <w:rPr>
          <w:iCs/>
          <w:szCs w:val="22"/>
        </w:rPr>
        <w:t>Dutasterid má veľký distribučný objem (300 až 500 l) a je vysoko viazaný na plazmatické proteíny (</w:t>
      </w:r>
      <w:r w:rsidRPr="00F52BB2">
        <w:rPr>
          <w:iCs/>
          <w:szCs w:val="22"/>
        </w:rPr>
        <w:sym w:font="Symbol" w:char="F03E"/>
      </w:r>
      <w:r w:rsidRPr="00F52BB2">
        <w:rPr>
          <w:iCs/>
          <w:szCs w:val="22"/>
        </w:rPr>
        <w:t> 99,5 %). Po dennom dávkovaní dosiahnu sérové koncentrácie dutasteridu 65 % rovnovážnej koncentrácie v sére po 1 mesiaci a približne 90 % po 3 mesiacoch.</w:t>
      </w:r>
    </w:p>
    <w:p w14:paraId="345C8859" w14:textId="77777777" w:rsidR="00EE6E72" w:rsidRDefault="009D1236" w:rsidP="00424E40">
      <w:pPr>
        <w:rPr>
          <w:szCs w:val="22"/>
        </w:rPr>
      </w:pPr>
      <w:r w:rsidRPr="009B5E44">
        <w:rPr>
          <w:szCs w:val="22"/>
        </w:rPr>
        <w:t>Rovnovážne koncentrácie v sére (C</w:t>
      </w:r>
      <w:r w:rsidRPr="009B5E44">
        <w:rPr>
          <w:szCs w:val="22"/>
          <w:vertAlign w:val="subscript"/>
        </w:rPr>
        <w:t>SS</w:t>
      </w:r>
      <w:r w:rsidRPr="009B5E44">
        <w:rPr>
          <w:szCs w:val="22"/>
        </w:rPr>
        <w:t>) v hodnote približne 40 ng/ml sa dosiahnu po 6 mesiacoch pri dávke 0,5 mg jedenkrát denne. Oddelenie dutasteridu zo séra do spermií bolo v priemere 11,5 %.</w:t>
      </w:r>
    </w:p>
    <w:p w14:paraId="5CE7988B" w14:textId="77777777" w:rsidR="00EE6E72" w:rsidRDefault="00EE6E72" w:rsidP="00424E40">
      <w:pPr>
        <w:rPr>
          <w:szCs w:val="22"/>
        </w:rPr>
      </w:pPr>
    </w:p>
    <w:p w14:paraId="3BD40103" w14:textId="77777777" w:rsidR="00EE6E72" w:rsidRDefault="009D1236" w:rsidP="00424E40">
      <w:pPr>
        <w:pStyle w:val="Zkladntext3"/>
        <w:keepNext/>
        <w:keepLines/>
        <w:rPr>
          <w:rFonts w:ascii="Times New Roman" w:hAnsi="Times New Roman"/>
          <w:i/>
          <w:iCs/>
          <w:color w:val="auto"/>
          <w:sz w:val="22"/>
          <w:szCs w:val="22"/>
        </w:rPr>
      </w:pPr>
      <w:r w:rsidRPr="00300753">
        <w:rPr>
          <w:rFonts w:ascii="Times New Roman" w:hAnsi="Times New Roman"/>
          <w:i/>
          <w:iCs/>
          <w:color w:val="auto"/>
          <w:sz w:val="22"/>
          <w:szCs w:val="22"/>
        </w:rPr>
        <w:lastRenderedPageBreak/>
        <w:t xml:space="preserve">Tamsulozín </w:t>
      </w:r>
    </w:p>
    <w:p w14:paraId="4F3794E0" w14:textId="77777777" w:rsidR="00EE6E72" w:rsidRDefault="009D1236" w:rsidP="00424E40">
      <w:pPr>
        <w:pStyle w:val="Zkladntext3"/>
        <w:keepNext/>
        <w:keepLines/>
        <w:rPr>
          <w:rFonts w:ascii="Times New Roman" w:hAnsi="Times New Roman"/>
          <w:color w:val="auto"/>
          <w:sz w:val="22"/>
          <w:szCs w:val="22"/>
        </w:rPr>
      </w:pPr>
      <w:r w:rsidRPr="009B5E44">
        <w:rPr>
          <w:rFonts w:ascii="Times New Roman" w:hAnsi="Times New Roman"/>
          <w:color w:val="auto"/>
          <w:sz w:val="22"/>
          <w:szCs w:val="22"/>
        </w:rPr>
        <w:t>U ľudí sa asi 99 % tamsulozínu viaže na plazmatické bielkoviny. Distribučný objem je nízky (približne 0,2 l/kg).</w:t>
      </w:r>
    </w:p>
    <w:p w14:paraId="2257257A" w14:textId="77777777" w:rsidR="00EE6E72" w:rsidRDefault="00EE6E72" w:rsidP="00424E40">
      <w:pPr>
        <w:rPr>
          <w:szCs w:val="22"/>
        </w:rPr>
      </w:pPr>
    </w:p>
    <w:p w14:paraId="04457378" w14:textId="77777777" w:rsidR="00EE6E72" w:rsidRDefault="009D1236" w:rsidP="00424E40">
      <w:pPr>
        <w:keepNext/>
        <w:keepLines/>
        <w:rPr>
          <w:szCs w:val="22"/>
          <w:u w:val="single"/>
        </w:rPr>
      </w:pPr>
      <w:r w:rsidRPr="009B5E44">
        <w:rPr>
          <w:szCs w:val="22"/>
          <w:u w:val="single"/>
        </w:rPr>
        <w:t>Biotransformácia</w:t>
      </w:r>
    </w:p>
    <w:p w14:paraId="776B7445" w14:textId="77777777" w:rsidR="00EE6E72" w:rsidRDefault="00EE6E72" w:rsidP="00424E40">
      <w:pPr>
        <w:keepNext/>
        <w:keepLines/>
        <w:rPr>
          <w:szCs w:val="22"/>
        </w:rPr>
      </w:pPr>
    </w:p>
    <w:p w14:paraId="70586550" w14:textId="77777777" w:rsidR="00EE6E72" w:rsidRDefault="009D1236" w:rsidP="00424E40">
      <w:pPr>
        <w:keepNext/>
        <w:keepLines/>
        <w:rPr>
          <w:bCs/>
          <w:i/>
          <w:snapToGrid w:val="0"/>
          <w:szCs w:val="22"/>
        </w:rPr>
      </w:pPr>
      <w:r w:rsidRPr="006A73F1">
        <w:rPr>
          <w:bCs/>
          <w:i/>
          <w:snapToGrid w:val="0"/>
          <w:szCs w:val="22"/>
        </w:rPr>
        <w:t>Dutasterid</w:t>
      </w:r>
    </w:p>
    <w:p w14:paraId="0A339DC9" w14:textId="77777777" w:rsidR="00EE6E72" w:rsidRDefault="009D1236" w:rsidP="00424E40">
      <w:pPr>
        <w:keepNext/>
        <w:keepLines/>
        <w:rPr>
          <w:szCs w:val="22"/>
        </w:rPr>
      </w:pPr>
      <w:r w:rsidRPr="009B5E44">
        <w:rPr>
          <w:szCs w:val="22"/>
        </w:rPr>
        <w:t xml:space="preserve">Dutasterid je v rozsiahlej miere metabolizovaný </w:t>
      </w:r>
      <w:r w:rsidRPr="009B5E44">
        <w:rPr>
          <w:i/>
          <w:szCs w:val="22"/>
        </w:rPr>
        <w:t xml:space="preserve">in vivo. In vitro </w:t>
      </w:r>
      <w:r w:rsidRPr="009B5E44">
        <w:rPr>
          <w:szCs w:val="22"/>
        </w:rPr>
        <w:t>je dutasterid metabolizovaný cytochrómom P450 3A4 a 3A5 na tri monohydroxylové metabolity a jeden dihydroxylový metabolit.</w:t>
      </w:r>
    </w:p>
    <w:p w14:paraId="7938D4E6" w14:textId="77777777" w:rsidR="00EE6E72" w:rsidRDefault="00EE6E72" w:rsidP="00424E40">
      <w:pPr>
        <w:keepNext/>
        <w:keepLines/>
        <w:rPr>
          <w:szCs w:val="22"/>
        </w:rPr>
      </w:pPr>
    </w:p>
    <w:p w14:paraId="144C7431" w14:textId="71BFA8F8" w:rsidR="00EE6E72" w:rsidRDefault="009D1236" w:rsidP="00424E40">
      <w:pPr>
        <w:rPr>
          <w:szCs w:val="22"/>
        </w:rPr>
      </w:pPr>
      <w:r w:rsidRPr="009B5E44">
        <w:rPr>
          <w:szCs w:val="22"/>
        </w:rPr>
        <w:t>Po perorálnej dávke dutasteridu 0,5 mg/deň do rovnovážneho stavu, sa 1,0 % až 15,4 % (5,4 % priemer) podanej dávky vylučuje vo forme nezmeneného dutasteridu stolicou. Zvyšok sa vylučuje stolicou vo forme 4 hlavných metabolitov, z ktorých každý obsahuje 39 %, 21 %, 7 % a 7 % látok súvisiacich s li</w:t>
      </w:r>
      <w:r w:rsidR="008E682B">
        <w:rPr>
          <w:szCs w:val="22"/>
        </w:rPr>
        <w:t>ečivom</w:t>
      </w:r>
      <w:r w:rsidRPr="009B5E44">
        <w:rPr>
          <w:szCs w:val="22"/>
        </w:rPr>
        <w:t xml:space="preserve"> a 6 vedľajších metabolitov (každý menej ako 5 %). V ľudskom moči sú </w:t>
      </w:r>
      <w:r w:rsidR="008E682B">
        <w:rPr>
          <w:szCs w:val="22"/>
        </w:rPr>
        <w:t>merateľné</w:t>
      </w:r>
      <w:r w:rsidR="008E682B" w:rsidRPr="009B5E44">
        <w:rPr>
          <w:szCs w:val="22"/>
        </w:rPr>
        <w:t xml:space="preserve"> </w:t>
      </w:r>
      <w:r w:rsidRPr="009B5E44">
        <w:rPr>
          <w:szCs w:val="22"/>
        </w:rPr>
        <w:t>len stopové množstvá nezmeneného dutasteridu (menej ako 0,1 % dávky).</w:t>
      </w:r>
    </w:p>
    <w:p w14:paraId="5412405C" w14:textId="77777777" w:rsidR="00EE6E72" w:rsidRDefault="00EE6E72" w:rsidP="00424E40">
      <w:pPr>
        <w:rPr>
          <w:szCs w:val="22"/>
        </w:rPr>
      </w:pPr>
    </w:p>
    <w:p w14:paraId="5B3BEAFA" w14:textId="77777777" w:rsidR="00EE6E72" w:rsidRDefault="009D1236" w:rsidP="00424E40">
      <w:pPr>
        <w:rPr>
          <w:i/>
          <w:iCs/>
          <w:szCs w:val="22"/>
        </w:rPr>
      </w:pPr>
      <w:r w:rsidRPr="006A73F1">
        <w:rPr>
          <w:i/>
          <w:iCs/>
          <w:szCs w:val="22"/>
        </w:rPr>
        <w:t>Tamsulozín</w:t>
      </w:r>
    </w:p>
    <w:p w14:paraId="24B265B1" w14:textId="4C0977C6" w:rsidR="00EE6E72" w:rsidRDefault="00A5681E" w:rsidP="00424E40">
      <w:pPr>
        <w:rPr>
          <w:bCs/>
          <w:iCs/>
          <w:szCs w:val="22"/>
        </w:rPr>
      </w:pPr>
      <w:r>
        <w:rPr>
          <w:bCs/>
          <w:iCs/>
          <w:szCs w:val="22"/>
        </w:rPr>
        <w:t>U ľudí nedochádza k </w:t>
      </w:r>
      <w:r w:rsidR="009D1236" w:rsidRPr="009B5E44">
        <w:rPr>
          <w:bCs/>
          <w:iCs/>
          <w:szCs w:val="22"/>
        </w:rPr>
        <w:t>biokonverzii</w:t>
      </w:r>
      <w:r w:rsidR="008E682B">
        <w:rPr>
          <w:bCs/>
          <w:iCs/>
          <w:szCs w:val="22"/>
        </w:rPr>
        <w:t xml:space="preserve"> enanatiomérov</w:t>
      </w:r>
      <w:r>
        <w:rPr>
          <w:bCs/>
          <w:iCs/>
          <w:szCs w:val="22"/>
        </w:rPr>
        <w:t xml:space="preserve"> </w:t>
      </w:r>
      <w:r w:rsidR="009D1236" w:rsidRPr="009B5E44">
        <w:rPr>
          <w:bCs/>
          <w:iCs/>
          <w:szCs w:val="22"/>
        </w:rPr>
        <w:t>tamsulozíniumchloridu [R(</w:t>
      </w:r>
      <w:r w:rsidR="009D1236" w:rsidRPr="009B5E44">
        <w:rPr>
          <w:bCs/>
          <w:iCs/>
          <w:szCs w:val="22"/>
        </w:rPr>
        <w:noBreakHyphen/>
        <w:t xml:space="preserve">) izomér] na S(+) izomér. Tamsulozíniumchlorid sa rýchlo metabolizuje prostredníctvom enzýmov cytochrómu P450 v pečeni a menej než 10 % dávky sa vylučuje </w:t>
      </w:r>
      <w:r w:rsidR="008E682B">
        <w:rPr>
          <w:bCs/>
          <w:iCs/>
          <w:szCs w:val="22"/>
        </w:rPr>
        <w:t xml:space="preserve">v </w:t>
      </w:r>
      <w:r w:rsidR="009D1236" w:rsidRPr="009B5E44">
        <w:rPr>
          <w:bCs/>
          <w:iCs/>
          <w:szCs w:val="22"/>
        </w:rPr>
        <w:t xml:space="preserve">nezmenenej </w:t>
      </w:r>
      <w:r w:rsidR="008E682B">
        <w:rPr>
          <w:bCs/>
          <w:iCs/>
          <w:szCs w:val="22"/>
        </w:rPr>
        <w:t xml:space="preserve">forme </w:t>
      </w:r>
      <w:r w:rsidR="009D1236" w:rsidRPr="009B5E44">
        <w:rPr>
          <w:bCs/>
          <w:iCs/>
          <w:szCs w:val="22"/>
        </w:rPr>
        <w:t xml:space="preserve">močom. Farmakokinetický profil metabolitov však nie je u ľudí stanovený. </w:t>
      </w:r>
      <w:r w:rsidR="009D1236" w:rsidRPr="009B5E44">
        <w:rPr>
          <w:bCs/>
          <w:i/>
          <w:iCs/>
          <w:szCs w:val="22"/>
        </w:rPr>
        <w:t>In vitro</w:t>
      </w:r>
      <w:r w:rsidR="009D1236" w:rsidRPr="009B5E44">
        <w:rPr>
          <w:bCs/>
          <w:iCs/>
          <w:szCs w:val="22"/>
        </w:rPr>
        <w:t xml:space="preserve"> výsledky naznačujú, že CYP3A4 a CYP2D6 sú zahrnuté v metabolizme tamsulozínu, ako aj spoluúčasť určitých iných menej významných izoenzýmov CYP. Inhibícia pečeňových enzýmov metabolizujúcich liečivá môže viesť k zvýšenej expozícii tamsulozínu (pozri časť 4.4 a 4.5). Metabolity tamsulozíniumchloridu podstupujú pred renálnou exkréciou rozsiahlu konjugáciu na glukuronidy alebo sulfáty.</w:t>
      </w:r>
    </w:p>
    <w:p w14:paraId="6AF40E37" w14:textId="77777777" w:rsidR="00EE6E72" w:rsidRDefault="00EE6E72" w:rsidP="00424E40">
      <w:pPr>
        <w:rPr>
          <w:bCs/>
          <w:iCs/>
          <w:szCs w:val="22"/>
        </w:rPr>
      </w:pPr>
    </w:p>
    <w:p w14:paraId="2FD248CC" w14:textId="77777777" w:rsidR="00EE6E72" w:rsidRDefault="009D1236" w:rsidP="00424E40">
      <w:pPr>
        <w:pStyle w:val="Nadpis5"/>
        <w:rPr>
          <w:rFonts w:ascii="Times New Roman" w:hAnsi="Times New Roman"/>
          <w:iCs/>
          <w:color w:val="auto"/>
          <w:szCs w:val="22"/>
          <w:u w:val="single"/>
        </w:rPr>
      </w:pPr>
      <w:r w:rsidRPr="00022336">
        <w:rPr>
          <w:rFonts w:ascii="Times New Roman" w:hAnsi="Times New Roman"/>
          <w:iCs/>
          <w:color w:val="auto"/>
          <w:szCs w:val="22"/>
          <w:u w:val="single"/>
        </w:rPr>
        <w:t>Eliminácia</w:t>
      </w:r>
    </w:p>
    <w:p w14:paraId="313F747B" w14:textId="77777777" w:rsidR="00EE6E72" w:rsidRDefault="00EE6E72" w:rsidP="00424E40">
      <w:pPr>
        <w:keepNext/>
        <w:keepLines/>
        <w:rPr>
          <w:iCs/>
          <w:szCs w:val="22"/>
        </w:rPr>
      </w:pPr>
    </w:p>
    <w:p w14:paraId="6A645944" w14:textId="77777777" w:rsidR="00EE6E72" w:rsidRDefault="009D1236" w:rsidP="00424E40">
      <w:pPr>
        <w:keepNext/>
        <w:keepLines/>
        <w:rPr>
          <w:bCs/>
          <w:i/>
          <w:snapToGrid w:val="0"/>
          <w:szCs w:val="22"/>
        </w:rPr>
      </w:pPr>
      <w:r w:rsidRPr="00022336">
        <w:rPr>
          <w:bCs/>
          <w:i/>
          <w:snapToGrid w:val="0"/>
          <w:szCs w:val="22"/>
        </w:rPr>
        <w:t>Dutasterid</w:t>
      </w:r>
    </w:p>
    <w:p w14:paraId="26C16397" w14:textId="13ECDA3D" w:rsidR="00EE6E72" w:rsidRDefault="009D1236" w:rsidP="00424E40">
      <w:pPr>
        <w:keepNext/>
        <w:keepLines/>
        <w:rPr>
          <w:szCs w:val="22"/>
        </w:rPr>
      </w:pPr>
      <w:r w:rsidRPr="009B5E44">
        <w:rPr>
          <w:szCs w:val="22"/>
        </w:rPr>
        <w:t xml:space="preserve">Eliminácia dutasteridu je závislá od dávky a </w:t>
      </w:r>
      <w:r w:rsidR="008E682B">
        <w:rPr>
          <w:szCs w:val="22"/>
        </w:rPr>
        <w:t>predpokladá</w:t>
      </w:r>
      <w:r w:rsidR="008E682B" w:rsidRPr="009B5E44">
        <w:rPr>
          <w:szCs w:val="22"/>
        </w:rPr>
        <w:t xml:space="preserve"> </w:t>
      </w:r>
      <w:r w:rsidRPr="009B5E44">
        <w:rPr>
          <w:szCs w:val="22"/>
        </w:rPr>
        <w:t>sa, že pre proces sú charakteristické dve paralelné eliminačné cesty, jedna je saturovateľná pri klinicky relevantných koncentráciách a jedna nie je saturovateľná. Pri nízkych sérových koncentráciách (menej ako 3 ng/ml) je dutasterid rýchlo odstránený oboma eliminačnými cestami, cestou závislou od koncentrácie a aj cestou nezávislou od koncentrácie. Pri jednorazových dávkach 5 mg alebo menej bol dokázaný rýchly klírens a krátky polčas 3 až 9 dní.</w:t>
      </w:r>
    </w:p>
    <w:p w14:paraId="6416622F" w14:textId="77777777" w:rsidR="00EE6E72" w:rsidRDefault="00EE6E72" w:rsidP="00424E40">
      <w:pPr>
        <w:rPr>
          <w:szCs w:val="22"/>
        </w:rPr>
      </w:pPr>
    </w:p>
    <w:p w14:paraId="49C1861B" w14:textId="77777777" w:rsidR="00EE6E72" w:rsidRDefault="009D1236" w:rsidP="00424E40">
      <w:pPr>
        <w:rPr>
          <w:szCs w:val="22"/>
        </w:rPr>
      </w:pPr>
      <w:r w:rsidRPr="009B5E44">
        <w:rPr>
          <w:szCs w:val="22"/>
        </w:rPr>
        <w:t>Pri terapeutických koncentráciách, po opakovanom podávaní 0,5 mg/deň, prevláda pomalšia, lineárna eliminačná cesta a polčas je približne 3 – 5 týždňov.</w:t>
      </w:r>
    </w:p>
    <w:p w14:paraId="20429C44" w14:textId="77777777" w:rsidR="00EE6E72" w:rsidRDefault="00EE6E72" w:rsidP="00424E40">
      <w:pPr>
        <w:rPr>
          <w:szCs w:val="22"/>
        </w:rPr>
      </w:pPr>
    </w:p>
    <w:p w14:paraId="3671AA1B" w14:textId="77777777" w:rsidR="00EE6E72" w:rsidRDefault="009D1236" w:rsidP="00424E40">
      <w:pPr>
        <w:pStyle w:val="Zkladntext2"/>
        <w:spacing w:after="0" w:line="240" w:lineRule="auto"/>
        <w:rPr>
          <w:i/>
          <w:iCs/>
          <w:szCs w:val="22"/>
        </w:rPr>
      </w:pPr>
      <w:r w:rsidRPr="00336BA6">
        <w:rPr>
          <w:i/>
          <w:iCs/>
          <w:szCs w:val="22"/>
        </w:rPr>
        <w:t>Tamsulozín</w:t>
      </w:r>
    </w:p>
    <w:p w14:paraId="419799A3" w14:textId="007D19F9" w:rsidR="00EE6E72" w:rsidRDefault="009D1236" w:rsidP="00424E40">
      <w:pPr>
        <w:pStyle w:val="Zkladntext2"/>
        <w:spacing w:after="0" w:line="240" w:lineRule="auto"/>
        <w:rPr>
          <w:szCs w:val="22"/>
        </w:rPr>
      </w:pPr>
      <w:r w:rsidRPr="009B5E44">
        <w:rPr>
          <w:szCs w:val="22"/>
        </w:rPr>
        <w:t xml:space="preserve">Tamsulozín </w:t>
      </w:r>
      <w:r w:rsidR="008E682B">
        <w:rPr>
          <w:szCs w:val="22"/>
        </w:rPr>
        <w:t>a</w:t>
      </w:r>
      <w:r w:rsidRPr="009B5E44">
        <w:rPr>
          <w:szCs w:val="22"/>
        </w:rPr>
        <w:t xml:space="preserve"> jeho metabolity sa vylučujú prevažne močom a približne 9 % dávky je prítomných v nezmenenej forme.</w:t>
      </w:r>
      <w:r w:rsidR="00233ED0">
        <w:rPr>
          <w:szCs w:val="22"/>
        </w:rPr>
        <w:t xml:space="preserve"> </w:t>
      </w:r>
    </w:p>
    <w:p w14:paraId="6FEDD528" w14:textId="77777777" w:rsidR="00EE6E72" w:rsidRDefault="00EE6E72" w:rsidP="00424E40">
      <w:pPr>
        <w:pStyle w:val="Zkladntext2"/>
        <w:spacing w:after="0" w:line="240" w:lineRule="auto"/>
        <w:rPr>
          <w:szCs w:val="22"/>
        </w:rPr>
      </w:pPr>
    </w:p>
    <w:p w14:paraId="121762A9" w14:textId="77777777" w:rsidR="00EE6E72" w:rsidRDefault="009D1236" w:rsidP="00424E40">
      <w:pPr>
        <w:pStyle w:val="Zkladntext2"/>
        <w:spacing w:after="0" w:line="240" w:lineRule="auto"/>
        <w:rPr>
          <w:szCs w:val="22"/>
        </w:rPr>
      </w:pPr>
      <w:r w:rsidRPr="009B5E44">
        <w:rPr>
          <w:szCs w:val="22"/>
        </w:rPr>
        <w:t>Po intravenóznom alebo perorálnom podávaní liekových foriem s okamžitým uvoľňovaním je eliminačný polčas tamsulozínu v plazme od 5 do 7 hodín. V dôsledku kontrolovanej farmakokinetiky rýchlosti absorpcie kapsúl tamsulozínu s riadeným uvoľňovaním je zdanlivý polčas vylučovania tamzulosínu v stave nasýtenia približne 10 hodín a v rovnovážnom stave približne 13 hodín.</w:t>
      </w:r>
    </w:p>
    <w:p w14:paraId="26309C14" w14:textId="77777777" w:rsidR="00EE6E72" w:rsidRDefault="00EE6E72" w:rsidP="00424E40">
      <w:pPr>
        <w:rPr>
          <w:i/>
          <w:szCs w:val="22"/>
        </w:rPr>
      </w:pPr>
    </w:p>
    <w:p w14:paraId="31E064F6" w14:textId="77777777" w:rsidR="00EE6E72" w:rsidRDefault="009D1236" w:rsidP="00424E40">
      <w:pPr>
        <w:keepNext/>
        <w:keepLines/>
        <w:rPr>
          <w:szCs w:val="22"/>
          <w:u w:val="single"/>
        </w:rPr>
      </w:pPr>
      <w:r w:rsidRPr="009B5E44">
        <w:rPr>
          <w:szCs w:val="22"/>
          <w:u w:val="single"/>
        </w:rPr>
        <w:lastRenderedPageBreak/>
        <w:t>Staršie osoby</w:t>
      </w:r>
    </w:p>
    <w:p w14:paraId="088E05F7" w14:textId="77777777" w:rsidR="00EE6E72" w:rsidRDefault="00EE6E72" w:rsidP="00424E40">
      <w:pPr>
        <w:keepNext/>
        <w:keepLines/>
        <w:rPr>
          <w:bCs/>
          <w:iCs/>
          <w:snapToGrid w:val="0"/>
          <w:szCs w:val="22"/>
        </w:rPr>
      </w:pPr>
    </w:p>
    <w:p w14:paraId="4B878AFA" w14:textId="77777777" w:rsidR="00EE6E72" w:rsidRDefault="009D1236" w:rsidP="00424E40">
      <w:pPr>
        <w:keepNext/>
        <w:keepLines/>
        <w:rPr>
          <w:bCs/>
          <w:i/>
          <w:snapToGrid w:val="0"/>
          <w:szCs w:val="22"/>
        </w:rPr>
      </w:pPr>
      <w:r w:rsidRPr="00B6481D">
        <w:rPr>
          <w:bCs/>
          <w:i/>
          <w:snapToGrid w:val="0"/>
          <w:szCs w:val="22"/>
        </w:rPr>
        <w:t>Dutasterid</w:t>
      </w:r>
    </w:p>
    <w:p w14:paraId="29EB8624" w14:textId="5A5A27B1" w:rsidR="00EE6E72" w:rsidRDefault="009D1236" w:rsidP="00424E40">
      <w:pPr>
        <w:pStyle w:val="Zkladntext2"/>
        <w:keepNext/>
        <w:keepLines/>
        <w:spacing w:after="0" w:line="240" w:lineRule="auto"/>
        <w:rPr>
          <w:szCs w:val="22"/>
        </w:rPr>
      </w:pPr>
      <w:r w:rsidRPr="009B5E44">
        <w:rPr>
          <w:szCs w:val="22"/>
        </w:rPr>
        <w:t xml:space="preserve">Farmakokinetické vlastnosti dutasteridu sa hodnotili u 36 zdravých mužov vo veku medzi 24 a 87 rokmi po podávaní jednorazovej  dávky </w:t>
      </w:r>
      <w:r w:rsidR="008E682B">
        <w:rPr>
          <w:szCs w:val="22"/>
        </w:rPr>
        <w:t xml:space="preserve">5 mg </w:t>
      </w:r>
      <w:r w:rsidRPr="009B5E44">
        <w:rPr>
          <w:szCs w:val="22"/>
        </w:rPr>
        <w:t>dutasteridu. Nebol pozorovaný žiadny signifikantný vplyv veku na expozíciu dutasteridu, ale u mužov mladších ako 50 rokov bol polčas kratší. Polčas nebol štatisticky rozdielny pri porovnaní skupiny 50</w:t>
      </w:r>
      <w:r w:rsidRPr="009B5E44">
        <w:rPr>
          <w:szCs w:val="22"/>
        </w:rPr>
        <w:noBreakHyphen/>
        <w:t> až 69</w:t>
      </w:r>
      <w:r w:rsidRPr="009B5E44">
        <w:rPr>
          <w:szCs w:val="22"/>
        </w:rPr>
        <w:noBreakHyphen/>
        <w:t>ročných so skupinou starších ako 70</w:t>
      </w:r>
      <w:r w:rsidRPr="009B5E44">
        <w:rPr>
          <w:szCs w:val="22"/>
        </w:rPr>
        <w:noBreakHyphen/>
        <w:t>ročných.</w:t>
      </w:r>
    </w:p>
    <w:p w14:paraId="4B85ED71" w14:textId="77777777" w:rsidR="00EE6E72" w:rsidRDefault="00EE6E72" w:rsidP="00424E40">
      <w:pPr>
        <w:spacing w:line="240" w:lineRule="auto"/>
        <w:rPr>
          <w:szCs w:val="22"/>
        </w:rPr>
      </w:pPr>
    </w:p>
    <w:p w14:paraId="6BF2E423" w14:textId="77777777" w:rsidR="00EE6E72" w:rsidRDefault="009D1236" w:rsidP="00424E40">
      <w:pPr>
        <w:keepNext/>
        <w:keepLines/>
        <w:rPr>
          <w:i/>
          <w:iCs/>
          <w:szCs w:val="22"/>
        </w:rPr>
      </w:pPr>
      <w:r w:rsidRPr="006D4369">
        <w:rPr>
          <w:i/>
          <w:iCs/>
          <w:szCs w:val="22"/>
        </w:rPr>
        <w:t>Tamsulozín</w:t>
      </w:r>
    </w:p>
    <w:p w14:paraId="6026F59E" w14:textId="6C7B1B73" w:rsidR="00EE6E72" w:rsidRDefault="009D1236" w:rsidP="00424E40">
      <w:pPr>
        <w:keepNext/>
        <w:keepLines/>
        <w:autoSpaceDE w:val="0"/>
        <w:autoSpaceDN w:val="0"/>
        <w:adjustRightInd w:val="0"/>
        <w:rPr>
          <w:bCs/>
          <w:iCs/>
          <w:szCs w:val="22"/>
        </w:rPr>
      </w:pPr>
      <w:r w:rsidRPr="009B5E44">
        <w:rPr>
          <w:bCs/>
          <w:iCs/>
          <w:szCs w:val="22"/>
        </w:rPr>
        <w:t xml:space="preserve">Skrížená štúdia porovnávajúca celkovú expozíciu tamsulozíniumchloridu (AUC) a polčas eliminácie naznačila, že farmakokinetika tamsulozíniumchloridu sa môže mierne predĺžiť u starších mužov v porovnaní s mladšími zdravými dobrovoľníkmi. Skutočný klírens nie je závislý od väzby tamsulozíniumchloridu na </w:t>
      </w:r>
      <w:r w:rsidR="00406E7C" w:rsidRPr="00406E7C">
        <w:rPr>
          <w:bCs/>
          <w:iCs/>
          <w:szCs w:val="22"/>
        </w:rPr>
        <w:t>alfa-1 kyslý glykoproteín</w:t>
      </w:r>
      <w:r w:rsidR="00406E7C">
        <w:rPr>
          <w:bCs/>
          <w:iCs/>
          <w:szCs w:val="22"/>
        </w:rPr>
        <w:t xml:space="preserve"> (</w:t>
      </w:r>
      <w:r w:rsidRPr="009B5E44">
        <w:rPr>
          <w:bCs/>
          <w:iCs/>
          <w:szCs w:val="22"/>
        </w:rPr>
        <w:t>AAG</w:t>
      </w:r>
      <w:r w:rsidR="00406E7C">
        <w:rPr>
          <w:bCs/>
          <w:iCs/>
          <w:szCs w:val="22"/>
        </w:rPr>
        <w:t>)</w:t>
      </w:r>
      <w:r w:rsidRPr="009B5E44">
        <w:rPr>
          <w:bCs/>
          <w:iCs/>
          <w:szCs w:val="22"/>
        </w:rPr>
        <w:t>, no klesá s vekom, čo vedie k 40 % celkovej vyššej expozícii (AUC) u </w:t>
      </w:r>
      <w:r w:rsidR="008E682B">
        <w:rPr>
          <w:bCs/>
          <w:iCs/>
          <w:szCs w:val="22"/>
        </w:rPr>
        <w:t>osôb</w:t>
      </w:r>
      <w:r w:rsidR="008E682B" w:rsidRPr="009B5E44">
        <w:rPr>
          <w:bCs/>
          <w:iCs/>
          <w:szCs w:val="22"/>
        </w:rPr>
        <w:t xml:space="preserve"> </w:t>
      </w:r>
      <w:r w:rsidRPr="009B5E44">
        <w:rPr>
          <w:bCs/>
          <w:iCs/>
          <w:szCs w:val="22"/>
        </w:rPr>
        <w:t>vo veku 55</w:t>
      </w:r>
      <w:r w:rsidRPr="009B5E44">
        <w:rPr>
          <w:szCs w:val="22"/>
        </w:rPr>
        <w:t> </w:t>
      </w:r>
      <w:r w:rsidRPr="009B5E44">
        <w:rPr>
          <w:bCs/>
          <w:iCs/>
          <w:szCs w:val="22"/>
        </w:rPr>
        <w:t>až</w:t>
      </w:r>
      <w:r w:rsidRPr="009B5E44">
        <w:rPr>
          <w:szCs w:val="22"/>
        </w:rPr>
        <w:t> </w:t>
      </w:r>
      <w:r w:rsidRPr="009B5E44">
        <w:rPr>
          <w:bCs/>
          <w:iCs/>
          <w:szCs w:val="22"/>
        </w:rPr>
        <w:t>75</w:t>
      </w:r>
      <w:r w:rsidRPr="009B5E44">
        <w:rPr>
          <w:szCs w:val="22"/>
        </w:rPr>
        <w:t> </w:t>
      </w:r>
      <w:r w:rsidRPr="009B5E44">
        <w:rPr>
          <w:bCs/>
          <w:iCs/>
          <w:szCs w:val="22"/>
        </w:rPr>
        <w:t>rokov v porovnaní s </w:t>
      </w:r>
      <w:r w:rsidR="008E682B">
        <w:rPr>
          <w:bCs/>
          <w:iCs/>
          <w:szCs w:val="22"/>
        </w:rPr>
        <w:t>osobami</w:t>
      </w:r>
      <w:r w:rsidR="008E682B" w:rsidRPr="009B5E44">
        <w:rPr>
          <w:bCs/>
          <w:iCs/>
          <w:szCs w:val="22"/>
        </w:rPr>
        <w:t xml:space="preserve"> </w:t>
      </w:r>
      <w:r w:rsidRPr="009B5E44">
        <w:rPr>
          <w:bCs/>
          <w:iCs/>
          <w:szCs w:val="22"/>
        </w:rPr>
        <w:t>vo veku 20</w:t>
      </w:r>
      <w:r w:rsidRPr="009B5E44">
        <w:rPr>
          <w:szCs w:val="22"/>
        </w:rPr>
        <w:t> </w:t>
      </w:r>
      <w:r w:rsidRPr="009B5E44">
        <w:rPr>
          <w:bCs/>
          <w:iCs/>
          <w:szCs w:val="22"/>
        </w:rPr>
        <w:t>až</w:t>
      </w:r>
      <w:r w:rsidRPr="009B5E44">
        <w:rPr>
          <w:szCs w:val="22"/>
        </w:rPr>
        <w:t> </w:t>
      </w:r>
      <w:r w:rsidRPr="009B5E44">
        <w:rPr>
          <w:bCs/>
          <w:iCs/>
          <w:szCs w:val="22"/>
        </w:rPr>
        <w:t>32</w:t>
      </w:r>
      <w:r w:rsidRPr="009B5E44">
        <w:rPr>
          <w:szCs w:val="22"/>
        </w:rPr>
        <w:t> </w:t>
      </w:r>
      <w:r w:rsidRPr="009B5E44">
        <w:rPr>
          <w:bCs/>
          <w:iCs/>
          <w:szCs w:val="22"/>
        </w:rPr>
        <w:t>rokov.</w:t>
      </w:r>
    </w:p>
    <w:p w14:paraId="51A9A59C" w14:textId="77777777" w:rsidR="00EE6E72" w:rsidRDefault="00EE6E72" w:rsidP="00424E40">
      <w:pPr>
        <w:rPr>
          <w:szCs w:val="22"/>
        </w:rPr>
      </w:pPr>
    </w:p>
    <w:p w14:paraId="74432B22" w14:textId="77777777" w:rsidR="00EE6E72" w:rsidRDefault="009D1236" w:rsidP="00424E40">
      <w:pPr>
        <w:pStyle w:val="Nadpis5"/>
        <w:rPr>
          <w:rFonts w:ascii="Times New Roman" w:hAnsi="Times New Roman"/>
          <w:iCs/>
          <w:color w:val="auto"/>
          <w:szCs w:val="22"/>
          <w:u w:val="single"/>
        </w:rPr>
      </w:pPr>
      <w:r w:rsidRPr="009524F4">
        <w:rPr>
          <w:rFonts w:ascii="Times New Roman" w:hAnsi="Times New Roman"/>
          <w:iCs/>
          <w:color w:val="auto"/>
          <w:szCs w:val="22"/>
          <w:u w:val="single"/>
        </w:rPr>
        <w:t>Porucha funkcie obličiek</w:t>
      </w:r>
    </w:p>
    <w:p w14:paraId="4FDAB2E8" w14:textId="77777777" w:rsidR="00EE6E72" w:rsidRDefault="00EE6E72" w:rsidP="00424E40">
      <w:pPr>
        <w:rPr>
          <w:szCs w:val="22"/>
        </w:rPr>
      </w:pPr>
    </w:p>
    <w:p w14:paraId="140E5C5B" w14:textId="77777777" w:rsidR="00EE6E72" w:rsidRDefault="009D1236" w:rsidP="00424E40">
      <w:pPr>
        <w:rPr>
          <w:bCs/>
          <w:i/>
          <w:snapToGrid w:val="0"/>
          <w:szCs w:val="22"/>
        </w:rPr>
      </w:pPr>
      <w:r w:rsidRPr="00AC3E1F">
        <w:rPr>
          <w:bCs/>
          <w:i/>
          <w:snapToGrid w:val="0"/>
          <w:szCs w:val="22"/>
        </w:rPr>
        <w:t>Dutasterid</w:t>
      </w:r>
    </w:p>
    <w:p w14:paraId="05F9BC05" w14:textId="77777777" w:rsidR="00EE6E72" w:rsidRDefault="009D1236" w:rsidP="00424E40">
      <w:pPr>
        <w:rPr>
          <w:szCs w:val="22"/>
        </w:rPr>
      </w:pPr>
      <w:r w:rsidRPr="009B5E44">
        <w:rPr>
          <w:szCs w:val="22"/>
        </w:rPr>
        <w:t>Vplyv poruchy funkcie obličiek na farmakokinetiku dutasteridu sa neskúmal. Menej ako 0,1 % 0,5 mg dávky dutasteridu v rovnovážnom stave je však izolované v ľudskom moči, a tak sa u pacientov s poruchou funkcie obličiek nepredpokladá žiadne klinicky signifikantné zvýšenie plazmatických koncentrácií dutasteridu (pozri časť 4.2).</w:t>
      </w:r>
    </w:p>
    <w:p w14:paraId="58AEBEB1" w14:textId="77777777" w:rsidR="00EE6E72" w:rsidRDefault="00EE6E72" w:rsidP="00424E40">
      <w:pPr>
        <w:rPr>
          <w:szCs w:val="22"/>
        </w:rPr>
      </w:pPr>
    </w:p>
    <w:p w14:paraId="42D672F4" w14:textId="77777777" w:rsidR="00EE6E72" w:rsidRDefault="009D1236" w:rsidP="00424E40">
      <w:pPr>
        <w:rPr>
          <w:i/>
          <w:iCs/>
          <w:szCs w:val="22"/>
        </w:rPr>
      </w:pPr>
      <w:r w:rsidRPr="00CB02FA">
        <w:rPr>
          <w:i/>
          <w:iCs/>
          <w:szCs w:val="22"/>
        </w:rPr>
        <w:t>Tamsulozín</w:t>
      </w:r>
    </w:p>
    <w:p w14:paraId="3804CEA3" w14:textId="2E97745A" w:rsidR="00EE6E72" w:rsidRDefault="009D1236" w:rsidP="00424E40">
      <w:pPr>
        <w:keepNext/>
        <w:rPr>
          <w:bCs/>
          <w:iCs/>
          <w:szCs w:val="22"/>
        </w:rPr>
      </w:pPr>
      <w:r w:rsidRPr="009B5E44">
        <w:rPr>
          <w:bCs/>
          <w:iCs/>
          <w:szCs w:val="22"/>
        </w:rPr>
        <w:t>Farmakokinetika tamsulozíniumchloridu sa porovnávala u</w:t>
      </w:r>
      <w:r w:rsidRPr="009B5E44">
        <w:rPr>
          <w:szCs w:val="22"/>
        </w:rPr>
        <w:t> </w:t>
      </w:r>
      <w:r w:rsidRPr="009B5E44">
        <w:rPr>
          <w:bCs/>
          <w:iCs/>
          <w:szCs w:val="22"/>
        </w:rPr>
        <w:t>6</w:t>
      </w:r>
      <w:r w:rsidRPr="009B5E44">
        <w:rPr>
          <w:szCs w:val="22"/>
        </w:rPr>
        <w:t> </w:t>
      </w:r>
      <w:r w:rsidR="008E682B">
        <w:rPr>
          <w:bCs/>
          <w:iCs/>
          <w:szCs w:val="22"/>
        </w:rPr>
        <w:t>osôb</w:t>
      </w:r>
      <w:r w:rsidR="008E682B" w:rsidRPr="009B5E44">
        <w:rPr>
          <w:bCs/>
          <w:iCs/>
          <w:szCs w:val="22"/>
        </w:rPr>
        <w:t xml:space="preserve"> </w:t>
      </w:r>
      <w:r w:rsidRPr="009B5E44">
        <w:rPr>
          <w:bCs/>
          <w:iCs/>
          <w:szCs w:val="22"/>
        </w:rPr>
        <w:t>s miern</w:t>
      </w:r>
      <w:r w:rsidR="008E682B">
        <w:rPr>
          <w:bCs/>
          <w:iCs/>
          <w:szCs w:val="22"/>
        </w:rPr>
        <w:t>ou</w:t>
      </w:r>
      <w:r w:rsidRPr="009B5E44">
        <w:rPr>
          <w:bCs/>
          <w:iCs/>
          <w:szCs w:val="22"/>
        </w:rPr>
        <w:t> </w:t>
      </w:r>
      <w:r w:rsidRPr="009B5E44">
        <w:rPr>
          <w:bCs/>
          <w:iCs/>
          <w:szCs w:val="22"/>
        </w:rPr>
        <w:noBreakHyphen/>
        <w:t xml:space="preserve"> stredne </w:t>
      </w:r>
      <w:r w:rsidR="008E682B">
        <w:rPr>
          <w:bCs/>
          <w:iCs/>
          <w:szCs w:val="22"/>
        </w:rPr>
        <w:t>závažnou</w:t>
      </w:r>
      <w:r w:rsidR="008E682B" w:rsidRPr="009B5E44">
        <w:rPr>
          <w:bCs/>
          <w:iCs/>
          <w:szCs w:val="22"/>
        </w:rPr>
        <w:t xml:space="preserve"> </w:t>
      </w:r>
      <w:r w:rsidRPr="009B5E44">
        <w:rPr>
          <w:bCs/>
          <w:iCs/>
          <w:szCs w:val="22"/>
        </w:rPr>
        <w:t>(30</w:t>
      </w:r>
      <w:r w:rsidRPr="009B5E44">
        <w:rPr>
          <w:szCs w:val="22"/>
        </w:rPr>
        <w:t> </w:t>
      </w:r>
      <w:r w:rsidRPr="009B5E44">
        <w:rPr>
          <w:bCs/>
          <w:iCs/>
          <w:szCs w:val="22"/>
        </w:rPr>
        <w:t>≤</w:t>
      </w:r>
      <w:r w:rsidRPr="009B5E44">
        <w:rPr>
          <w:szCs w:val="22"/>
        </w:rPr>
        <w:t> </w:t>
      </w:r>
      <w:r w:rsidRPr="009B5E44">
        <w:rPr>
          <w:bCs/>
          <w:iCs/>
          <w:szCs w:val="22"/>
        </w:rPr>
        <w:t>Cl</w:t>
      </w:r>
      <w:r w:rsidRPr="009B5E44">
        <w:rPr>
          <w:bCs/>
          <w:iCs/>
          <w:szCs w:val="22"/>
          <w:vertAlign w:val="subscript"/>
        </w:rPr>
        <w:t>cr</w:t>
      </w:r>
      <w:r w:rsidRPr="009B5E44">
        <w:rPr>
          <w:szCs w:val="22"/>
        </w:rPr>
        <w:t> </w:t>
      </w:r>
      <w:r w:rsidRPr="009B5E44">
        <w:rPr>
          <w:bCs/>
          <w:iCs/>
          <w:szCs w:val="22"/>
        </w:rPr>
        <w:t>&lt;</w:t>
      </w:r>
      <w:r w:rsidRPr="009B5E44">
        <w:rPr>
          <w:szCs w:val="22"/>
        </w:rPr>
        <w:t> </w:t>
      </w:r>
      <w:r w:rsidRPr="009B5E44">
        <w:rPr>
          <w:bCs/>
          <w:iCs/>
          <w:szCs w:val="22"/>
        </w:rPr>
        <w:t>70</w:t>
      </w:r>
      <w:r w:rsidRPr="009B5E44">
        <w:rPr>
          <w:szCs w:val="22"/>
        </w:rPr>
        <w:t> </w:t>
      </w:r>
      <w:r w:rsidRPr="009B5E44">
        <w:rPr>
          <w:bCs/>
          <w:iCs/>
          <w:szCs w:val="22"/>
        </w:rPr>
        <w:t>ml/min/1,73</w:t>
      </w:r>
      <w:r w:rsidRPr="009B5E44">
        <w:rPr>
          <w:szCs w:val="22"/>
        </w:rPr>
        <w:t> </w:t>
      </w:r>
      <w:r w:rsidRPr="009B5E44">
        <w:rPr>
          <w:bCs/>
          <w:iCs/>
          <w:szCs w:val="22"/>
        </w:rPr>
        <w:t>m</w:t>
      </w:r>
      <w:r w:rsidRPr="009B5E44">
        <w:rPr>
          <w:bCs/>
          <w:iCs/>
          <w:szCs w:val="22"/>
          <w:vertAlign w:val="superscript"/>
        </w:rPr>
        <w:t>2</w:t>
      </w:r>
      <w:r w:rsidRPr="009B5E44">
        <w:rPr>
          <w:bCs/>
          <w:iCs/>
          <w:szCs w:val="22"/>
        </w:rPr>
        <w:t xml:space="preserve">) alebo stredne </w:t>
      </w:r>
      <w:r w:rsidR="008E682B">
        <w:rPr>
          <w:bCs/>
          <w:iCs/>
          <w:szCs w:val="22"/>
        </w:rPr>
        <w:t>závažnou</w:t>
      </w:r>
      <w:r w:rsidRPr="009B5E44">
        <w:rPr>
          <w:bCs/>
          <w:iCs/>
          <w:szCs w:val="22"/>
        </w:rPr>
        <w:t> </w:t>
      </w:r>
      <w:r w:rsidRPr="009B5E44">
        <w:rPr>
          <w:bCs/>
          <w:iCs/>
          <w:szCs w:val="22"/>
        </w:rPr>
        <w:noBreakHyphen/>
        <w:t> </w:t>
      </w:r>
      <w:r w:rsidR="008E682B">
        <w:rPr>
          <w:bCs/>
          <w:iCs/>
          <w:szCs w:val="22"/>
        </w:rPr>
        <w:t xml:space="preserve">závažnou </w:t>
      </w:r>
      <w:r w:rsidRPr="009B5E44">
        <w:rPr>
          <w:bCs/>
          <w:iCs/>
          <w:szCs w:val="22"/>
        </w:rPr>
        <w:t>(10</w:t>
      </w:r>
      <w:r w:rsidRPr="009B5E44">
        <w:rPr>
          <w:szCs w:val="22"/>
        </w:rPr>
        <w:t> </w:t>
      </w:r>
      <w:r w:rsidRPr="009B5E44">
        <w:rPr>
          <w:bCs/>
          <w:iCs/>
          <w:szCs w:val="22"/>
        </w:rPr>
        <w:t>≤</w:t>
      </w:r>
      <w:r w:rsidRPr="009B5E44">
        <w:rPr>
          <w:szCs w:val="22"/>
        </w:rPr>
        <w:t> </w:t>
      </w:r>
      <w:r w:rsidRPr="009B5E44">
        <w:rPr>
          <w:bCs/>
          <w:iCs/>
          <w:szCs w:val="22"/>
        </w:rPr>
        <w:t>Cl</w:t>
      </w:r>
      <w:r w:rsidRPr="009B5E44">
        <w:rPr>
          <w:bCs/>
          <w:iCs/>
          <w:szCs w:val="22"/>
          <w:vertAlign w:val="subscript"/>
        </w:rPr>
        <w:t>cr</w:t>
      </w:r>
      <w:r w:rsidRPr="009B5E44">
        <w:rPr>
          <w:szCs w:val="22"/>
        </w:rPr>
        <w:t> </w:t>
      </w:r>
      <w:r w:rsidRPr="009B5E44">
        <w:rPr>
          <w:bCs/>
          <w:iCs/>
          <w:szCs w:val="22"/>
        </w:rPr>
        <w:t>&lt;</w:t>
      </w:r>
      <w:r w:rsidRPr="009B5E44">
        <w:rPr>
          <w:szCs w:val="22"/>
        </w:rPr>
        <w:t> </w:t>
      </w:r>
      <w:r w:rsidRPr="009B5E44">
        <w:rPr>
          <w:bCs/>
          <w:iCs/>
          <w:szCs w:val="22"/>
        </w:rPr>
        <w:t>30</w:t>
      </w:r>
      <w:r w:rsidRPr="009B5E44">
        <w:rPr>
          <w:szCs w:val="22"/>
        </w:rPr>
        <w:t> </w:t>
      </w:r>
      <w:r w:rsidRPr="009B5E44">
        <w:rPr>
          <w:bCs/>
          <w:iCs/>
          <w:szCs w:val="22"/>
        </w:rPr>
        <w:t>ml/min/1,73</w:t>
      </w:r>
      <w:r w:rsidRPr="009B5E44">
        <w:rPr>
          <w:szCs w:val="22"/>
        </w:rPr>
        <w:t> </w:t>
      </w:r>
      <w:r w:rsidRPr="009B5E44">
        <w:rPr>
          <w:bCs/>
          <w:iCs/>
          <w:szCs w:val="22"/>
        </w:rPr>
        <w:t>m</w:t>
      </w:r>
      <w:r w:rsidRPr="009B5E44">
        <w:rPr>
          <w:bCs/>
          <w:iCs/>
          <w:szCs w:val="22"/>
          <w:vertAlign w:val="superscript"/>
        </w:rPr>
        <w:t>2</w:t>
      </w:r>
      <w:r w:rsidRPr="009B5E44">
        <w:rPr>
          <w:bCs/>
          <w:iCs/>
          <w:szCs w:val="22"/>
        </w:rPr>
        <w:t xml:space="preserve">) </w:t>
      </w:r>
      <w:r w:rsidR="008E682B" w:rsidRPr="009B5E44">
        <w:rPr>
          <w:bCs/>
          <w:iCs/>
          <w:szCs w:val="22"/>
        </w:rPr>
        <w:t>po</w:t>
      </w:r>
      <w:r w:rsidR="008E682B">
        <w:rPr>
          <w:bCs/>
          <w:iCs/>
          <w:szCs w:val="22"/>
        </w:rPr>
        <w:t>ruchou</w:t>
      </w:r>
      <w:r w:rsidR="008E682B" w:rsidRPr="009B5E44">
        <w:rPr>
          <w:bCs/>
          <w:iCs/>
          <w:szCs w:val="22"/>
        </w:rPr>
        <w:t xml:space="preserve"> </w:t>
      </w:r>
      <w:r w:rsidRPr="009B5E44">
        <w:rPr>
          <w:bCs/>
          <w:iCs/>
          <w:szCs w:val="22"/>
        </w:rPr>
        <w:t>funkcie obličiek a u</w:t>
      </w:r>
      <w:r w:rsidRPr="009B5E44">
        <w:rPr>
          <w:szCs w:val="22"/>
        </w:rPr>
        <w:t> </w:t>
      </w:r>
      <w:r w:rsidRPr="009B5E44">
        <w:rPr>
          <w:bCs/>
          <w:iCs/>
          <w:szCs w:val="22"/>
        </w:rPr>
        <w:t>6</w:t>
      </w:r>
      <w:r w:rsidRPr="009B5E44">
        <w:rPr>
          <w:szCs w:val="22"/>
        </w:rPr>
        <w:t> </w:t>
      </w:r>
      <w:r w:rsidR="008E682B">
        <w:rPr>
          <w:bCs/>
          <w:iCs/>
          <w:szCs w:val="22"/>
        </w:rPr>
        <w:t>zdravých osôb</w:t>
      </w:r>
      <w:r w:rsidRPr="009B5E44">
        <w:rPr>
          <w:bCs/>
          <w:iCs/>
          <w:szCs w:val="22"/>
        </w:rPr>
        <w:t xml:space="preserve"> (Cl</w:t>
      </w:r>
      <w:r w:rsidRPr="009B5E44">
        <w:rPr>
          <w:bCs/>
          <w:iCs/>
          <w:szCs w:val="22"/>
          <w:vertAlign w:val="subscript"/>
        </w:rPr>
        <w:t>cr</w:t>
      </w:r>
      <w:r w:rsidRPr="009B5E44">
        <w:rPr>
          <w:szCs w:val="22"/>
        </w:rPr>
        <w:t> </w:t>
      </w:r>
      <w:r w:rsidRPr="009B5E44">
        <w:rPr>
          <w:bCs/>
          <w:iCs/>
          <w:szCs w:val="22"/>
        </w:rPr>
        <w:t>&gt;</w:t>
      </w:r>
      <w:r w:rsidRPr="009B5E44">
        <w:rPr>
          <w:szCs w:val="22"/>
        </w:rPr>
        <w:t> </w:t>
      </w:r>
      <w:r w:rsidRPr="009B5E44">
        <w:rPr>
          <w:bCs/>
          <w:iCs/>
          <w:szCs w:val="22"/>
        </w:rPr>
        <w:t>90</w:t>
      </w:r>
      <w:r w:rsidRPr="009B5E44">
        <w:rPr>
          <w:szCs w:val="22"/>
        </w:rPr>
        <w:t> </w:t>
      </w:r>
      <w:r w:rsidRPr="009B5E44">
        <w:rPr>
          <w:bCs/>
          <w:iCs/>
          <w:szCs w:val="22"/>
        </w:rPr>
        <w:t>ml/min/1,73</w:t>
      </w:r>
      <w:r w:rsidRPr="009B5E44">
        <w:rPr>
          <w:szCs w:val="22"/>
        </w:rPr>
        <w:t> </w:t>
      </w:r>
      <w:r w:rsidRPr="009B5E44">
        <w:rPr>
          <w:bCs/>
          <w:iCs/>
          <w:szCs w:val="22"/>
        </w:rPr>
        <w:t>m</w:t>
      </w:r>
      <w:r w:rsidRPr="009B5E44">
        <w:rPr>
          <w:bCs/>
          <w:iCs/>
          <w:szCs w:val="22"/>
          <w:vertAlign w:val="superscript"/>
        </w:rPr>
        <w:t>2</w:t>
      </w:r>
      <w:r w:rsidRPr="009B5E44">
        <w:rPr>
          <w:bCs/>
          <w:iCs/>
          <w:szCs w:val="22"/>
        </w:rPr>
        <w:t>). Bola pozorovaná zmena celkovej koncentrácie tamsulozíniumchloridu v plazme ako následok zmenenej väzby na AAG, no voľná (aktívna) koncentrácia tamsulozíniumchloridu ako aj skutočný klírens sa uchovali relatívne konštantné. Preto sa u pacientov s </w:t>
      </w:r>
      <w:r w:rsidR="008E682B" w:rsidRPr="009B5E44">
        <w:rPr>
          <w:bCs/>
          <w:iCs/>
          <w:szCs w:val="22"/>
        </w:rPr>
        <w:t>po</w:t>
      </w:r>
      <w:r w:rsidR="008E682B">
        <w:rPr>
          <w:bCs/>
          <w:iCs/>
          <w:szCs w:val="22"/>
        </w:rPr>
        <w:t>ruchou</w:t>
      </w:r>
      <w:r w:rsidR="008E682B" w:rsidRPr="009B5E44">
        <w:rPr>
          <w:bCs/>
          <w:iCs/>
          <w:szCs w:val="22"/>
        </w:rPr>
        <w:t xml:space="preserve"> </w:t>
      </w:r>
      <w:r w:rsidRPr="009B5E44">
        <w:rPr>
          <w:bCs/>
          <w:iCs/>
          <w:szCs w:val="22"/>
        </w:rPr>
        <w:t xml:space="preserve">funkcie obličiek nevyžaduje úprava dávkovania kapsúl s tamsulozíniumchloridom. Pacienti v </w:t>
      </w:r>
      <w:r w:rsidR="008E682B">
        <w:rPr>
          <w:bCs/>
          <w:iCs/>
          <w:szCs w:val="22"/>
        </w:rPr>
        <w:t>terminálnom</w:t>
      </w:r>
      <w:r w:rsidR="008E682B" w:rsidRPr="009B5E44">
        <w:rPr>
          <w:bCs/>
          <w:iCs/>
          <w:szCs w:val="22"/>
        </w:rPr>
        <w:t xml:space="preserve"> </w:t>
      </w:r>
      <w:r w:rsidRPr="009B5E44">
        <w:rPr>
          <w:bCs/>
          <w:iCs/>
          <w:szCs w:val="22"/>
        </w:rPr>
        <w:t>štádiu renálneho ochorenia (Cl</w:t>
      </w:r>
      <w:r w:rsidRPr="009B5E44">
        <w:rPr>
          <w:bCs/>
          <w:iCs/>
          <w:szCs w:val="22"/>
          <w:vertAlign w:val="subscript"/>
        </w:rPr>
        <w:t>cr</w:t>
      </w:r>
      <w:r w:rsidRPr="009B5E44">
        <w:rPr>
          <w:szCs w:val="22"/>
        </w:rPr>
        <w:t> </w:t>
      </w:r>
      <w:r w:rsidRPr="009B5E44">
        <w:rPr>
          <w:bCs/>
          <w:iCs/>
          <w:szCs w:val="22"/>
        </w:rPr>
        <w:t>&lt;</w:t>
      </w:r>
      <w:r w:rsidRPr="009B5E44">
        <w:rPr>
          <w:szCs w:val="22"/>
        </w:rPr>
        <w:t> </w:t>
      </w:r>
      <w:r w:rsidRPr="009B5E44">
        <w:rPr>
          <w:bCs/>
          <w:iCs/>
          <w:szCs w:val="22"/>
        </w:rPr>
        <w:t>10</w:t>
      </w:r>
      <w:r w:rsidRPr="009B5E44">
        <w:rPr>
          <w:szCs w:val="22"/>
        </w:rPr>
        <w:t> </w:t>
      </w:r>
      <w:r w:rsidRPr="009B5E44">
        <w:rPr>
          <w:bCs/>
          <w:iCs/>
          <w:szCs w:val="22"/>
        </w:rPr>
        <w:t>ml/min/1,73</w:t>
      </w:r>
      <w:r w:rsidRPr="009B5E44">
        <w:rPr>
          <w:szCs w:val="22"/>
        </w:rPr>
        <w:t> </w:t>
      </w:r>
      <w:r w:rsidRPr="009B5E44">
        <w:rPr>
          <w:bCs/>
          <w:iCs/>
          <w:szCs w:val="22"/>
        </w:rPr>
        <w:t>m</w:t>
      </w:r>
      <w:r w:rsidRPr="009B5E44">
        <w:rPr>
          <w:bCs/>
          <w:iCs/>
          <w:szCs w:val="22"/>
          <w:vertAlign w:val="superscript"/>
        </w:rPr>
        <w:t>2</w:t>
      </w:r>
      <w:r w:rsidRPr="009B5E44">
        <w:rPr>
          <w:bCs/>
          <w:iCs/>
          <w:szCs w:val="22"/>
        </w:rPr>
        <w:t>) sa však nesledovali.</w:t>
      </w:r>
    </w:p>
    <w:p w14:paraId="2B780E72" w14:textId="77777777" w:rsidR="00EE6E72" w:rsidRDefault="00EE6E72" w:rsidP="00424E40">
      <w:pPr>
        <w:rPr>
          <w:szCs w:val="22"/>
        </w:rPr>
      </w:pPr>
    </w:p>
    <w:p w14:paraId="37CEECFA" w14:textId="77777777" w:rsidR="00EE6E72" w:rsidRDefault="009D1236" w:rsidP="00424E40">
      <w:pPr>
        <w:pStyle w:val="Nadpis5"/>
        <w:rPr>
          <w:rFonts w:ascii="Times New Roman" w:hAnsi="Times New Roman"/>
          <w:iCs/>
          <w:color w:val="auto"/>
          <w:szCs w:val="22"/>
          <w:u w:val="single"/>
        </w:rPr>
      </w:pPr>
      <w:r w:rsidRPr="00B42DC2">
        <w:rPr>
          <w:rFonts w:ascii="Times New Roman" w:hAnsi="Times New Roman"/>
          <w:iCs/>
          <w:color w:val="auto"/>
          <w:szCs w:val="22"/>
          <w:u w:val="single"/>
        </w:rPr>
        <w:t>Porucha funkcie pečene</w:t>
      </w:r>
    </w:p>
    <w:p w14:paraId="18660A30" w14:textId="77777777" w:rsidR="00EE6E72" w:rsidRDefault="00EE6E72" w:rsidP="00424E40">
      <w:pPr>
        <w:rPr>
          <w:szCs w:val="22"/>
        </w:rPr>
      </w:pPr>
    </w:p>
    <w:p w14:paraId="1DA1A556" w14:textId="77777777" w:rsidR="00EE6E72" w:rsidRDefault="009D1236" w:rsidP="00424E40">
      <w:pPr>
        <w:rPr>
          <w:bCs/>
          <w:i/>
          <w:snapToGrid w:val="0"/>
          <w:szCs w:val="22"/>
        </w:rPr>
      </w:pPr>
      <w:r w:rsidRPr="00B42DC2">
        <w:rPr>
          <w:bCs/>
          <w:i/>
          <w:snapToGrid w:val="0"/>
          <w:szCs w:val="22"/>
        </w:rPr>
        <w:t>Dutasterid</w:t>
      </w:r>
    </w:p>
    <w:p w14:paraId="5D509C2C" w14:textId="03575CA4" w:rsidR="00EE6E72" w:rsidRDefault="009D1236" w:rsidP="00424E40">
      <w:pPr>
        <w:pStyle w:val="Zkladntext2"/>
        <w:spacing w:after="0" w:line="240" w:lineRule="auto"/>
        <w:rPr>
          <w:szCs w:val="22"/>
        </w:rPr>
      </w:pPr>
      <w:r w:rsidRPr="009B5E44">
        <w:rPr>
          <w:szCs w:val="22"/>
        </w:rPr>
        <w:t xml:space="preserve">Vplyv poruchy funkcie pečene na farmakokinetiku dutasteridu sa neskúmal (pozri časť 4.3). Keďže sa dutasterid </w:t>
      </w:r>
      <w:r w:rsidR="008E682B">
        <w:rPr>
          <w:szCs w:val="22"/>
        </w:rPr>
        <w:t>metabolizuje</w:t>
      </w:r>
      <w:r w:rsidRPr="009B5E44">
        <w:rPr>
          <w:szCs w:val="22"/>
        </w:rPr>
        <w:t>, očakáva sa, že u týchto pacientov sú zvýšené plazmatické hladiny dutasteridu a predĺžený polčas dutasteridu (pozri časť 4.2 a časť 4.4).</w:t>
      </w:r>
    </w:p>
    <w:p w14:paraId="78842C35" w14:textId="77777777" w:rsidR="00EE6E72" w:rsidRDefault="00EE6E72" w:rsidP="00424E40">
      <w:pPr>
        <w:rPr>
          <w:szCs w:val="22"/>
        </w:rPr>
      </w:pPr>
    </w:p>
    <w:p w14:paraId="01A0E07F" w14:textId="77777777" w:rsidR="00EE6E72" w:rsidRDefault="009D1236" w:rsidP="00424E40">
      <w:pPr>
        <w:rPr>
          <w:i/>
          <w:iCs/>
          <w:szCs w:val="22"/>
        </w:rPr>
      </w:pPr>
      <w:r w:rsidRPr="00A775FE">
        <w:rPr>
          <w:i/>
          <w:iCs/>
          <w:szCs w:val="22"/>
        </w:rPr>
        <w:t>Tamsulozín</w:t>
      </w:r>
    </w:p>
    <w:p w14:paraId="13D129B4" w14:textId="6532A3A9" w:rsidR="00EE6E72" w:rsidRDefault="009D1236" w:rsidP="00424E40">
      <w:pPr>
        <w:spacing w:line="240" w:lineRule="auto"/>
        <w:rPr>
          <w:u w:val="single"/>
        </w:rPr>
      </w:pPr>
      <w:r w:rsidRPr="009B5E44">
        <w:rPr>
          <w:bCs/>
          <w:iCs/>
          <w:szCs w:val="22"/>
        </w:rPr>
        <w:t>Farmakokinetika tamsulozíniumchloridu sa porovnávala u</w:t>
      </w:r>
      <w:r w:rsidRPr="009B5E44">
        <w:rPr>
          <w:szCs w:val="22"/>
        </w:rPr>
        <w:t> </w:t>
      </w:r>
      <w:r w:rsidRPr="009B5E44">
        <w:rPr>
          <w:bCs/>
          <w:iCs/>
          <w:szCs w:val="22"/>
        </w:rPr>
        <w:t>8</w:t>
      </w:r>
      <w:r w:rsidRPr="009B5E44">
        <w:rPr>
          <w:szCs w:val="22"/>
        </w:rPr>
        <w:t> </w:t>
      </w:r>
      <w:r w:rsidR="008E682B">
        <w:rPr>
          <w:bCs/>
          <w:iCs/>
          <w:szCs w:val="22"/>
        </w:rPr>
        <w:t xml:space="preserve">osôb </w:t>
      </w:r>
      <w:r w:rsidRPr="009B5E44">
        <w:rPr>
          <w:bCs/>
          <w:iCs/>
          <w:szCs w:val="22"/>
        </w:rPr>
        <w:t xml:space="preserve">so stredne </w:t>
      </w:r>
      <w:r w:rsidR="008E682B">
        <w:rPr>
          <w:bCs/>
          <w:iCs/>
          <w:szCs w:val="22"/>
        </w:rPr>
        <w:t xml:space="preserve">závažnou </w:t>
      </w:r>
      <w:r w:rsidR="008E682B" w:rsidRPr="009B5E44">
        <w:rPr>
          <w:bCs/>
          <w:iCs/>
          <w:szCs w:val="22"/>
        </w:rPr>
        <w:t>po</w:t>
      </w:r>
      <w:r w:rsidR="008E682B">
        <w:rPr>
          <w:bCs/>
          <w:iCs/>
          <w:szCs w:val="22"/>
        </w:rPr>
        <w:t>ruchou</w:t>
      </w:r>
      <w:r w:rsidR="008E682B" w:rsidRPr="009B5E44">
        <w:rPr>
          <w:bCs/>
          <w:iCs/>
          <w:szCs w:val="22"/>
        </w:rPr>
        <w:t xml:space="preserve"> </w:t>
      </w:r>
      <w:r w:rsidRPr="009B5E44">
        <w:rPr>
          <w:bCs/>
          <w:iCs/>
          <w:szCs w:val="22"/>
        </w:rPr>
        <w:t>funkcie pečene (</w:t>
      </w:r>
      <w:r w:rsidRPr="009B5E44">
        <w:rPr>
          <w:rStyle w:val="Zvraznenie"/>
          <w:b w:val="0"/>
          <w:szCs w:val="22"/>
        </w:rPr>
        <w:t>Childova</w:t>
      </w:r>
      <w:r w:rsidRPr="009B5E44">
        <w:rPr>
          <w:rStyle w:val="Zvraznenie"/>
          <w:b w:val="0"/>
          <w:szCs w:val="22"/>
        </w:rPr>
        <w:noBreakHyphen/>
      </w:r>
      <w:r w:rsidRPr="009B5E44">
        <w:rPr>
          <w:szCs w:val="22"/>
        </w:rPr>
        <w:t xml:space="preserve">Pughova </w:t>
      </w:r>
      <w:r w:rsidRPr="009B5E44">
        <w:rPr>
          <w:rStyle w:val="Zvraznenie"/>
          <w:b w:val="0"/>
          <w:szCs w:val="22"/>
        </w:rPr>
        <w:t>klasifikácia</w:t>
      </w:r>
      <w:r w:rsidRPr="009B5E44">
        <w:rPr>
          <w:bCs/>
          <w:iCs/>
          <w:szCs w:val="22"/>
        </w:rPr>
        <w:t xml:space="preserve">: </w:t>
      </w:r>
      <w:r w:rsidR="008E682B">
        <w:rPr>
          <w:bCs/>
          <w:iCs/>
          <w:szCs w:val="22"/>
        </w:rPr>
        <w:t>trieda</w:t>
      </w:r>
      <w:r w:rsidR="008E682B" w:rsidRPr="009B5E44">
        <w:rPr>
          <w:bCs/>
          <w:iCs/>
          <w:szCs w:val="22"/>
        </w:rPr>
        <w:t xml:space="preserve"> </w:t>
      </w:r>
      <w:r w:rsidRPr="009B5E44">
        <w:rPr>
          <w:bCs/>
          <w:iCs/>
          <w:szCs w:val="22"/>
        </w:rPr>
        <w:t>A a B) a u</w:t>
      </w:r>
      <w:r w:rsidRPr="009B5E44">
        <w:rPr>
          <w:szCs w:val="22"/>
        </w:rPr>
        <w:t> </w:t>
      </w:r>
      <w:r w:rsidRPr="009B5E44">
        <w:rPr>
          <w:bCs/>
          <w:iCs/>
          <w:szCs w:val="22"/>
        </w:rPr>
        <w:t>8</w:t>
      </w:r>
      <w:r w:rsidRPr="009B5E44">
        <w:rPr>
          <w:szCs w:val="22"/>
        </w:rPr>
        <w:t> </w:t>
      </w:r>
      <w:r w:rsidR="008E682B">
        <w:rPr>
          <w:bCs/>
          <w:iCs/>
          <w:szCs w:val="22"/>
        </w:rPr>
        <w:t>zdravých osôb</w:t>
      </w:r>
      <w:r w:rsidRPr="009B5E44">
        <w:rPr>
          <w:bCs/>
          <w:iCs/>
          <w:szCs w:val="22"/>
        </w:rPr>
        <w:t xml:space="preserve">. Bola pozorovaná zmena celkovej koncentrácie tamsulozíniumchloridu v plazme ako následok zmenenej väzby na AAG, no voľná (aktívna) koncentrácia tamsulozíniumchloridu sa významne nemenila, iba skutočný klírens voľného tamsulozíniumchloridu sa mierne zmenil (32 %). Preto sa u pacientov so stredne </w:t>
      </w:r>
      <w:r w:rsidR="008E682B">
        <w:rPr>
          <w:bCs/>
          <w:iCs/>
          <w:szCs w:val="22"/>
        </w:rPr>
        <w:t>závažnou</w:t>
      </w:r>
      <w:r w:rsidR="008E682B" w:rsidRPr="009B5E44">
        <w:rPr>
          <w:bCs/>
          <w:iCs/>
          <w:szCs w:val="22"/>
        </w:rPr>
        <w:t xml:space="preserve"> po</w:t>
      </w:r>
      <w:r w:rsidR="008E682B">
        <w:rPr>
          <w:bCs/>
          <w:iCs/>
          <w:szCs w:val="22"/>
        </w:rPr>
        <w:t>ruchou</w:t>
      </w:r>
      <w:r w:rsidR="008E682B" w:rsidRPr="009B5E44">
        <w:rPr>
          <w:bCs/>
          <w:iCs/>
          <w:szCs w:val="22"/>
        </w:rPr>
        <w:t xml:space="preserve"> </w:t>
      </w:r>
      <w:r w:rsidRPr="009B5E44">
        <w:rPr>
          <w:bCs/>
          <w:iCs/>
          <w:szCs w:val="22"/>
        </w:rPr>
        <w:t>funkcie pečene nevyžaduje úprava dávkovania tamsulozíniumchloridu. Tamsulozíniumchlorid sa neskúmal u pacientov s</w:t>
      </w:r>
      <w:r w:rsidR="008E682B">
        <w:rPr>
          <w:bCs/>
          <w:iCs/>
          <w:szCs w:val="22"/>
        </w:rPr>
        <w:t>o</w:t>
      </w:r>
      <w:r w:rsidRPr="009B5E44">
        <w:rPr>
          <w:bCs/>
          <w:iCs/>
          <w:szCs w:val="22"/>
        </w:rPr>
        <w:t> </w:t>
      </w:r>
      <w:r w:rsidR="008E682B">
        <w:rPr>
          <w:bCs/>
          <w:iCs/>
          <w:szCs w:val="22"/>
        </w:rPr>
        <w:t>závažnou</w:t>
      </w:r>
      <w:r w:rsidR="008E682B" w:rsidRPr="009B5E44">
        <w:rPr>
          <w:bCs/>
          <w:iCs/>
          <w:szCs w:val="22"/>
        </w:rPr>
        <w:t xml:space="preserve"> </w:t>
      </w:r>
      <w:r w:rsidRPr="009B5E44">
        <w:rPr>
          <w:bCs/>
          <w:iCs/>
          <w:szCs w:val="22"/>
        </w:rPr>
        <w:t>po</w:t>
      </w:r>
      <w:r w:rsidR="008E682B">
        <w:rPr>
          <w:bCs/>
          <w:iCs/>
          <w:szCs w:val="22"/>
        </w:rPr>
        <w:t>ruchou</w:t>
      </w:r>
      <w:r w:rsidRPr="009B5E44">
        <w:rPr>
          <w:bCs/>
          <w:iCs/>
          <w:szCs w:val="22"/>
        </w:rPr>
        <w:t xml:space="preserve"> funkcie pečene.</w:t>
      </w:r>
    </w:p>
    <w:p w14:paraId="5A398F65" w14:textId="77777777" w:rsidR="00EE6E72" w:rsidRDefault="00EE6E72" w:rsidP="00424E40">
      <w:pPr>
        <w:numPr>
          <w:ilvl w:val="12"/>
          <w:numId w:val="0"/>
        </w:numPr>
        <w:spacing w:line="240" w:lineRule="auto"/>
        <w:ind w:right="-2"/>
      </w:pPr>
    </w:p>
    <w:p w14:paraId="6D3EF316" w14:textId="77777777" w:rsidR="00EE6E72" w:rsidRDefault="00B81AFC" w:rsidP="00424E40">
      <w:pPr>
        <w:keepNext/>
        <w:numPr>
          <w:ilvl w:val="1"/>
          <w:numId w:val="6"/>
        </w:numPr>
        <w:spacing w:line="240" w:lineRule="auto"/>
        <w:outlineLvl w:val="0"/>
      </w:pPr>
      <w:r w:rsidRPr="00BF5AB0">
        <w:rPr>
          <w:b/>
        </w:rPr>
        <w:lastRenderedPageBreak/>
        <w:t>Predklinické údaje o bezpečnosti</w:t>
      </w:r>
    </w:p>
    <w:p w14:paraId="23008FFA" w14:textId="77777777" w:rsidR="00EE6E72" w:rsidRDefault="00EE6E72" w:rsidP="00424E40">
      <w:pPr>
        <w:keepNext/>
        <w:spacing w:line="240" w:lineRule="auto"/>
      </w:pPr>
    </w:p>
    <w:p w14:paraId="67A01C65" w14:textId="410EE929" w:rsidR="00EE6E72" w:rsidRDefault="009D1236" w:rsidP="00424E40">
      <w:pPr>
        <w:rPr>
          <w:bCs/>
          <w:iCs/>
          <w:szCs w:val="22"/>
        </w:rPr>
      </w:pPr>
      <w:r w:rsidRPr="009B5E44">
        <w:rPr>
          <w:bCs/>
          <w:iCs/>
          <w:szCs w:val="22"/>
        </w:rPr>
        <w:t>Predklinické štúdie sa s</w:t>
      </w:r>
      <w:r w:rsidR="00D91136">
        <w:rPr>
          <w:bCs/>
          <w:iCs/>
          <w:szCs w:val="22"/>
        </w:rPr>
        <w:t> dutasteridom/tamsuloz</w:t>
      </w:r>
      <w:r w:rsidR="00424E40">
        <w:rPr>
          <w:bCs/>
          <w:iCs/>
          <w:szCs w:val="22"/>
        </w:rPr>
        <w:t>í</w:t>
      </w:r>
      <w:r w:rsidR="00D91136">
        <w:rPr>
          <w:bCs/>
          <w:iCs/>
          <w:szCs w:val="22"/>
        </w:rPr>
        <w:t>nom</w:t>
      </w:r>
      <w:r w:rsidRPr="009B5E44">
        <w:rPr>
          <w:bCs/>
          <w:iCs/>
          <w:szCs w:val="22"/>
        </w:rPr>
        <w:t xml:space="preserve"> nevykonali. Dutasterid a tamsulozíniumchlorid sa jednotlivo </w:t>
      </w:r>
      <w:r w:rsidR="008E682B">
        <w:rPr>
          <w:bCs/>
          <w:iCs/>
          <w:szCs w:val="22"/>
        </w:rPr>
        <w:t xml:space="preserve">rozsiahlo </w:t>
      </w:r>
      <w:r w:rsidRPr="009B5E44">
        <w:rPr>
          <w:bCs/>
          <w:iCs/>
          <w:szCs w:val="22"/>
        </w:rPr>
        <w:t xml:space="preserve">hodnotili v testoch toxicity na zvieratách a nálezy zodpovedali známym farmakologickým účinkom </w:t>
      </w:r>
      <w:r w:rsidRPr="009B5E44">
        <w:rPr>
          <w:szCs w:val="22"/>
        </w:rPr>
        <w:t>inhibítorov 5</w:t>
      </w:r>
      <w:r w:rsidRPr="009B5E44">
        <w:rPr>
          <w:szCs w:val="22"/>
        </w:rPr>
        <w:noBreakHyphen/>
        <w:t>alfa</w:t>
      </w:r>
      <w:r w:rsidRPr="009B5E44">
        <w:rPr>
          <w:szCs w:val="22"/>
        </w:rPr>
        <w:noBreakHyphen/>
        <w:t>reduktázy a antagonistov alfa</w:t>
      </w:r>
      <w:r w:rsidRPr="009B5E44">
        <w:rPr>
          <w:szCs w:val="22"/>
          <w:vertAlign w:val="subscript"/>
        </w:rPr>
        <w:t>1</w:t>
      </w:r>
      <w:r w:rsidRPr="009B5E44">
        <w:rPr>
          <w:szCs w:val="22"/>
        </w:rPr>
        <w:noBreakHyphen/>
        <w:t xml:space="preserve">adrenergických receptorov. </w:t>
      </w:r>
      <w:r w:rsidRPr="009B5E44">
        <w:rPr>
          <w:bCs/>
          <w:iCs/>
          <w:szCs w:val="22"/>
        </w:rPr>
        <w:t>Nasledovné údaje odrážajú informácie dostupné o jednotlivých zložkách.</w:t>
      </w:r>
    </w:p>
    <w:p w14:paraId="046E3FD6" w14:textId="77777777" w:rsidR="00EE6E72" w:rsidRDefault="00EE6E72" w:rsidP="00424E40">
      <w:pPr>
        <w:rPr>
          <w:bCs/>
          <w:i/>
          <w:iCs/>
          <w:snapToGrid w:val="0"/>
          <w:szCs w:val="22"/>
        </w:rPr>
      </w:pPr>
    </w:p>
    <w:p w14:paraId="1493B2DC" w14:textId="77777777" w:rsidR="00EE6E72" w:rsidRDefault="009D1236" w:rsidP="00424E40">
      <w:pPr>
        <w:rPr>
          <w:bCs/>
          <w:i/>
          <w:iCs/>
          <w:snapToGrid w:val="0"/>
          <w:szCs w:val="22"/>
        </w:rPr>
      </w:pPr>
      <w:r w:rsidRPr="009B5E44">
        <w:rPr>
          <w:bCs/>
          <w:i/>
          <w:iCs/>
          <w:snapToGrid w:val="0"/>
          <w:szCs w:val="22"/>
        </w:rPr>
        <w:t>Dutasterid</w:t>
      </w:r>
    </w:p>
    <w:p w14:paraId="01416BA8" w14:textId="77777777" w:rsidR="00EE6E72" w:rsidRDefault="009D1236" w:rsidP="00424E40">
      <w:pPr>
        <w:pStyle w:val="Zkladntext2"/>
        <w:spacing w:line="240" w:lineRule="auto"/>
        <w:rPr>
          <w:szCs w:val="22"/>
        </w:rPr>
      </w:pPr>
      <w:r w:rsidRPr="009B5E44">
        <w:rPr>
          <w:szCs w:val="22"/>
        </w:rPr>
        <w:t>Súčasné štúdie všeobecnej toxicity, genotoxicity a karcinogenity nepreukázali žiadne konkrétne nebezpečenstvo pre človeka.</w:t>
      </w:r>
    </w:p>
    <w:p w14:paraId="45CBB551" w14:textId="77777777" w:rsidR="00EE6E72" w:rsidRDefault="00EE6E72" w:rsidP="00424E40">
      <w:pPr>
        <w:spacing w:line="240" w:lineRule="auto"/>
        <w:rPr>
          <w:szCs w:val="22"/>
        </w:rPr>
      </w:pPr>
    </w:p>
    <w:p w14:paraId="32F7C17D" w14:textId="77777777" w:rsidR="00EE6E72" w:rsidRDefault="009D1236" w:rsidP="00424E40">
      <w:pPr>
        <w:pStyle w:val="Zkladntext2"/>
        <w:spacing w:line="240" w:lineRule="auto"/>
        <w:rPr>
          <w:szCs w:val="22"/>
        </w:rPr>
      </w:pPr>
      <w:r w:rsidRPr="009B5E44">
        <w:rPr>
          <w:szCs w:val="22"/>
        </w:rPr>
        <w:t>Štúdie reprodukčnej toxicity u samčích potkanov ukázali zníženú hmotnosť prostaty a semenných mechúrikov, zníženú sekréciu z vedľajších genitálnych žliaz a redukciu v indexoch fertility (spôsobenú farmakologickým účinkom dutasteridu). Klinická relevancia týchto zistení nie je známa.</w:t>
      </w:r>
    </w:p>
    <w:p w14:paraId="65C6AE47" w14:textId="77777777" w:rsidR="00EE6E72" w:rsidRDefault="00EE6E72" w:rsidP="00424E40">
      <w:pPr>
        <w:spacing w:line="240" w:lineRule="auto"/>
        <w:rPr>
          <w:szCs w:val="22"/>
        </w:rPr>
      </w:pPr>
    </w:p>
    <w:p w14:paraId="1218B9C7" w14:textId="74139E7C" w:rsidR="00EE6E72" w:rsidRDefault="009D1236" w:rsidP="00424E40">
      <w:pPr>
        <w:pStyle w:val="Zkladntext2"/>
        <w:spacing w:line="240" w:lineRule="auto"/>
        <w:rPr>
          <w:szCs w:val="22"/>
        </w:rPr>
      </w:pPr>
      <w:r w:rsidRPr="009B5E44">
        <w:rPr>
          <w:szCs w:val="22"/>
        </w:rPr>
        <w:t>Tak ako pri iných inhibítoroch 5</w:t>
      </w:r>
      <w:r w:rsidRPr="009B5E44">
        <w:rPr>
          <w:szCs w:val="22"/>
        </w:rPr>
        <w:noBreakHyphen/>
        <w:t>alfa</w:t>
      </w:r>
      <w:r w:rsidRPr="009B5E44">
        <w:rPr>
          <w:szCs w:val="22"/>
        </w:rPr>
        <w:noBreakHyphen/>
        <w:t xml:space="preserve">reduktázy bola zaznamenaná feminizácia samčích plodov u potkanov a králikov, keď bol dutasterid podávaný počas gestácie. Dutasterid bol zistený v krvi zo samičích potkanov po párení so samcami liečenými dutasteridom. Keď bol dutasterid podávaný počas gestácie primátom, nebola pozorovaná žiadna feminizácia samčích plodov pri krvných expozíciách, ktoré značne prevyšovali tie, ktorých výskyt je pravdepodobný v spermiách človeka. Nie je pravdepodobné, že mužský plod bude nepriaznivo </w:t>
      </w:r>
      <w:r w:rsidR="008E682B">
        <w:rPr>
          <w:szCs w:val="22"/>
        </w:rPr>
        <w:t>ovplyvnený</w:t>
      </w:r>
      <w:r w:rsidR="008E682B" w:rsidRPr="009B5E44">
        <w:rPr>
          <w:szCs w:val="22"/>
        </w:rPr>
        <w:t xml:space="preserve"> </w:t>
      </w:r>
      <w:r w:rsidRPr="009B5E44">
        <w:rPr>
          <w:szCs w:val="22"/>
        </w:rPr>
        <w:t>po transfere dutasteridu spermiami.</w:t>
      </w:r>
    </w:p>
    <w:p w14:paraId="599BD4EB" w14:textId="77777777" w:rsidR="00EE6E72" w:rsidRDefault="00EE6E72" w:rsidP="00424E40">
      <w:pPr>
        <w:spacing w:line="240" w:lineRule="auto"/>
        <w:rPr>
          <w:szCs w:val="22"/>
        </w:rPr>
      </w:pPr>
    </w:p>
    <w:p w14:paraId="4A441C1A" w14:textId="77777777" w:rsidR="00EE6E72" w:rsidRDefault="009D1236" w:rsidP="00424E40">
      <w:pPr>
        <w:rPr>
          <w:i/>
          <w:szCs w:val="22"/>
        </w:rPr>
      </w:pPr>
      <w:r w:rsidRPr="009B5E44">
        <w:rPr>
          <w:i/>
          <w:szCs w:val="22"/>
        </w:rPr>
        <w:t>Tamsulozín</w:t>
      </w:r>
    </w:p>
    <w:p w14:paraId="31F6FE64" w14:textId="2FB3FE06" w:rsidR="00EE6E72" w:rsidRDefault="009D1236" w:rsidP="00424E40">
      <w:pPr>
        <w:rPr>
          <w:szCs w:val="22"/>
        </w:rPr>
      </w:pPr>
      <w:r w:rsidRPr="009B5E44">
        <w:rPr>
          <w:szCs w:val="22"/>
        </w:rPr>
        <w:t xml:space="preserve">Štúdie celkovej toxicity a genotoxicity nepreukázali žiadne osobitné riziko pre </w:t>
      </w:r>
      <w:r w:rsidR="008E682B">
        <w:rPr>
          <w:szCs w:val="22"/>
        </w:rPr>
        <w:t>človeka</w:t>
      </w:r>
      <w:r w:rsidR="008E682B" w:rsidRPr="009B5E44">
        <w:rPr>
          <w:szCs w:val="22"/>
        </w:rPr>
        <w:t xml:space="preserve"> </w:t>
      </w:r>
      <w:r w:rsidRPr="009B5E44">
        <w:rPr>
          <w:szCs w:val="22"/>
        </w:rPr>
        <w:t>iné než to, ktoré sa spájalo s farmakologickými vlastnosťami tamsulozínu.</w:t>
      </w:r>
    </w:p>
    <w:p w14:paraId="6B8A2036" w14:textId="77777777" w:rsidR="00EE6E72" w:rsidRDefault="00EE6E72" w:rsidP="00424E40">
      <w:pPr>
        <w:rPr>
          <w:szCs w:val="22"/>
        </w:rPr>
      </w:pPr>
    </w:p>
    <w:p w14:paraId="2D02A850" w14:textId="2724F323" w:rsidR="00EE6E72" w:rsidRDefault="009D1236" w:rsidP="00424E40">
      <w:pPr>
        <w:rPr>
          <w:szCs w:val="22"/>
        </w:rPr>
      </w:pPr>
      <w:r w:rsidRPr="009B5E44">
        <w:rPr>
          <w:szCs w:val="22"/>
        </w:rPr>
        <w:t>V štúdiách karcinogenity na potkanoch a myšiach viedl</w:t>
      </w:r>
      <w:r w:rsidR="008E682B">
        <w:rPr>
          <w:szCs w:val="22"/>
        </w:rPr>
        <w:t>o podanie</w:t>
      </w:r>
      <w:r w:rsidRPr="009B5E44">
        <w:rPr>
          <w:szCs w:val="22"/>
        </w:rPr>
        <w:t xml:space="preserve"> tamsulozíniumchlorid</w:t>
      </w:r>
      <w:r w:rsidR="008E682B">
        <w:rPr>
          <w:szCs w:val="22"/>
        </w:rPr>
        <w:t>u</w:t>
      </w:r>
      <w:r w:rsidRPr="009B5E44">
        <w:rPr>
          <w:szCs w:val="22"/>
        </w:rPr>
        <w:t xml:space="preserve"> k zvýšenému výskytu proliferatívnych zmien na mliečnych žľazách samíc. Tieto nálezy, ktoré sa pravdepodobne spájali so zvýšenými hladinami prolaktínu a vyskytli sa iba pri vysokých dávkových hladinách, sa nepovažujú za klinicky významné.</w:t>
      </w:r>
    </w:p>
    <w:p w14:paraId="59FFBFBB" w14:textId="77777777" w:rsidR="00EE6E72" w:rsidRDefault="00EE6E72" w:rsidP="00424E40">
      <w:pPr>
        <w:rPr>
          <w:szCs w:val="22"/>
        </w:rPr>
      </w:pPr>
    </w:p>
    <w:p w14:paraId="436B4B64" w14:textId="77777777" w:rsidR="00EE6E72" w:rsidRDefault="009D1236" w:rsidP="00424E40">
      <w:pPr>
        <w:rPr>
          <w:szCs w:val="22"/>
        </w:rPr>
      </w:pPr>
      <w:r w:rsidRPr="009B5E44">
        <w:rPr>
          <w:szCs w:val="22"/>
        </w:rPr>
        <w:t>Vysoké dávky tamsulozíniumchloridu viedli k reverzibilnému zníženiu fertility u samcov potkanov, čo sa predpokladá pravdepodobne z dôvodu zmien zloženia spermy alebo zníženej ejakulácie. Účinky tamsulozínu na počet spermií alebo funkciu spermií sa neskúmal.</w:t>
      </w:r>
    </w:p>
    <w:p w14:paraId="063808BC" w14:textId="77777777" w:rsidR="00EE6E72" w:rsidRDefault="00EE6E72" w:rsidP="00424E40">
      <w:pPr>
        <w:rPr>
          <w:szCs w:val="22"/>
        </w:rPr>
      </w:pPr>
    </w:p>
    <w:p w14:paraId="2EB3B9C3" w14:textId="4F906014" w:rsidR="00EE6E72" w:rsidRDefault="009D1236" w:rsidP="00424E40">
      <w:pPr>
        <w:rPr>
          <w:szCs w:val="22"/>
        </w:rPr>
      </w:pPr>
      <w:r w:rsidRPr="009B5E44">
        <w:rPr>
          <w:szCs w:val="22"/>
        </w:rPr>
        <w:t xml:space="preserve">Podávanie tamsulozíniumchloridu brezivým samiciam potkanov a králikov v dávkach vyšších než terapeutické dávky neukázalo žiadne </w:t>
      </w:r>
      <w:r w:rsidR="008E682B">
        <w:rPr>
          <w:szCs w:val="22"/>
        </w:rPr>
        <w:t>náznaky</w:t>
      </w:r>
      <w:r w:rsidR="008E682B" w:rsidRPr="009B5E44">
        <w:rPr>
          <w:szCs w:val="22"/>
        </w:rPr>
        <w:t xml:space="preserve"> </w:t>
      </w:r>
      <w:r w:rsidRPr="009B5E44">
        <w:rPr>
          <w:szCs w:val="22"/>
        </w:rPr>
        <w:t>poškodenia plodu.</w:t>
      </w:r>
    </w:p>
    <w:p w14:paraId="3FEA40C9" w14:textId="77777777" w:rsidR="00EE6E72" w:rsidRDefault="00EE6E72" w:rsidP="00424E40">
      <w:pPr>
        <w:spacing w:line="240" w:lineRule="auto"/>
      </w:pPr>
    </w:p>
    <w:p w14:paraId="18C43BC9" w14:textId="77777777" w:rsidR="00EE6E72" w:rsidRDefault="00EE6E72" w:rsidP="00424E40">
      <w:pPr>
        <w:spacing w:line="240" w:lineRule="auto"/>
      </w:pPr>
    </w:p>
    <w:p w14:paraId="3B363C8D" w14:textId="77777777" w:rsidR="00EE6E72" w:rsidRDefault="00B81AFC" w:rsidP="00424E40">
      <w:pPr>
        <w:keepNext/>
        <w:numPr>
          <w:ilvl w:val="0"/>
          <w:numId w:val="6"/>
        </w:numPr>
        <w:suppressAutoHyphens/>
        <w:spacing w:line="240" w:lineRule="auto"/>
        <w:rPr>
          <w:b/>
        </w:rPr>
      </w:pPr>
      <w:r w:rsidRPr="00BF5AB0">
        <w:rPr>
          <w:b/>
        </w:rPr>
        <w:t>FARMACEUTICKÉ INFORMÁCIE</w:t>
      </w:r>
    </w:p>
    <w:p w14:paraId="2ABDBF58" w14:textId="77777777" w:rsidR="00EE6E72" w:rsidRDefault="00EE6E72" w:rsidP="00424E40">
      <w:pPr>
        <w:keepNext/>
        <w:spacing w:line="240" w:lineRule="auto"/>
      </w:pPr>
    </w:p>
    <w:p w14:paraId="4C626FCE" w14:textId="77777777" w:rsidR="00EE6E72" w:rsidRDefault="00B81AFC" w:rsidP="00424E40">
      <w:pPr>
        <w:keepNext/>
        <w:numPr>
          <w:ilvl w:val="1"/>
          <w:numId w:val="6"/>
        </w:numPr>
        <w:spacing w:line="240" w:lineRule="auto"/>
        <w:outlineLvl w:val="0"/>
      </w:pPr>
      <w:r w:rsidRPr="00BF5AB0">
        <w:rPr>
          <w:b/>
        </w:rPr>
        <w:t>Zoznam pomocných látok</w:t>
      </w:r>
    </w:p>
    <w:p w14:paraId="77680DB2" w14:textId="77777777" w:rsidR="00EE6E72" w:rsidRDefault="00EE6E72" w:rsidP="00424E40">
      <w:pPr>
        <w:keepNext/>
        <w:spacing w:line="240" w:lineRule="auto"/>
        <w:rPr>
          <w:i/>
        </w:rPr>
      </w:pPr>
    </w:p>
    <w:p w14:paraId="6DE25A06" w14:textId="77777777" w:rsidR="00EE6E72" w:rsidRDefault="007F7332" w:rsidP="00424E40">
      <w:pPr>
        <w:rPr>
          <w:szCs w:val="22"/>
        </w:rPr>
      </w:pPr>
      <w:r w:rsidRPr="001F7980">
        <w:rPr>
          <w:szCs w:val="22"/>
          <w:u w:val="single"/>
        </w:rPr>
        <w:t>Obal tvrdej kapsuly</w:t>
      </w:r>
      <w:r w:rsidRPr="009B5E44">
        <w:rPr>
          <w:szCs w:val="22"/>
        </w:rPr>
        <w:t>:</w:t>
      </w:r>
    </w:p>
    <w:p w14:paraId="1FA49BD5" w14:textId="77777777" w:rsidR="00EE6E72" w:rsidRDefault="00A33233" w:rsidP="00424E40">
      <w:pPr>
        <w:autoSpaceDE w:val="0"/>
        <w:autoSpaceDN w:val="0"/>
        <w:adjustRightInd w:val="0"/>
        <w:outlineLvl w:val="0"/>
        <w:rPr>
          <w:bCs/>
          <w:iCs/>
          <w:szCs w:val="22"/>
        </w:rPr>
      </w:pPr>
      <w:r w:rsidRPr="00A33233">
        <w:rPr>
          <w:bCs/>
          <w:iCs/>
          <w:szCs w:val="22"/>
        </w:rPr>
        <w:t>čierny</w:t>
      </w:r>
      <w:r>
        <w:rPr>
          <w:bCs/>
          <w:iCs/>
          <w:szCs w:val="22"/>
        </w:rPr>
        <w:t xml:space="preserve"> oxid železitý (E172)</w:t>
      </w:r>
    </w:p>
    <w:p w14:paraId="08FAF367" w14:textId="77777777" w:rsidR="00EE6E72" w:rsidRDefault="00A33233" w:rsidP="00424E40">
      <w:pPr>
        <w:autoSpaceDE w:val="0"/>
        <w:autoSpaceDN w:val="0"/>
        <w:adjustRightInd w:val="0"/>
        <w:outlineLvl w:val="0"/>
        <w:rPr>
          <w:bCs/>
          <w:iCs/>
          <w:szCs w:val="22"/>
        </w:rPr>
      </w:pPr>
      <w:r w:rsidRPr="00A33233">
        <w:rPr>
          <w:bCs/>
          <w:iCs/>
          <w:szCs w:val="22"/>
        </w:rPr>
        <w:t>č</w:t>
      </w:r>
      <w:r>
        <w:rPr>
          <w:bCs/>
          <w:iCs/>
          <w:szCs w:val="22"/>
        </w:rPr>
        <w:t>ervený oxid železitý (E172)</w:t>
      </w:r>
    </w:p>
    <w:p w14:paraId="1E5872AA" w14:textId="77777777" w:rsidR="00EE6E72" w:rsidRDefault="0000178E" w:rsidP="00424E40">
      <w:pPr>
        <w:autoSpaceDE w:val="0"/>
        <w:autoSpaceDN w:val="0"/>
        <w:adjustRightInd w:val="0"/>
        <w:outlineLvl w:val="0"/>
        <w:rPr>
          <w:bCs/>
          <w:iCs/>
          <w:szCs w:val="22"/>
        </w:rPr>
      </w:pPr>
      <w:r>
        <w:rPr>
          <w:bCs/>
          <w:iCs/>
          <w:szCs w:val="22"/>
        </w:rPr>
        <w:t>oxid titaničitý (E171)</w:t>
      </w:r>
    </w:p>
    <w:p w14:paraId="423398BB" w14:textId="77777777" w:rsidR="00EE6E72" w:rsidRDefault="0000178E" w:rsidP="00424E40">
      <w:pPr>
        <w:autoSpaceDE w:val="0"/>
        <w:autoSpaceDN w:val="0"/>
        <w:adjustRightInd w:val="0"/>
        <w:outlineLvl w:val="0"/>
        <w:rPr>
          <w:bCs/>
          <w:iCs/>
          <w:szCs w:val="22"/>
        </w:rPr>
      </w:pPr>
      <w:r>
        <w:rPr>
          <w:bCs/>
          <w:iCs/>
          <w:szCs w:val="22"/>
        </w:rPr>
        <w:t>žltý oxid železitý (E172)</w:t>
      </w:r>
    </w:p>
    <w:p w14:paraId="507727E2" w14:textId="77777777" w:rsidR="00EE6E72" w:rsidRDefault="0000178E" w:rsidP="00424E40">
      <w:pPr>
        <w:autoSpaceDE w:val="0"/>
        <w:autoSpaceDN w:val="0"/>
        <w:adjustRightInd w:val="0"/>
        <w:outlineLvl w:val="0"/>
        <w:rPr>
          <w:bCs/>
          <w:iCs/>
          <w:szCs w:val="22"/>
        </w:rPr>
      </w:pPr>
      <w:r>
        <w:rPr>
          <w:bCs/>
          <w:iCs/>
          <w:szCs w:val="22"/>
        </w:rPr>
        <w:t>oranžová žlť (E110)</w:t>
      </w:r>
    </w:p>
    <w:p w14:paraId="0641DCCD" w14:textId="70C2BB5A" w:rsidR="00EE6E72" w:rsidRDefault="0000178E" w:rsidP="00424E40">
      <w:pPr>
        <w:autoSpaceDE w:val="0"/>
        <w:autoSpaceDN w:val="0"/>
        <w:adjustRightInd w:val="0"/>
        <w:outlineLvl w:val="0"/>
        <w:rPr>
          <w:bCs/>
          <w:iCs/>
          <w:szCs w:val="22"/>
        </w:rPr>
      </w:pPr>
      <w:r>
        <w:rPr>
          <w:bCs/>
          <w:iCs/>
          <w:szCs w:val="22"/>
        </w:rPr>
        <w:t>želatína</w:t>
      </w:r>
    </w:p>
    <w:p w14:paraId="27C053D4" w14:textId="77777777" w:rsidR="00EE6E72" w:rsidRDefault="00EE6E72" w:rsidP="00424E40">
      <w:pPr>
        <w:autoSpaceDE w:val="0"/>
        <w:autoSpaceDN w:val="0"/>
        <w:adjustRightInd w:val="0"/>
        <w:outlineLvl w:val="0"/>
        <w:rPr>
          <w:bCs/>
          <w:iCs/>
          <w:szCs w:val="22"/>
        </w:rPr>
      </w:pPr>
    </w:p>
    <w:p w14:paraId="185CBE11" w14:textId="77777777" w:rsidR="00EE6E72" w:rsidRDefault="007F7332" w:rsidP="00424E40">
      <w:pPr>
        <w:rPr>
          <w:szCs w:val="22"/>
        </w:rPr>
      </w:pPr>
      <w:r w:rsidRPr="005E5933">
        <w:rPr>
          <w:szCs w:val="22"/>
          <w:u w:val="single"/>
        </w:rPr>
        <w:t>Obsah mäkkej kapsuly s dutasteridom</w:t>
      </w:r>
      <w:r w:rsidRPr="009B5E44">
        <w:rPr>
          <w:szCs w:val="22"/>
        </w:rPr>
        <w:t>:</w:t>
      </w:r>
    </w:p>
    <w:p w14:paraId="38F441AE" w14:textId="2FC63ACB" w:rsidR="00EE6E72" w:rsidRDefault="007A122B" w:rsidP="00424E40">
      <w:pPr>
        <w:rPr>
          <w:szCs w:val="22"/>
        </w:rPr>
      </w:pPr>
      <w:r>
        <w:rPr>
          <w:rStyle w:val="tlid-translation"/>
        </w:rPr>
        <w:lastRenderedPageBreak/>
        <w:t>propyl</w:t>
      </w:r>
      <w:r w:rsidR="005B7759">
        <w:rPr>
          <w:rStyle w:val="tlid-translation"/>
        </w:rPr>
        <w:t>é</w:t>
      </w:r>
      <w:r>
        <w:rPr>
          <w:rStyle w:val="tlid-translation"/>
        </w:rPr>
        <w:t>nglykolmono</w:t>
      </w:r>
      <w:r w:rsidR="008E682B">
        <w:rPr>
          <w:rStyle w:val="tlid-translation"/>
        </w:rPr>
        <w:t>k</w:t>
      </w:r>
      <w:r>
        <w:rPr>
          <w:rStyle w:val="tlid-translation"/>
        </w:rPr>
        <w:t>aprylát, typ II</w:t>
      </w:r>
      <w:r w:rsidRPr="009B5E44">
        <w:rPr>
          <w:szCs w:val="22"/>
        </w:rPr>
        <w:t xml:space="preserve"> </w:t>
      </w:r>
    </w:p>
    <w:p w14:paraId="0D889033" w14:textId="62CA5749" w:rsidR="00EE6E72" w:rsidRDefault="007F7332" w:rsidP="00424E40">
      <w:pPr>
        <w:rPr>
          <w:szCs w:val="22"/>
        </w:rPr>
      </w:pPr>
      <w:r w:rsidRPr="009B5E44">
        <w:rPr>
          <w:szCs w:val="22"/>
        </w:rPr>
        <w:t>butylhydroxytoluén (E321)</w:t>
      </w:r>
    </w:p>
    <w:p w14:paraId="4B109BCA" w14:textId="77777777" w:rsidR="00EE6E72" w:rsidRDefault="00EE6E72" w:rsidP="00424E40">
      <w:pPr>
        <w:autoSpaceDE w:val="0"/>
        <w:autoSpaceDN w:val="0"/>
        <w:adjustRightInd w:val="0"/>
        <w:ind w:left="360"/>
        <w:rPr>
          <w:bCs/>
          <w:iCs/>
          <w:szCs w:val="22"/>
        </w:rPr>
      </w:pPr>
    </w:p>
    <w:p w14:paraId="5735751D" w14:textId="77777777" w:rsidR="00EE6E72" w:rsidRDefault="007F7332" w:rsidP="00424E40">
      <w:pPr>
        <w:pStyle w:val="Nadpis5"/>
        <w:rPr>
          <w:rFonts w:ascii="Times New Roman" w:hAnsi="Times New Roman"/>
          <w:iCs/>
          <w:color w:val="auto"/>
          <w:szCs w:val="22"/>
          <w:u w:val="single"/>
        </w:rPr>
      </w:pPr>
      <w:r w:rsidRPr="00293D95">
        <w:rPr>
          <w:rFonts w:ascii="Times New Roman" w:hAnsi="Times New Roman"/>
          <w:iCs/>
          <w:color w:val="auto"/>
          <w:szCs w:val="22"/>
          <w:u w:val="single"/>
        </w:rPr>
        <w:t>Obal mäkkej kapsuly:</w:t>
      </w:r>
    </w:p>
    <w:p w14:paraId="38DAC67B" w14:textId="77777777" w:rsidR="00EE6E72" w:rsidRDefault="00293D95" w:rsidP="00424E40">
      <w:pPr>
        <w:pStyle w:val="Zkladntext2"/>
        <w:keepNext/>
        <w:keepLines/>
        <w:spacing w:after="0" w:line="240" w:lineRule="auto"/>
        <w:rPr>
          <w:szCs w:val="22"/>
        </w:rPr>
      </w:pPr>
      <w:r>
        <w:rPr>
          <w:szCs w:val="22"/>
        </w:rPr>
        <w:t>ž</w:t>
      </w:r>
      <w:r w:rsidR="007F7332" w:rsidRPr="009B5E44">
        <w:rPr>
          <w:szCs w:val="22"/>
        </w:rPr>
        <w:t>elatína</w:t>
      </w:r>
    </w:p>
    <w:p w14:paraId="3BFD3A92" w14:textId="77777777" w:rsidR="00EE6E72" w:rsidRDefault="00293D95" w:rsidP="00424E40">
      <w:pPr>
        <w:pStyle w:val="Zkladntext2"/>
        <w:keepNext/>
        <w:keepLines/>
        <w:spacing w:after="0" w:line="240" w:lineRule="auto"/>
        <w:rPr>
          <w:szCs w:val="22"/>
        </w:rPr>
      </w:pPr>
      <w:r>
        <w:rPr>
          <w:szCs w:val="22"/>
        </w:rPr>
        <w:t>g</w:t>
      </w:r>
      <w:r w:rsidR="007F7332" w:rsidRPr="009B5E44">
        <w:rPr>
          <w:szCs w:val="22"/>
        </w:rPr>
        <w:t>lycerol</w:t>
      </w:r>
    </w:p>
    <w:p w14:paraId="7CBCBD5D" w14:textId="77777777" w:rsidR="00EE6E72" w:rsidRDefault="00D26B83" w:rsidP="00424E40">
      <w:pPr>
        <w:pStyle w:val="Zkladntext2"/>
        <w:keepNext/>
        <w:keepLines/>
        <w:spacing w:after="0" w:line="240" w:lineRule="auto"/>
        <w:rPr>
          <w:szCs w:val="22"/>
        </w:rPr>
      </w:pPr>
      <w:r>
        <w:rPr>
          <w:szCs w:val="22"/>
        </w:rPr>
        <w:t>o</w:t>
      </w:r>
      <w:r w:rsidR="007F7332" w:rsidRPr="009B5E44">
        <w:rPr>
          <w:szCs w:val="22"/>
        </w:rPr>
        <w:t>xid titaničitý (E171)</w:t>
      </w:r>
    </w:p>
    <w:p w14:paraId="6FB9A02E" w14:textId="572D6815" w:rsidR="00EE6E72" w:rsidRDefault="007F7332" w:rsidP="00424E40">
      <w:pPr>
        <w:keepNext/>
        <w:keepLines/>
        <w:spacing w:line="240" w:lineRule="auto"/>
        <w:rPr>
          <w:szCs w:val="22"/>
        </w:rPr>
      </w:pPr>
      <w:r w:rsidRPr="009B5E44">
        <w:rPr>
          <w:szCs w:val="22"/>
        </w:rPr>
        <w:t>triacylglyceroly</w:t>
      </w:r>
      <w:r w:rsidR="008E682B">
        <w:rPr>
          <w:szCs w:val="22"/>
        </w:rPr>
        <w:t xml:space="preserve"> (so stredne dlhým reťazcom)</w:t>
      </w:r>
    </w:p>
    <w:p w14:paraId="3F42E73E" w14:textId="77777777" w:rsidR="00EE6E72" w:rsidRDefault="00D26B83" w:rsidP="00424E40">
      <w:pPr>
        <w:keepNext/>
        <w:keepLines/>
        <w:spacing w:line="240" w:lineRule="auto"/>
        <w:rPr>
          <w:szCs w:val="22"/>
        </w:rPr>
      </w:pPr>
      <w:r>
        <w:rPr>
          <w:szCs w:val="22"/>
        </w:rPr>
        <w:t>l</w:t>
      </w:r>
      <w:r w:rsidR="007F7332" w:rsidRPr="009B5E44">
        <w:rPr>
          <w:szCs w:val="22"/>
        </w:rPr>
        <w:t>ecitín (môže obsahovať sójový olej)</w:t>
      </w:r>
    </w:p>
    <w:p w14:paraId="04AE09F9" w14:textId="77777777" w:rsidR="00EE6E72" w:rsidRDefault="00EE6E72" w:rsidP="00424E40">
      <w:pPr>
        <w:ind w:left="360"/>
        <w:rPr>
          <w:szCs w:val="22"/>
        </w:rPr>
      </w:pPr>
    </w:p>
    <w:p w14:paraId="23C13DC5" w14:textId="77777777" w:rsidR="00EE6E72" w:rsidRDefault="007F7332" w:rsidP="00424E40">
      <w:pPr>
        <w:keepNext/>
        <w:keepLines/>
        <w:autoSpaceDE w:val="0"/>
        <w:autoSpaceDN w:val="0"/>
        <w:adjustRightInd w:val="0"/>
        <w:outlineLvl w:val="0"/>
        <w:rPr>
          <w:bCs/>
          <w:iCs/>
          <w:szCs w:val="22"/>
        </w:rPr>
      </w:pPr>
      <w:r w:rsidRPr="006B785D">
        <w:rPr>
          <w:bCs/>
          <w:iCs/>
          <w:szCs w:val="22"/>
          <w:u w:val="single"/>
        </w:rPr>
        <w:t>Pelety tamsulozínu</w:t>
      </w:r>
      <w:r w:rsidRPr="009B5E44">
        <w:rPr>
          <w:bCs/>
          <w:iCs/>
          <w:szCs w:val="22"/>
        </w:rPr>
        <w:t>:</w:t>
      </w:r>
    </w:p>
    <w:p w14:paraId="476B7DC4" w14:textId="0BC785A5" w:rsidR="00EE6E72" w:rsidRDefault="005B7759" w:rsidP="00424E40">
      <w:pPr>
        <w:keepNext/>
        <w:keepLines/>
        <w:autoSpaceDE w:val="0"/>
        <w:autoSpaceDN w:val="0"/>
        <w:adjustRightInd w:val="0"/>
        <w:outlineLvl w:val="0"/>
        <w:rPr>
          <w:szCs w:val="22"/>
        </w:rPr>
      </w:pPr>
      <w:r>
        <w:rPr>
          <w:szCs w:val="22"/>
        </w:rPr>
        <w:t>k</w:t>
      </w:r>
      <w:r w:rsidRPr="009B5E44">
        <w:rPr>
          <w:szCs w:val="22"/>
        </w:rPr>
        <w:t xml:space="preserve">opolymér kyseliny metakrylovej </w:t>
      </w:r>
      <w:r w:rsidR="008E682B">
        <w:rPr>
          <w:szCs w:val="22"/>
        </w:rPr>
        <w:t>s</w:t>
      </w:r>
      <w:r w:rsidRPr="009B5E44">
        <w:rPr>
          <w:szCs w:val="22"/>
        </w:rPr>
        <w:t> etylakrylá</w:t>
      </w:r>
      <w:r w:rsidR="008E682B">
        <w:rPr>
          <w:szCs w:val="22"/>
        </w:rPr>
        <w:t>tom</w:t>
      </w:r>
      <w:r w:rsidRPr="009B5E44">
        <w:rPr>
          <w:szCs w:val="22"/>
        </w:rPr>
        <w:t xml:space="preserve"> 1:1</w:t>
      </w:r>
      <w:r w:rsidR="008E682B">
        <w:rPr>
          <w:szCs w:val="22"/>
        </w:rPr>
        <w:t>, 30%</w:t>
      </w:r>
      <w:r w:rsidR="00641AD6">
        <w:rPr>
          <w:szCs w:val="22"/>
        </w:rPr>
        <w:t xml:space="preserve"> disperzia</w:t>
      </w:r>
      <w:r w:rsidRPr="009B5E44">
        <w:rPr>
          <w:szCs w:val="22"/>
        </w:rPr>
        <w:t xml:space="preserve"> (</w:t>
      </w:r>
      <w:r w:rsidR="008E682B">
        <w:rPr>
          <w:szCs w:val="22"/>
        </w:rPr>
        <w:t>obsahuje laurylsíran sodný a polysorbát 80)</w:t>
      </w:r>
    </w:p>
    <w:p w14:paraId="01C4A1D2" w14:textId="77777777" w:rsidR="00EE6E72" w:rsidRDefault="005B7759" w:rsidP="00424E40">
      <w:pPr>
        <w:keepNext/>
        <w:keepLines/>
        <w:autoSpaceDE w:val="0"/>
        <w:autoSpaceDN w:val="0"/>
        <w:adjustRightInd w:val="0"/>
        <w:outlineLvl w:val="0"/>
        <w:rPr>
          <w:szCs w:val="22"/>
        </w:rPr>
      </w:pPr>
      <w:r>
        <w:rPr>
          <w:szCs w:val="22"/>
        </w:rPr>
        <w:t>m</w:t>
      </w:r>
      <w:r w:rsidR="007F7332" w:rsidRPr="009B5E44">
        <w:rPr>
          <w:szCs w:val="22"/>
        </w:rPr>
        <w:t>ikrokryštalická celulóza</w:t>
      </w:r>
    </w:p>
    <w:p w14:paraId="6F80B20E" w14:textId="04E4D293" w:rsidR="00EE6E72" w:rsidRDefault="005B7759" w:rsidP="00424E40">
      <w:pPr>
        <w:keepNext/>
        <w:keepLines/>
        <w:autoSpaceDE w:val="0"/>
        <w:autoSpaceDN w:val="0"/>
        <w:adjustRightInd w:val="0"/>
        <w:outlineLvl w:val="0"/>
        <w:rPr>
          <w:szCs w:val="22"/>
        </w:rPr>
      </w:pPr>
      <w:r>
        <w:rPr>
          <w:szCs w:val="22"/>
        </w:rPr>
        <w:t>dibutylseba</w:t>
      </w:r>
      <w:r w:rsidR="008E682B">
        <w:rPr>
          <w:szCs w:val="22"/>
        </w:rPr>
        <w:t>k</w:t>
      </w:r>
      <w:r>
        <w:rPr>
          <w:szCs w:val="22"/>
        </w:rPr>
        <w:t>át</w:t>
      </w:r>
    </w:p>
    <w:p w14:paraId="373BA8D7" w14:textId="77777777" w:rsidR="00EE6E72" w:rsidRDefault="005B7759" w:rsidP="00424E40">
      <w:pPr>
        <w:keepNext/>
        <w:keepLines/>
        <w:autoSpaceDE w:val="0"/>
        <w:autoSpaceDN w:val="0"/>
        <w:adjustRightInd w:val="0"/>
        <w:outlineLvl w:val="0"/>
        <w:rPr>
          <w:bCs/>
          <w:iCs/>
          <w:szCs w:val="22"/>
        </w:rPr>
      </w:pPr>
      <w:r>
        <w:rPr>
          <w:bCs/>
          <w:iCs/>
          <w:szCs w:val="22"/>
        </w:rPr>
        <w:t>polysorbát 80</w:t>
      </w:r>
    </w:p>
    <w:p w14:paraId="06C9244A" w14:textId="11073557" w:rsidR="00EE6E72" w:rsidRDefault="005B7759" w:rsidP="00424E40">
      <w:pPr>
        <w:pStyle w:val="Normln1"/>
      </w:pPr>
      <w:r>
        <w:t>k</w:t>
      </w:r>
      <w:r w:rsidRPr="00BF05AE">
        <w:t>oloidn</w:t>
      </w:r>
      <w:r w:rsidR="008E682B">
        <w:t>ý</w:t>
      </w:r>
      <w:r w:rsidRPr="00BF05AE">
        <w:t xml:space="preserve"> hydratovaný oxid k</w:t>
      </w:r>
      <w:r w:rsidR="008E682B">
        <w:t>r</w:t>
      </w:r>
      <w:r w:rsidRPr="00BF05AE">
        <w:t>emičitý</w:t>
      </w:r>
    </w:p>
    <w:p w14:paraId="6D81D8BD" w14:textId="0075267D" w:rsidR="00EE6E72" w:rsidRDefault="005B7759" w:rsidP="00424E40">
      <w:pPr>
        <w:keepNext/>
        <w:keepLines/>
        <w:autoSpaceDE w:val="0"/>
        <w:autoSpaceDN w:val="0"/>
        <w:adjustRightInd w:val="0"/>
        <w:outlineLvl w:val="0"/>
      </w:pPr>
      <w:r>
        <w:t>stear</w:t>
      </w:r>
      <w:r w:rsidR="008E682B">
        <w:t>an</w:t>
      </w:r>
      <w:r>
        <w:t xml:space="preserve"> </w:t>
      </w:r>
      <w:r w:rsidR="008E682B">
        <w:t>vápenatý</w:t>
      </w:r>
    </w:p>
    <w:p w14:paraId="2964AACB" w14:textId="77777777" w:rsidR="00EE6E72" w:rsidRDefault="00EE6E72" w:rsidP="00424E40">
      <w:pPr>
        <w:keepNext/>
        <w:keepLines/>
        <w:autoSpaceDE w:val="0"/>
        <w:autoSpaceDN w:val="0"/>
        <w:adjustRightInd w:val="0"/>
        <w:outlineLvl w:val="0"/>
        <w:rPr>
          <w:bCs/>
          <w:iCs/>
          <w:szCs w:val="22"/>
        </w:rPr>
      </w:pPr>
    </w:p>
    <w:p w14:paraId="15F90963" w14:textId="77777777" w:rsidR="00EE6E72" w:rsidRDefault="005B7759" w:rsidP="00424E40">
      <w:pPr>
        <w:keepNext/>
        <w:keepLines/>
        <w:autoSpaceDE w:val="0"/>
        <w:autoSpaceDN w:val="0"/>
        <w:adjustRightInd w:val="0"/>
        <w:outlineLvl w:val="0"/>
        <w:rPr>
          <w:bCs/>
          <w:iCs/>
          <w:szCs w:val="22"/>
          <w:u w:val="single"/>
        </w:rPr>
      </w:pPr>
      <w:r w:rsidRPr="00911BAF">
        <w:rPr>
          <w:szCs w:val="22"/>
          <w:u w:val="single"/>
        </w:rPr>
        <w:t>Čierny atrament</w:t>
      </w:r>
    </w:p>
    <w:p w14:paraId="0DE9D410" w14:textId="77777777" w:rsidR="00EE6E72" w:rsidRDefault="00911BAF" w:rsidP="00424E40">
      <w:pPr>
        <w:pStyle w:val="Normln1"/>
        <w:rPr>
          <w:lang w:val="sk-SK"/>
        </w:rPr>
      </w:pPr>
      <w:r w:rsidRPr="00911BAF">
        <w:rPr>
          <w:lang w:val="sk-SK"/>
        </w:rPr>
        <w:t>šelak (E904)</w:t>
      </w:r>
    </w:p>
    <w:p w14:paraId="5E792D06" w14:textId="77777777" w:rsidR="00EE6E72" w:rsidRDefault="00911BAF" w:rsidP="00424E40">
      <w:pPr>
        <w:pStyle w:val="Normln1"/>
        <w:rPr>
          <w:bCs/>
          <w:iCs/>
          <w:szCs w:val="22"/>
          <w:lang w:val="sk-SK"/>
        </w:rPr>
      </w:pPr>
      <w:r w:rsidRPr="00911BAF">
        <w:rPr>
          <w:szCs w:val="22"/>
          <w:lang w:val="sk-SK"/>
        </w:rPr>
        <w:t xml:space="preserve">čierny oxid železitý </w:t>
      </w:r>
      <w:r w:rsidRPr="00911BAF">
        <w:rPr>
          <w:bCs/>
          <w:iCs/>
          <w:szCs w:val="22"/>
          <w:lang w:val="sk-SK"/>
        </w:rPr>
        <w:t>(E172)</w:t>
      </w:r>
    </w:p>
    <w:p w14:paraId="69C11665" w14:textId="77777777" w:rsidR="00EE6E72" w:rsidRDefault="00BF50E3" w:rsidP="00424E40">
      <w:pPr>
        <w:pStyle w:val="Normln1"/>
        <w:rPr>
          <w:lang w:val="sk-SK"/>
        </w:rPr>
      </w:pPr>
      <w:r>
        <w:rPr>
          <w:bCs/>
          <w:iCs/>
          <w:szCs w:val="22"/>
          <w:lang w:val="sk-SK"/>
        </w:rPr>
        <w:t>propylénglykol (E1520)</w:t>
      </w:r>
    </w:p>
    <w:p w14:paraId="2F850B04" w14:textId="77777777" w:rsidR="00EE6E72" w:rsidRDefault="005B7759" w:rsidP="00424E40">
      <w:pPr>
        <w:pStyle w:val="Normln1"/>
        <w:rPr>
          <w:lang w:val="sk-SK"/>
        </w:rPr>
      </w:pPr>
      <w:r w:rsidRPr="00911BAF">
        <w:rPr>
          <w:lang w:val="sk-SK"/>
        </w:rPr>
        <w:t>koncentrovaný roztok amoniaku (E527)</w:t>
      </w:r>
    </w:p>
    <w:p w14:paraId="1E0468A1" w14:textId="29522E20" w:rsidR="00EE6E72" w:rsidRDefault="00BF50E3" w:rsidP="00424E40">
      <w:pPr>
        <w:pStyle w:val="Normln1"/>
        <w:rPr>
          <w:lang w:val="sk-SK"/>
        </w:rPr>
      </w:pPr>
      <w:r>
        <w:rPr>
          <w:lang w:val="sk-SK"/>
        </w:rPr>
        <w:t>hydroxid draselný (E525)</w:t>
      </w:r>
    </w:p>
    <w:p w14:paraId="2A2EA99A" w14:textId="77777777" w:rsidR="00EE6E72" w:rsidRDefault="00EE6E72" w:rsidP="00424E40">
      <w:pPr>
        <w:spacing w:line="240" w:lineRule="auto"/>
      </w:pPr>
    </w:p>
    <w:p w14:paraId="5B2D4CDD" w14:textId="77777777" w:rsidR="00EE6E72" w:rsidRDefault="00B81AFC" w:rsidP="00424E40">
      <w:pPr>
        <w:keepNext/>
        <w:numPr>
          <w:ilvl w:val="1"/>
          <w:numId w:val="6"/>
        </w:numPr>
        <w:spacing w:line="240" w:lineRule="auto"/>
        <w:outlineLvl w:val="0"/>
      </w:pPr>
      <w:r w:rsidRPr="00BF5AB0">
        <w:rPr>
          <w:b/>
        </w:rPr>
        <w:t>Inkompatibility</w:t>
      </w:r>
    </w:p>
    <w:p w14:paraId="73EAA4E8" w14:textId="77777777" w:rsidR="00EE6E72" w:rsidRDefault="00EE6E72" w:rsidP="00424E40">
      <w:pPr>
        <w:keepNext/>
        <w:spacing w:line="240" w:lineRule="auto"/>
      </w:pPr>
    </w:p>
    <w:p w14:paraId="0BC54455" w14:textId="77777777" w:rsidR="00EE6E72" w:rsidRDefault="00B81AFC" w:rsidP="00424E40">
      <w:pPr>
        <w:spacing w:line="240" w:lineRule="auto"/>
      </w:pPr>
      <w:r w:rsidRPr="00A72672">
        <w:t>Neaplikovateľné.</w:t>
      </w:r>
    </w:p>
    <w:p w14:paraId="29DB21A9" w14:textId="77777777" w:rsidR="00EE6E72" w:rsidRDefault="00EE6E72" w:rsidP="00424E40">
      <w:pPr>
        <w:spacing w:line="240" w:lineRule="auto"/>
      </w:pPr>
    </w:p>
    <w:p w14:paraId="56A70D63" w14:textId="77777777" w:rsidR="00EE6E72" w:rsidRDefault="00B81AFC" w:rsidP="00424E40">
      <w:pPr>
        <w:keepNext/>
        <w:numPr>
          <w:ilvl w:val="1"/>
          <w:numId w:val="6"/>
        </w:numPr>
        <w:spacing w:line="240" w:lineRule="auto"/>
        <w:outlineLvl w:val="0"/>
      </w:pPr>
      <w:r w:rsidRPr="00BF5AB0">
        <w:rPr>
          <w:b/>
        </w:rPr>
        <w:t>Čas použiteľnosti</w:t>
      </w:r>
    </w:p>
    <w:p w14:paraId="61B96342" w14:textId="77777777" w:rsidR="00EE6E72" w:rsidRDefault="00EE6E72" w:rsidP="00424E40">
      <w:pPr>
        <w:keepNext/>
        <w:spacing w:line="240" w:lineRule="auto"/>
      </w:pPr>
    </w:p>
    <w:p w14:paraId="2021C215" w14:textId="77777777" w:rsidR="00EE6E72" w:rsidRDefault="007F7332" w:rsidP="00424E40">
      <w:pPr>
        <w:spacing w:line="240" w:lineRule="auto"/>
      </w:pPr>
      <w:r>
        <w:t>2 roky</w:t>
      </w:r>
    </w:p>
    <w:p w14:paraId="4A1F50B5" w14:textId="77777777" w:rsidR="00EE6E72" w:rsidRDefault="00EE6E72" w:rsidP="00424E40">
      <w:pPr>
        <w:spacing w:line="240" w:lineRule="auto"/>
      </w:pPr>
    </w:p>
    <w:p w14:paraId="2E68089F" w14:textId="77777777" w:rsidR="00EE6E72" w:rsidRDefault="00B81AFC" w:rsidP="00424E40">
      <w:pPr>
        <w:keepNext/>
        <w:numPr>
          <w:ilvl w:val="1"/>
          <w:numId w:val="6"/>
        </w:numPr>
        <w:spacing w:line="240" w:lineRule="auto"/>
        <w:outlineLvl w:val="0"/>
        <w:rPr>
          <w:b/>
        </w:rPr>
      </w:pPr>
      <w:r w:rsidRPr="00BF5AB0">
        <w:rPr>
          <w:b/>
        </w:rPr>
        <w:t>Špeciálne upozornenia na uchovávanie</w:t>
      </w:r>
    </w:p>
    <w:p w14:paraId="681F7F92" w14:textId="77777777" w:rsidR="00EE6E72" w:rsidRDefault="00EE6E72" w:rsidP="00424E40">
      <w:pPr>
        <w:keepNext/>
        <w:spacing w:line="240" w:lineRule="auto"/>
        <w:ind w:left="567" w:hanging="567"/>
        <w:outlineLvl w:val="0"/>
      </w:pPr>
    </w:p>
    <w:p w14:paraId="1B6DECA4" w14:textId="77777777" w:rsidR="008E682B" w:rsidRPr="00D75809" w:rsidRDefault="008E682B" w:rsidP="008E682B">
      <w:r w:rsidRPr="00D75809">
        <w:rPr>
          <w:rStyle w:val="hps"/>
        </w:rPr>
        <w:t>Tento liek nevyžaduje žiadne zvláštne podmienky na uchovávanie</w:t>
      </w:r>
      <w:r w:rsidRPr="00D75809">
        <w:t>.</w:t>
      </w:r>
    </w:p>
    <w:p w14:paraId="47F55BFF" w14:textId="77777777" w:rsidR="00EE6E72" w:rsidRDefault="00EE6E72" w:rsidP="00424E40">
      <w:pPr>
        <w:spacing w:line="240" w:lineRule="auto"/>
      </w:pPr>
    </w:p>
    <w:p w14:paraId="2AD710F1" w14:textId="77777777" w:rsidR="00EE6E72" w:rsidRDefault="00B81AFC" w:rsidP="00424E40">
      <w:pPr>
        <w:keepNext/>
        <w:numPr>
          <w:ilvl w:val="1"/>
          <w:numId w:val="6"/>
        </w:numPr>
        <w:tabs>
          <w:tab w:val="clear" w:pos="567"/>
        </w:tabs>
        <w:spacing w:line="240" w:lineRule="auto"/>
        <w:ind w:left="567" w:hanging="567"/>
        <w:outlineLvl w:val="0"/>
        <w:rPr>
          <w:b/>
        </w:rPr>
      </w:pPr>
      <w:r w:rsidRPr="00BF5AB0">
        <w:rPr>
          <w:b/>
        </w:rPr>
        <w:t>Druh obalu a</w:t>
      </w:r>
      <w:r w:rsidR="00851AE0">
        <w:rPr>
          <w:b/>
        </w:rPr>
        <w:t> </w:t>
      </w:r>
      <w:r w:rsidRPr="00BF5AB0">
        <w:rPr>
          <w:b/>
        </w:rPr>
        <w:t xml:space="preserve">obsah balenia </w:t>
      </w:r>
    </w:p>
    <w:p w14:paraId="17B1B616" w14:textId="77777777" w:rsidR="00EE6E72" w:rsidRDefault="00EE6E72" w:rsidP="00424E40">
      <w:pPr>
        <w:keepNext/>
        <w:spacing w:line="240" w:lineRule="auto"/>
        <w:outlineLvl w:val="0"/>
      </w:pPr>
    </w:p>
    <w:p w14:paraId="17A316E1" w14:textId="487F4089" w:rsidR="00EE6E72" w:rsidRDefault="00E10F4D" w:rsidP="00424E40">
      <w:pPr>
        <w:keepNext/>
        <w:keepLines/>
        <w:rPr>
          <w:bCs/>
          <w:iCs/>
          <w:szCs w:val="22"/>
        </w:rPr>
      </w:pPr>
      <w:r>
        <w:rPr>
          <w:bCs/>
          <w:iCs/>
          <w:szCs w:val="22"/>
        </w:rPr>
        <w:t>HDPE</w:t>
      </w:r>
      <w:r w:rsidR="007F6D12" w:rsidRPr="009B5E44">
        <w:rPr>
          <w:bCs/>
          <w:iCs/>
          <w:szCs w:val="22"/>
        </w:rPr>
        <w:t xml:space="preserve"> fľaš</w:t>
      </w:r>
      <w:r>
        <w:rPr>
          <w:bCs/>
          <w:iCs/>
          <w:szCs w:val="22"/>
        </w:rPr>
        <w:t>a so silikag</w:t>
      </w:r>
      <w:r w:rsidR="008E682B">
        <w:rPr>
          <w:bCs/>
          <w:iCs/>
          <w:szCs w:val="22"/>
        </w:rPr>
        <w:t>élovým vysušovadlom v</w:t>
      </w:r>
      <w:r w:rsidR="00A25896">
        <w:rPr>
          <w:bCs/>
          <w:iCs/>
          <w:szCs w:val="22"/>
        </w:rPr>
        <w:t xml:space="preserve"> </w:t>
      </w:r>
      <w:r w:rsidR="007F6D12" w:rsidRPr="009B5E44">
        <w:rPr>
          <w:bCs/>
          <w:iCs/>
          <w:szCs w:val="22"/>
        </w:rPr>
        <w:t>polypropylénov</w:t>
      </w:r>
      <w:r w:rsidR="008E682B">
        <w:rPr>
          <w:bCs/>
          <w:iCs/>
          <w:szCs w:val="22"/>
        </w:rPr>
        <w:t>om viečku.</w:t>
      </w:r>
    </w:p>
    <w:p w14:paraId="66B161A5" w14:textId="77777777" w:rsidR="00EE6E72" w:rsidRDefault="00EE6E72" w:rsidP="00424E40">
      <w:pPr>
        <w:keepNext/>
        <w:keepLines/>
        <w:rPr>
          <w:bCs/>
          <w:iCs/>
          <w:szCs w:val="22"/>
        </w:rPr>
      </w:pPr>
    </w:p>
    <w:p w14:paraId="3DFBE1B7" w14:textId="77777777" w:rsidR="00EE6E72" w:rsidRDefault="007F6D12" w:rsidP="00424E40">
      <w:pPr>
        <w:rPr>
          <w:bCs/>
          <w:iCs/>
          <w:szCs w:val="22"/>
        </w:rPr>
      </w:pPr>
      <w:r w:rsidRPr="009B5E44">
        <w:rPr>
          <w:bCs/>
          <w:iCs/>
          <w:szCs w:val="22"/>
        </w:rPr>
        <w:t xml:space="preserve">7 tvrdých kapsúl v </w:t>
      </w:r>
      <w:r w:rsidR="00883A40">
        <w:rPr>
          <w:bCs/>
          <w:iCs/>
          <w:szCs w:val="22"/>
        </w:rPr>
        <w:t>35</w:t>
      </w:r>
      <w:r w:rsidRPr="009B5E44">
        <w:rPr>
          <w:bCs/>
          <w:iCs/>
          <w:szCs w:val="22"/>
        </w:rPr>
        <w:t> ml fľaši</w:t>
      </w:r>
    </w:p>
    <w:p w14:paraId="030EFD1B" w14:textId="77777777" w:rsidR="00EE6E72" w:rsidRDefault="007F6D12" w:rsidP="00424E40">
      <w:pPr>
        <w:rPr>
          <w:bCs/>
          <w:iCs/>
          <w:szCs w:val="22"/>
        </w:rPr>
      </w:pPr>
      <w:r w:rsidRPr="009B5E44">
        <w:rPr>
          <w:bCs/>
          <w:iCs/>
          <w:szCs w:val="22"/>
        </w:rPr>
        <w:t>30 tvrdých kapsúl v 100 ml fľaši</w:t>
      </w:r>
    </w:p>
    <w:p w14:paraId="71109D31" w14:textId="77777777" w:rsidR="00EE6E72" w:rsidRDefault="007F6D12" w:rsidP="00424E40">
      <w:pPr>
        <w:rPr>
          <w:bCs/>
          <w:iCs/>
          <w:szCs w:val="22"/>
        </w:rPr>
      </w:pPr>
      <w:r w:rsidRPr="009B5E44">
        <w:rPr>
          <w:bCs/>
          <w:iCs/>
          <w:szCs w:val="22"/>
        </w:rPr>
        <w:t>90 tvrdých kapsúl v 200 ml fľaši</w:t>
      </w:r>
    </w:p>
    <w:p w14:paraId="256B5D56" w14:textId="77777777" w:rsidR="00EE6E72" w:rsidRDefault="00EE6E72" w:rsidP="00424E40">
      <w:pPr>
        <w:rPr>
          <w:bCs/>
          <w:iCs/>
          <w:szCs w:val="22"/>
        </w:rPr>
      </w:pPr>
    </w:p>
    <w:p w14:paraId="22E87274" w14:textId="77777777" w:rsidR="00EE6E72" w:rsidRDefault="007F6D12" w:rsidP="00424E40">
      <w:pPr>
        <w:spacing w:line="240" w:lineRule="auto"/>
        <w:rPr>
          <w:szCs w:val="22"/>
        </w:rPr>
      </w:pPr>
      <w:r w:rsidRPr="009B5E44">
        <w:rPr>
          <w:szCs w:val="22"/>
        </w:rPr>
        <w:t>Na trh nemusia byť uvedené všetky veľkosti balenia.</w:t>
      </w:r>
    </w:p>
    <w:p w14:paraId="4A7B872F" w14:textId="77777777" w:rsidR="00EE6E72" w:rsidRDefault="00EE6E72" w:rsidP="00424E40">
      <w:pPr>
        <w:spacing w:line="240" w:lineRule="auto"/>
      </w:pPr>
    </w:p>
    <w:p w14:paraId="7FFDF501" w14:textId="77777777" w:rsidR="00EE6E72" w:rsidRDefault="00B81AFC" w:rsidP="00424E40">
      <w:pPr>
        <w:keepNext/>
        <w:numPr>
          <w:ilvl w:val="1"/>
          <w:numId w:val="6"/>
        </w:numPr>
        <w:spacing w:line="240" w:lineRule="auto"/>
        <w:outlineLvl w:val="0"/>
      </w:pPr>
      <w:bookmarkStart w:id="1" w:name="OLE_LINK1"/>
      <w:r w:rsidRPr="00BF5AB0">
        <w:rPr>
          <w:b/>
        </w:rPr>
        <w:t xml:space="preserve">Špeciálne opatrenia na likvidáciu </w:t>
      </w:r>
    </w:p>
    <w:p w14:paraId="4CAD2CE3" w14:textId="77777777" w:rsidR="00EE6E72" w:rsidRDefault="00EE6E72" w:rsidP="00424E40">
      <w:pPr>
        <w:keepNext/>
        <w:spacing w:line="240" w:lineRule="auto"/>
      </w:pPr>
    </w:p>
    <w:p w14:paraId="2A9FCE51" w14:textId="77777777" w:rsidR="00EE6E72" w:rsidRDefault="00913514" w:rsidP="00424E40">
      <w:pPr>
        <w:rPr>
          <w:szCs w:val="22"/>
        </w:rPr>
      </w:pPr>
      <w:r w:rsidRPr="009B5E44">
        <w:rPr>
          <w:szCs w:val="22"/>
        </w:rPr>
        <w:t>Dutasterid sa vstrebáva cez kožu, a preto sa musí zabrániť kontaktu s vytekajúcimi kapsulami. Ak došlo ku kontaktu s vytekajúcimi kapsulami, miesto kontaktu sa musí okamžite umyť mydlom a vodou (pozri časť 4.4).</w:t>
      </w:r>
    </w:p>
    <w:p w14:paraId="4FBAC8B3" w14:textId="77777777" w:rsidR="00EE6E72" w:rsidRDefault="00EE6E72" w:rsidP="00424E40">
      <w:pPr>
        <w:rPr>
          <w:szCs w:val="22"/>
        </w:rPr>
      </w:pPr>
    </w:p>
    <w:p w14:paraId="4BB25B9C" w14:textId="77777777" w:rsidR="00EE6E72" w:rsidRDefault="00913514" w:rsidP="00424E40">
      <w:pPr>
        <w:spacing w:line="240" w:lineRule="auto"/>
      </w:pPr>
      <w:r w:rsidRPr="009B5E44">
        <w:rPr>
          <w:szCs w:val="22"/>
        </w:rPr>
        <w:lastRenderedPageBreak/>
        <w:t>Všetok nepoužitý liek alebo odpad vzniknutý z lieku sa má zlikvidovať v súlade s národnými požiadavkami.</w:t>
      </w:r>
      <w:bookmarkEnd w:id="1"/>
    </w:p>
    <w:p w14:paraId="14714EAF" w14:textId="77777777" w:rsidR="00EE6E72" w:rsidRDefault="00EE6E72" w:rsidP="00424E40">
      <w:pPr>
        <w:spacing w:line="240" w:lineRule="auto"/>
      </w:pPr>
    </w:p>
    <w:p w14:paraId="59E44F56" w14:textId="77777777" w:rsidR="00EE6E72" w:rsidRDefault="00B81AFC" w:rsidP="00424E40">
      <w:pPr>
        <w:keepNext/>
        <w:numPr>
          <w:ilvl w:val="0"/>
          <w:numId w:val="6"/>
        </w:numPr>
        <w:spacing w:line="240" w:lineRule="auto"/>
      </w:pPr>
      <w:r w:rsidRPr="00BF5AB0">
        <w:rPr>
          <w:b/>
        </w:rPr>
        <w:t>DRŽITEĽ ROZHODNUTIA O</w:t>
      </w:r>
      <w:r>
        <w:rPr>
          <w:b/>
          <w:noProof/>
        </w:rPr>
        <w:t> </w:t>
      </w:r>
      <w:r w:rsidRPr="00BF5AB0">
        <w:rPr>
          <w:b/>
        </w:rPr>
        <w:t>REGISTRÁCII</w:t>
      </w:r>
    </w:p>
    <w:p w14:paraId="26C48630" w14:textId="77777777" w:rsidR="00EE6E72" w:rsidRDefault="00EE6E72" w:rsidP="00424E40">
      <w:pPr>
        <w:keepNext/>
        <w:spacing w:line="240" w:lineRule="auto"/>
      </w:pPr>
    </w:p>
    <w:p w14:paraId="5C5CA126" w14:textId="77777777" w:rsidR="00EE6E72" w:rsidRDefault="002E73D2" w:rsidP="00424E40">
      <w:pPr>
        <w:spacing w:line="240" w:lineRule="auto"/>
      </w:pPr>
      <w:r>
        <w:t>ARDEZ Pharma, spol. s r.o.</w:t>
      </w:r>
    </w:p>
    <w:p w14:paraId="689F141B" w14:textId="77777777" w:rsidR="00EE6E72" w:rsidRDefault="002E73D2" w:rsidP="00424E40">
      <w:pPr>
        <w:spacing w:line="240" w:lineRule="auto"/>
      </w:pPr>
      <w:r>
        <w:t>V Borovičkách 278</w:t>
      </w:r>
    </w:p>
    <w:p w14:paraId="39D33FD4" w14:textId="77777777" w:rsidR="00EE6E72" w:rsidRDefault="002E73D2" w:rsidP="00424E40">
      <w:pPr>
        <w:spacing w:line="240" w:lineRule="auto"/>
      </w:pPr>
      <w:r>
        <w:t>252 26 Kosoř</w:t>
      </w:r>
    </w:p>
    <w:p w14:paraId="784470B1" w14:textId="77777777" w:rsidR="00EE6E72" w:rsidRDefault="002E73D2" w:rsidP="00424E40">
      <w:pPr>
        <w:spacing w:line="240" w:lineRule="auto"/>
      </w:pPr>
      <w:r>
        <w:t>Česká republika</w:t>
      </w:r>
    </w:p>
    <w:p w14:paraId="7C3274C2" w14:textId="77777777" w:rsidR="00424E40" w:rsidRDefault="00424E40" w:rsidP="00424E40">
      <w:pPr>
        <w:spacing w:line="240" w:lineRule="auto"/>
      </w:pPr>
    </w:p>
    <w:p w14:paraId="74A43DD8" w14:textId="77777777" w:rsidR="00EE6E72" w:rsidRDefault="00EE6E72" w:rsidP="00424E40">
      <w:pPr>
        <w:spacing w:line="240" w:lineRule="auto"/>
      </w:pPr>
    </w:p>
    <w:p w14:paraId="5BE577EF" w14:textId="77777777" w:rsidR="00EE6E72" w:rsidRDefault="00B81AFC" w:rsidP="00424E40">
      <w:pPr>
        <w:keepNext/>
        <w:numPr>
          <w:ilvl w:val="0"/>
          <w:numId w:val="6"/>
        </w:numPr>
        <w:spacing w:line="240" w:lineRule="auto"/>
        <w:rPr>
          <w:b/>
        </w:rPr>
      </w:pPr>
      <w:r w:rsidRPr="00BF5AB0">
        <w:rPr>
          <w:b/>
        </w:rPr>
        <w:t>REGISTRAČNÉ ČÍSLO</w:t>
      </w:r>
    </w:p>
    <w:p w14:paraId="0D36FE65" w14:textId="77777777" w:rsidR="00EE6E72" w:rsidRDefault="00EE6E72" w:rsidP="00424E40">
      <w:pPr>
        <w:keepNext/>
        <w:spacing w:line="240" w:lineRule="auto"/>
      </w:pPr>
    </w:p>
    <w:p w14:paraId="010834F7" w14:textId="57F8BC4B" w:rsidR="00424E40" w:rsidRDefault="002775E4" w:rsidP="00424E40">
      <w:pPr>
        <w:keepNext/>
        <w:spacing w:line="240" w:lineRule="auto"/>
      </w:pPr>
      <w:r w:rsidRPr="002775E4">
        <w:t>77/0283/19-S</w:t>
      </w:r>
    </w:p>
    <w:p w14:paraId="7C5C80C1" w14:textId="77777777" w:rsidR="002775E4" w:rsidRDefault="002775E4" w:rsidP="00424E40">
      <w:pPr>
        <w:keepNext/>
        <w:spacing w:line="240" w:lineRule="auto"/>
      </w:pPr>
    </w:p>
    <w:p w14:paraId="11CA11C1" w14:textId="77777777" w:rsidR="00EE6E72" w:rsidRDefault="00EE6E72" w:rsidP="00424E40">
      <w:pPr>
        <w:spacing w:line="240" w:lineRule="auto"/>
      </w:pPr>
    </w:p>
    <w:p w14:paraId="1017E146" w14:textId="77777777" w:rsidR="00EE6E72" w:rsidRDefault="00B81AFC" w:rsidP="00424E40">
      <w:pPr>
        <w:keepNext/>
        <w:numPr>
          <w:ilvl w:val="0"/>
          <w:numId w:val="6"/>
        </w:numPr>
        <w:spacing w:line="240" w:lineRule="auto"/>
      </w:pPr>
      <w:r w:rsidRPr="00BF5AB0">
        <w:rPr>
          <w:b/>
        </w:rPr>
        <w:t>DÁTUM PRVEJ REGISTRÁCIE/PREDĹŽENIA REGISTRÁ</w:t>
      </w:r>
      <w:r w:rsidRPr="00891D76">
        <w:rPr>
          <w:b/>
        </w:rPr>
        <w:t>CIE</w:t>
      </w:r>
    </w:p>
    <w:p w14:paraId="7F29EAD4" w14:textId="77777777" w:rsidR="00EE6E72" w:rsidRDefault="00EE6E72" w:rsidP="00424E40">
      <w:pPr>
        <w:keepNext/>
        <w:spacing w:line="240" w:lineRule="auto"/>
        <w:rPr>
          <w:i/>
        </w:rPr>
      </w:pPr>
    </w:p>
    <w:p w14:paraId="0622D442" w14:textId="324B2041" w:rsidR="00EE6E72" w:rsidRDefault="00B81AFC" w:rsidP="00424E40">
      <w:pPr>
        <w:keepNext/>
        <w:spacing w:line="240" w:lineRule="auto"/>
        <w:rPr>
          <w:i/>
        </w:rPr>
      </w:pPr>
      <w:r w:rsidRPr="00BF5AB0">
        <w:t xml:space="preserve">Dátum prvej registrácie: </w:t>
      </w:r>
      <w:r w:rsidR="00EE0645">
        <w:t>25. septembra 2019</w:t>
      </w:r>
    </w:p>
    <w:p w14:paraId="0135AA98" w14:textId="77777777" w:rsidR="00EE6E72" w:rsidRDefault="00B81AFC" w:rsidP="00424E40">
      <w:pPr>
        <w:spacing w:line="240" w:lineRule="auto"/>
      </w:pPr>
      <w:r w:rsidRPr="00891D76">
        <w:t xml:space="preserve">Dátum posledného predĺženia registrácie: </w:t>
      </w:r>
    </w:p>
    <w:p w14:paraId="02DE28B1" w14:textId="77777777" w:rsidR="00EE6E72" w:rsidRDefault="00EE6E72" w:rsidP="00424E40">
      <w:pPr>
        <w:spacing w:line="240" w:lineRule="auto"/>
      </w:pPr>
    </w:p>
    <w:p w14:paraId="1FCBCCDF" w14:textId="77777777" w:rsidR="00EE6E72" w:rsidRDefault="00EE6E72" w:rsidP="00424E40">
      <w:pPr>
        <w:spacing w:line="240" w:lineRule="auto"/>
      </w:pPr>
    </w:p>
    <w:p w14:paraId="687F3952" w14:textId="77777777" w:rsidR="00EE6E72" w:rsidRDefault="00B81AFC" w:rsidP="00424E40">
      <w:pPr>
        <w:keepNext/>
        <w:numPr>
          <w:ilvl w:val="0"/>
          <w:numId w:val="6"/>
        </w:numPr>
        <w:spacing w:line="240" w:lineRule="auto"/>
        <w:rPr>
          <w:b/>
        </w:rPr>
      </w:pPr>
      <w:r w:rsidRPr="00BF5AB0">
        <w:rPr>
          <w:b/>
        </w:rPr>
        <w:t>DÁTUM REVÍZIE TEXTU</w:t>
      </w:r>
    </w:p>
    <w:p w14:paraId="73C6FA15" w14:textId="77777777" w:rsidR="00EE6E72" w:rsidRDefault="00EE6E72" w:rsidP="00424E40">
      <w:pPr>
        <w:keepNext/>
        <w:spacing w:line="240" w:lineRule="auto"/>
      </w:pPr>
    </w:p>
    <w:p w14:paraId="3374E061" w14:textId="73C26345" w:rsidR="00EE6E72" w:rsidRDefault="00EE0645" w:rsidP="00424E40">
      <w:pPr>
        <w:spacing w:line="240" w:lineRule="auto"/>
      </w:pPr>
      <w:r>
        <w:t xml:space="preserve">Január </w:t>
      </w:r>
      <w:r w:rsidR="006669A7">
        <w:t>202</w:t>
      </w:r>
      <w:r>
        <w:t>1</w:t>
      </w:r>
    </w:p>
    <w:p w14:paraId="25D0C0AE" w14:textId="77777777" w:rsidR="00EE6E72" w:rsidRDefault="00EE6E72" w:rsidP="00424E40">
      <w:pPr>
        <w:numPr>
          <w:ilvl w:val="12"/>
          <w:numId w:val="0"/>
        </w:numPr>
        <w:spacing w:line="240" w:lineRule="auto"/>
        <w:ind w:right="-2"/>
      </w:pPr>
    </w:p>
    <w:sectPr w:rsidR="00EE6E72" w:rsidSect="00085939">
      <w:headerReference w:type="default" r:id="rId9"/>
      <w:footerReference w:type="default" r:id="rId10"/>
      <w:footerReference w:type="first" r:id="rId1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644D8" w14:textId="77777777" w:rsidR="00981DBD" w:rsidRDefault="00981DBD">
      <w:pPr>
        <w:spacing w:line="240" w:lineRule="auto"/>
      </w:pPr>
      <w:r>
        <w:separator/>
      </w:r>
    </w:p>
  </w:endnote>
  <w:endnote w:type="continuationSeparator" w:id="0">
    <w:p w14:paraId="477C189E" w14:textId="77777777" w:rsidR="00981DBD" w:rsidRDefault="00981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3636" w14:textId="77777777" w:rsidR="00424E40" w:rsidRPr="00BF78C1" w:rsidRDefault="00424E40" w:rsidP="00085939">
    <w:pPr>
      <w:pStyle w:val="Pta1"/>
      <w:tabs>
        <w:tab w:val="right" w:pos="8931"/>
      </w:tabs>
      <w:ind w:right="96"/>
      <w:jc w:val="center"/>
      <w:rPr>
        <w:rFonts w:ascii="Times New Roman" w:hAnsi="Times New Roman"/>
        <w:sz w:val="18"/>
        <w:szCs w:val="18"/>
      </w:rPr>
    </w:pPr>
    <w:r w:rsidRPr="00A72672">
      <w:fldChar w:fldCharType="begin"/>
    </w:r>
    <w:r w:rsidRPr="00A72672">
      <w:instrText xml:space="preserve"> EQ </w:instrText>
    </w:r>
    <w:r w:rsidRPr="00A72672">
      <w:fldChar w:fldCharType="end"/>
    </w:r>
    <w:r w:rsidRPr="00BF78C1">
      <w:rPr>
        <w:rStyle w:val="slostrany1"/>
        <w:rFonts w:ascii="Times New Roman" w:hAnsi="Times New Roman"/>
        <w:sz w:val="18"/>
        <w:szCs w:val="18"/>
      </w:rPr>
      <w:fldChar w:fldCharType="begin"/>
    </w:r>
    <w:r w:rsidRPr="00BF78C1">
      <w:rPr>
        <w:rStyle w:val="slostrany1"/>
        <w:rFonts w:ascii="Times New Roman" w:hAnsi="Times New Roman"/>
        <w:sz w:val="18"/>
        <w:szCs w:val="18"/>
      </w:rPr>
      <w:instrText xml:space="preserve">PAGE  </w:instrText>
    </w:r>
    <w:r w:rsidRPr="00BF78C1">
      <w:rPr>
        <w:rStyle w:val="slostrany1"/>
        <w:rFonts w:ascii="Times New Roman" w:hAnsi="Times New Roman"/>
        <w:sz w:val="18"/>
        <w:szCs w:val="18"/>
      </w:rPr>
      <w:fldChar w:fldCharType="separate"/>
    </w:r>
    <w:r w:rsidR="00BF78C1">
      <w:rPr>
        <w:rStyle w:val="slostrany1"/>
        <w:rFonts w:ascii="Times New Roman" w:hAnsi="Times New Roman"/>
        <w:sz w:val="18"/>
        <w:szCs w:val="18"/>
      </w:rPr>
      <w:t>20</w:t>
    </w:r>
    <w:r w:rsidRPr="00BF78C1">
      <w:rPr>
        <w:rStyle w:val="slostrany1"/>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E4F73" w14:textId="77777777" w:rsidR="00424E40" w:rsidRDefault="00424E40" w:rsidP="00085939">
    <w:pPr>
      <w:pStyle w:val="Pta1"/>
      <w:tabs>
        <w:tab w:val="right" w:pos="8931"/>
      </w:tabs>
      <w:ind w:right="96"/>
      <w:jc w:val="center"/>
    </w:pPr>
    <w:r>
      <w:fldChar w:fldCharType="begin"/>
    </w:r>
    <w:r>
      <w:instrText xml:space="preserve"> EQ </w:instrText>
    </w:r>
    <w:r>
      <w:fldChar w:fldCharType="end"/>
    </w:r>
    <w:r w:rsidRPr="00BF5AB0">
      <w:rPr>
        <w:rStyle w:val="slostrany1"/>
      </w:rPr>
      <w:fldChar w:fldCharType="begin"/>
    </w:r>
    <w:r w:rsidRPr="00A72672">
      <w:rPr>
        <w:rStyle w:val="slostrany1"/>
      </w:rPr>
      <w:instrText xml:space="preserve">PAGE  </w:instrText>
    </w:r>
    <w:r w:rsidRPr="00BF5AB0">
      <w:rPr>
        <w:rStyle w:val="slostrany1"/>
      </w:rPr>
      <w:fldChar w:fldCharType="separate"/>
    </w:r>
    <w:r>
      <w:rPr>
        <w:rStyle w:val="slostrany1"/>
      </w:rPr>
      <w:t>1</w:t>
    </w:r>
    <w:r w:rsidRPr="00BF5AB0">
      <w:rPr>
        <w:rStyle w:val="slostrany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7A4E7" w14:textId="77777777" w:rsidR="00981DBD" w:rsidRDefault="00981DBD">
      <w:pPr>
        <w:spacing w:line="240" w:lineRule="auto"/>
      </w:pPr>
      <w:r>
        <w:separator/>
      </w:r>
    </w:p>
  </w:footnote>
  <w:footnote w:type="continuationSeparator" w:id="0">
    <w:p w14:paraId="4418F4AE" w14:textId="77777777" w:rsidR="00981DBD" w:rsidRDefault="00981D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1750B" w14:textId="71B674DA" w:rsidR="00424E40" w:rsidRDefault="006669A7" w:rsidP="007C65FB">
    <w:pPr>
      <w:pStyle w:val="Hlavika"/>
    </w:pPr>
    <w:r>
      <w:rPr>
        <w:rFonts w:ascii="Times New Roman" w:hAnsi="Times New Roman"/>
        <w:sz w:val="18"/>
        <w:szCs w:val="18"/>
        <w:lang w:val="sk-SK"/>
      </w:rPr>
      <w:t>Príloha č. 1 k notifikácii o zmene, ev. č.: 2020/03347-Z1A</w:t>
    </w:r>
  </w:p>
  <w:p w14:paraId="4713F17A" w14:textId="77777777" w:rsidR="00424E40" w:rsidRDefault="00424E40">
    <w:pPr>
      <w:pStyle w:val="Hlavika"/>
    </w:pPr>
  </w:p>
  <w:p w14:paraId="63239DED" w14:textId="77777777" w:rsidR="00424E40" w:rsidRDefault="00424E40">
    <w:pPr>
      <w:pStyle w:val="Hlavika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44CC1"/>
    <w:multiLevelType w:val="hybridMultilevel"/>
    <w:tmpl w:val="7FF2C56E"/>
    <w:lvl w:ilvl="0" w:tplc="D378500C">
      <w:start w:val="1"/>
      <w:numFmt w:val="bullet"/>
      <w:lvlText w:val=""/>
      <w:lvlJc w:val="left"/>
      <w:pPr>
        <w:tabs>
          <w:tab w:val="num" w:pos="720"/>
        </w:tabs>
        <w:ind w:left="720" w:hanging="360"/>
      </w:pPr>
      <w:rPr>
        <w:rFonts w:ascii="Symbol" w:hAnsi="Symbol" w:hint="default"/>
      </w:rPr>
    </w:lvl>
    <w:lvl w:ilvl="1" w:tplc="35345912" w:tentative="1">
      <w:start w:val="1"/>
      <w:numFmt w:val="bullet"/>
      <w:lvlText w:val="o"/>
      <w:lvlJc w:val="left"/>
      <w:pPr>
        <w:tabs>
          <w:tab w:val="num" w:pos="1440"/>
        </w:tabs>
        <w:ind w:left="1440" w:hanging="360"/>
      </w:pPr>
      <w:rPr>
        <w:rFonts w:ascii="Courier New" w:hAnsi="Courier New" w:cs="Courier New" w:hint="default"/>
      </w:rPr>
    </w:lvl>
    <w:lvl w:ilvl="2" w:tplc="74AEBCAC" w:tentative="1">
      <w:start w:val="1"/>
      <w:numFmt w:val="bullet"/>
      <w:lvlText w:val=""/>
      <w:lvlJc w:val="left"/>
      <w:pPr>
        <w:tabs>
          <w:tab w:val="num" w:pos="2160"/>
        </w:tabs>
        <w:ind w:left="2160" w:hanging="360"/>
      </w:pPr>
      <w:rPr>
        <w:rFonts w:ascii="Wingdings" w:hAnsi="Wingdings" w:hint="default"/>
      </w:rPr>
    </w:lvl>
    <w:lvl w:ilvl="3" w:tplc="9A54140C" w:tentative="1">
      <w:start w:val="1"/>
      <w:numFmt w:val="bullet"/>
      <w:lvlText w:val=""/>
      <w:lvlJc w:val="left"/>
      <w:pPr>
        <w:tabs>
          <w:tab w:val="num" w:pos="2880"/>
        </w:tabs>
        <w:ind w:left="2880" w:hanging="360"/>
      </w:pPr>
      <w:rPr>
        <w:rFonts w:ascii="Symbol" w:hAnsi="Symbol" w:hint="default"/>
      </w:rPr>
    </w:lvl>
    <w:lvl w:ilvl="4" w:tplc="57E0BF78" w:tentative="1">
      <w:start w:val="1"/>
      <w:numFmt w:val="bullet"/>
      <w:lvlText w:val="o"/>
      <w:lvlJc w:val="left"/>
      <w:pPr>
        <w:tabs>
          <w:tab w:val="num" w:pos="3600"/>
        </w:tabs>
        <w:ind w:left="3600" w:hanging="360"/>
      </w:pPr>
      <w:rPr>
        <w:rFonts w:ascii="Courier New" w:hAnsi="Courier New" w:cs="Courier New" w:hint="default"/>
      </w:rPr>
    </w:lvl>
    <w:lvl w:ilvl="5" w:tplc="1374B7F0" w:tentative="1">
      <w:start w:val="1"/>
      <w:numFmt w:val="bullet"/>
      <w:lvlText w:val=""/>
      <w:lvlJc w:val="left"/>
      <w:pPr>
        <w:tabs>
          <w:tab w:val="num" w:pos="4320"/>
        </w:tabs>
        <w:ind w:left="4320" w:hanging="360"/>
      </w:pPr>
      <w:rPr>
        <w:rFonts w:ascii="Wingdings" w:hAnsi="Wingdings" w:hint="default"/>
      </w:rPr>
    </w:lvl>
    <w:lvl w:ilvl="6" w:tplc="03761036" w:tentative="1">
      <w:start w:val="1"/>
      <w:numFmt w:val="bullet"/>
      <w:lvlText w:val=""/>
      <w:lvlJc w:val="left"/>
      <w:pPr>
        <w:tabs>
          <w:tab w:val="num" w:pos="5040"/>
        </w:tabs>
        <w:ind w:left="5040" w:hanging="360"/>
      </w:pPr>
      <w:rPr>
        <w:rFonts w:ascii="Symbol" w:hAnsi="Symbol" w:hint="default"/>
      </w:rPr>
    </w:lvl>
    <w:lvl w:ilvl="7" w:tplc="50E6DCEC" w:tentative="1">
      <w:start w:val="1"/>
      <w:numFmt w:val="bullet"/>
      <w:lvlText w:val="o"/>
      <w:lvlJc w:val="left"/>
      <w:pPr>
        <w:tabs>
          <w:tab w:val="num" w:pos="5760"/>
        </w:tabs>
        <w:ind w:left="5760" w:hanging="360"/>
      </w:pPr>
      <w:rPr>
        <w:rFonts w:ascii="Courier New" w:hAnsi="Courier New" w:cs="Courier New" w:hint="default"/>
      </w:rPr>
    </w:lvl>
    <w:lvl w:ilvl="8" w:tplc="FCCCBE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BE7F96"/>
    <w:multiLevelType w:val="hybridMultilevel"/>
    <w:tmpl w:val="1806E65A"/>
    <w:lvl w:ilvl="0" w:tplc="DAAA67AC">
      <w:start w:val="1"/>
      <w:numFmt w:val="decimal"/>
      <w:lvlText w:val="%1."/>
      <w:lvlJc w:val="left"/>
      <w:pPr>
        <w:ind w:left="930" w:hanging="570"/>
      </w:pPr>
      <w:rPr>
        <w:rFonts w:hint="default"/>
      </w:rPr>
    </w:lvl>
    <w:lvl w:ilvl="1" w:tplc="B82052D8" w:tentative="1">
      <w:start w:val="1"/>
      <w:numFmt w:val="lowerLetter"/>
      <w:lvlText w:val="%2."/>
      <w:lvlJc w:val="left"/>
      <w:pPr>
        <w:ind w:left="1440" w:hanging="360"/>
      </w:pPr>
    </w:lvl>
    <w:lvl w:ilvl="2" w:tplc="B32626E4" w:tentative="1">
      <w:start w:val="1"/>
      <w:numFmt w:val="lowerRoman"/>
      <w:lvlText w:val="%3."/>
      <w:lvlJc w:val="right"/>
      <w:pPr>
        <w:ind w:left="2160" w:hanging="180"/>
      </w:pPr>
    </w:lvl>
    <w:lvl w:ilvl="3" w:tplc="79F66D8A" w:tentative="1">
      <w:start w:val="1"/>
      <w:numFmt w:val="decimal"/>
      <w:lvlText w:val="%4."/>
      <w:lvlJc w:val="left"/>
      <w:pPr>
        <w:ind w:left="2880" w:hanging="360"/>
      </w:pPr>
    </w:lvl>
    <w:lvl w:ilvl="4" w:tplc="C0C03046" w:tentative="1">
      <w:start w:val="1"/>
      <w:numFmt w:val="lowerLetter"/>
      <w:lvlText w:val="%5."/>
      <w:lvlJc w:val="left"/>
      <w:pPr>
        <w:ind w:left="3600" w:hanging="360"/>
      </w:pPr>
    </w:lvl>
    <w:lvl w:ilvl="5" w:tplc="58A40F3A" w:tentative="1">
      <w:start w:val="1"/>
      <w:numFmt w:val="lowerRoman"/>
      <w:lvlText w:val="%6."/>
      <w:lvlJc w:val="right"/>
      <w:pPr>
        <w:ind w:left="4320" w:hanging="180"/>
      </w:pPr>
    </w:lvl>
    <w:lvl w:ilvl="6" w:tplc="AAE4580E" w:tentative="1">
      <w:start w:val="1"/>
      <w:numFmt w:val="decimal"/>
      <w:lvlText w:val="%7."/>
      <w:lvlJc w:val="left"/>
      <w:pPr>
        <w:ind w:left="5040" w:hanging="360"/>
      </w:pPr>
    </w:lvl>
    <w:lvl w:ilvl="7" w:tplc="7BACD4EE" w:tentative="1">
      <w:start w:val="1"/>
      <w:numFmt w:val="lowerLetter"/>
      <w:lvlText w:val="%8."/>
      <w:lvlJc w:val="left"/>
      <w:pPr>
        <w:ind w:left="5760" w:hanging="360"/>
      </w:pPr>
    </w:lvl>
    <w:lvl w:ilvl="8" w:tplc="538213C6" w:tentative="1">
      <w:start w:val="1"/>
      <w:numFmt w:val="lowerRoman"/>
      <w:lvlText w:val="%9."/>
      <w:lvlJc w:val="right"/>
      <w:pPr>
        <w:ind w:left="6480" w:hanging="180"/>
      </w:pPr>
    </w:lvl>
  </w:abstractNum>
  <w:abstractNum w:abstractNumId="3" w15:restartNumberingAfterBreak="0">
    <w:nsid w:val="2D3F14CF"/>
    <w:multiLevelType w:val="hybridMultilevel"/>
    <w:tmpl w:val="6FC0A652"/>
    <w:lvl w:ilvl="0" w:tplc="0B44AA26">
      <w:start w:val="1"/>
      <w:numFmt w:val="decimal"/>
      <w:lvlText w:val="%1."/>
      <w:lvlJc w:val="left"/>
      <w:pPr>
        <w:ind w:left="780" w:hanging="420"/>
      </w:pPr>
      <w:rPr>
        <w:rFonts w:hint="default"/>
      </w:rPr>
    </w:lvl>
    <w:lvl w:ilvl="1" w:tplc="064A86B0" w:tentative="1">
      <w:start w:val="1"/>
      <w:numFmt w:val="lowerLetter"/>
      <w:lvlText w:val="%2."/>
      <w:lvlJc w:val="left"/>
      <w:pPr>
        <w:ind w:left="1440" w:hanging="360"/>
      </w:pPr>
    </w:lvl>
    <w:lvl w:ilvl="2" w:tplc="A078BA9A" w:tentative="1">
      <w:start w:val="1"/>
      <w:numFmt w:val="lowerRoman"/>
      <w:lvlText w:val="%3."/>
      <w:lvlJc w:val="right"/>
      <w:pPr>
        <w:ind w:left="2160" w:hanging="180"/>
      </w:pPr>
    </w:lvl>
    <w:lvl w:ilvl="3" w:tplc="5630EE6C" w:tentative="1">
      <w:start w:val="1"/>
      <w:numFmt w:val="decimal"/>
      <w:lvlText w:val="%4."/>
      <w:lvlJc w:val="left"/>
      <w:pPr>
        <w:ind w:left="2880" w:hanging="360"/>
      </w:pPr>
    </w:lvl>
    <w:lvl w:ilvl="4" w:tplc="329A8E16" w:tentative="1">
      <w:start w:val="1"/>
      <w:numFmt w:val="lowerLetter"/>
      <w:lvlText w:val="%5."/>
      <w:lvlJc w:val="left"/>
      <w:pPr>
        <w:ind w:left="3600" w:hanging="360"/>
      </w:pPr>
    </w:lvl>
    <w:lvl w:ilvl="5" w:tplc="5450DEBA" w:tentative="1">
      <w:start w:val="1"/>
      <w:numFmt w:val="lowerRoman"/>
      <w:lvlText w:val="%6."/>
      <w:lvlJc w:val="right"/>
      <w:pPr>
        <w:ind w:left="4320" w:hanging="180"/>
      </w:pPr>
    </w:lvl>
    <w:lvl w:ilvl="6" w:tplc="253A8236" w:tentative="1">
      <w:start w:val="1"/>
      <w:numFmt w:val="decimal"/>
      <w:lvlText w:val="%7."/>
      <w:lvlJc w:val="left"/>
      <w:pPr>
        <w:ind w:left="5040" w:hanging="360"/>
      </w:pPr>
    </w:lvl>
    <w:lvl w:ilvl="7" w:tplc="DD96745E" w:tentative="1">
      <w:start w:val="1"/>
      <w:numFmt w:val="lowerLetter"/>
      <w:lvlText w:val="%8."/>
      <w:lvlJc w:val="left"/>
      <w:pPr>
        <w:ind w:left="5760" w:hanging="360"/>
      </w:pPr>
    </w:lvl>
    <w:lvl w:ilvl="8" w:tplc="9B52123C" w:tentative="1">
      <w:start w:val="1"/>
      <w:numFmt w:val="lowerRoman"/>
      <w:lvlText w:val="%9."/>
      <w:lvlJc w:val="right"/>
      <w:pPr>
        <w:ind w:left="6480" w:hanging="180"/>
      </w:pPr>
    </w:lvl>
  </w:abstractNum>
  <w:abstractNum w:abstractNumId="4" w15:restartNumberingAfterBreak="0">
    <w:nsid w:val="309C0446"/>
    <w:multiLevelType w:val="hybridMultilevel"/>
    <w:tmpl w:val="B20E620E"/>
    <w:lvl w:ilvl="0" w:tplc="F0C43A86">
      <w:start w:val="1"/>
      <w:numFmt w:val="decimal"/>
      <w:lvlText w:val="%1."/>
      <w:lvlJc w:val="left"/>
      <w:pPr>
        <w:ind w:left="930" w:hanging="570"/>
      </w:pPr>
      <w:rPr>
        <w:rFonts w:hint="default"/>
        <w:b/>
      </w:rPr>
    </w:lvl>
    <w:lvl w:ilvl="1" w:tplc="9E54705C" w:tentative="1">
      <w:start w:val="1"/>
      <w:numFmt w:val="lowerLetter"/>
      <w:lvlText w:val="%2."/>
      <w:lvlJc w:val="left"/>
      <w:pPr>
        <w:ind w:left="1440" w:hanging="360"/>
      </w:pPr>
    </w:lvl>
    <w:lvl w:ilvl="2" w:tplc="05B0A13A" w:tentative="1">
      <w:start w:val="1"/>
      <w:numFmt w:val="lowerRoman"/>
      <w:lvlText w:val="%3."/>
      <w:lvlJc w:val="right"/>
      <w:pPr>
        <w:ind w:left="2160" w:hanging="180"/>
      </w:pPr>
    </w:lvl>
    <w:lvl w:ilvl="3" w:tplc="B4D6F57E" w:tentative="1">
      <w:start w:val="1"/>
      <w:numFmt w:val="decimal"/>
      <w:lvlText w:val="%4."/>
      <w:lvlJc w:val="left"/>
      <w:pPr>
        <w:ind w:left="2880" w:hanging="360"/>
      </w:pPr>
    </w:lvl>
    <w:lvl w:ilvl="4" w:tplc="9702D614" w:tentative="1">
      <w:start w:val="1"/>
      <w:numFmt w:val="lowerLetter"/>
      <w:lvlText w:val="%5."/>
      <w:lvlJc w:val="left"/>
      <w:pPr>
        <w:ind w:left="3600" w:hanging="360"/>
      </w:pPr>
    </w:lvl>
    <w:lvl w:ilvl="5" w:tplc="46DCD2D8" w:tentative="1">
      <w:start w:val="1"/>
      <w:numFmt w:val="lowerRoman"/>
      <w:lvlText w:val="%6."/>
      <w:lvlJc w:val="right"/>
      <w:pPr>
        <w:ind w:left="4320" w:hanging="180"/>
      </w:pPr>
    </w:lvl>
    <w:lvl w:ilvl="6" w:tplc="68227336" w:tentative="1">
      <w:start w:val="1"/>
      <w:numFmt w:val="decimal"/>
      <w:lvlText w:val="%7."/>
      <w:lvlJc w:val="left"/>
      <w:pPr>
        <w:ind w:left="5040" w:hanging="360"/>
      </w:pPr>
    </w:lvl>
    <w:lvl w:ilvl="7" w:tplc="540E2EEA" w:tentative="1">
      <w:start w:val="1"/>
      <w:numFmt w:val="lowerLetter"/>
      <w:lvlText w:val="%8."/>
      <w:lvlJc w:val="left"/>
      <w:pPr>
        <w:ind w:left="5760" w:hanging="360"/>
      </w:pPr>
    </w:lvl>
    <w:lvl w:ilvl="8" w:tplc="129EA494" w:tentative="1">
      <w:start w:val="1"/>
      <w:numFmt w:val="lowerRoman"/>
      <w:lvlText w:val="%9."/>
      <w:lvlJc w:val="right"/>
      <w:pPr>
        <w:ind w:left="6480" w:hanging="180"/>
      </w:pPr>
    </w:lvl>
  </w:abstractNum>
  <w:abstractNum w:abstractNumId="5" w15:restartNumberingAfterBreak="0">
    <w:nsid w:val="57400A91"/>
    <w:multiLevelType w:val="hybridMultilevel"/>
    <w:tmpl w:val="2272E4E2"/>
    <w:lvl w:ilvl="0" w:tplc="61300682">
      <w:start w:val="1"/>
      <w:numFmt w:val="upperLetter"/>
      <w:lvlText w:val="%1."/>
      <w:lvlJc w:val="left"/>
      <w:pPr>
        <w:ind w:left="1701" w:hanging="708"/>
      </w:pPr>
      <w:rPr>
        <w:rFonts w:hint="default"/>
      </w:rPr>
    </w:lvl>
    <w:lvl w:ilvl="1" w:tplc="19FE6392">
      <w:start w:val="1"/>
      <w:numFmt w:val="decimal"/>
      <w:lvlText w:val="%2."/>
      <w:lvlJc w:val="left"/>
      <w:pPr>
        <w:ind w:left="2283" w:hanging="570"/>
      </w:pPr>
      <w:rPr>
        <w:rFonts w:hint="default"/>
      </w:rPr>
    </w:lvl>
    <w:lvl w:ilvl="2" w:tplc="3D7C2490" w:tentative="1">
      <w:start w:val="1"/>
      <w:numFmt w:val="lowerRoman"/>
      <w:lvlText w:val="%3."/>
      <w:lvlJc w:val="right"/>
      <w:pPr>
        <w:ind w:left="2793" w:hanging="180"/>
      </w:pPr>
    </w:lvl>
    <w:lvl w:ilvl="3" w:tplc="ED64A442" w:tentative="1">
      <w:start w:val="1"/>
      <w:numFmt w:val="decimal"/>
      <w:lvlText w:val="%4."/>
      <w:lvlJc w:val="left"/>
      <w:pPr>
        <w:ind w:left="3513" w:hanging="360"/>
      </w:pPr>
    </w:lvl>
    <w:lvl w:ilvl="4" w:tplc="F1B414BE" w:tentative="1">
      <w:start w:val="1"/>
      <w:numFmt w:val="lowerLetter"/>
      <w:lvlText w:val="%5."/>
      <w:lvlJc w:val="left"/>
      <w:pPr>
        <w:ind w:left="4233" w:hanging="360"/>
      </w:pPr>
    </w:lvl>
    <w:lvl w:ilvl="5" w:tplc="391AE92E" w:tentative="1">
      <w:start w:val="1"/>
      <w:numFmt w:val="lowerRoman"/>
      <w:lvlText w:val="%6."/>
      <w:lvlJc w:val="right"/>
      <w:pPr>
        <w:ind w:left="4953" w:hanging="180"/>
      </w:pPr>
    </w:lvl>
    <w:lvl w:ilvl="6" w:tplc="24F8B928" w:tentative="1">
      <w:start w:val="1"/>
      <w:numFmt w:val="decimal"/>
      <w:lvlText w:val="%7."/>
      <w:lvlJc w:val="left"/>
      <w:pPr>
        <w:ind w:left="5673" w:hanging="360"/>
      </w:pPr>
    </w:lvl>
    <w:lvl w:ilvl="7" w:tplc="E63E90F6" w:tentative="1">
      <w:start w:val="1"/>
      <w:numFmt w:val="lowerLetter"/>
      <w:lvlText w:val="%8."/>
      <w:lvlJc w:val="left"/>
      <w:pPr>
        <w:ind w:left="6393" w:hanging="360"/>
      </w:pPr>
    </w:lvl>
    <w:lvl w:ilvl="8" w:tplc="AADA0176" w:tentative="1">
      <w:start w:val="1"/>
      <w:numFmt w:val="lowerRoman"/>
      <w:lvlText w:val="%9."/>
      <w:lvlJc w:val="right"/>
      <w:pPr>
        <w:ind w:left="7113" w:hanging="180"/>
      </w:pPr>
    </w:lvl>
  </w:abstractNum>
  <w:abstractNum w:abstractNumId="6"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7" w15:restartNumberingAfterBreak="0">
    <w:nsid w:val="6F9337D0"/>
    <w:multiLevelType w:val="hybridMultilevel"/>
    <w:tmpl w:val="B6C885E6"/>
    <w:lvl w:ilvl="0" w:tplc="6D248A16">
      <w:start w:val="1"/>
      <w:numFmt w:val="bullet"/>
      <w:lvlText w:val=""/>
      <w:lvlJc w:val="left"/>
      <w:pPr>
        <w:tabs>
          <w:tab w:val="num" w:pos="720"/>
        </w:tabs>
        <w:ind w:left="720" w:hanging="360"/>
      </w:pPr>
      <w:rPr>
        <w:rFonts w:ascii="Symbol" w:hAnsi="Symbol" w:hint="default"/>
      </w:rPr>
    </w:lvl>
    <w:lvl w:ilvl="1" w:tplc="DAC66784" w:tentative="1">
      <w:start w:val="1"/>
      <w:numFmt w:val="bullet"/>
      <w:lvlText w:val="o"/>
      <w:lvlJc w:val="left"/>
      <w:pPr>
        <w:tabs>
          <w:tab w:val="num" w:pos="1440"/>
        </w:tabs>
        <w:ind w:left="1440" w:hanging="360"/>
      </w:pPr>
      <w:rPr>
        <w:rFonts w:ascii="Courier New" w:hAnsi="Courier New" w:cs="Courier New" w:hint="default"/>
      </w:rPr>
    </w:lvl>
    <w:lvl w:ilvl="2" w:tplc="ABAEE53A" w:tentative="1">
      <w:start w:val="1"/>
      <w:numFmt w:val="bullet"/>
      <w:lvlText w:val=""/>
      <w:lvlJc w:val="left"/>
      <w:pPr>
        <w:tabs>
          <w:tab w:val="num" w:pos="2160"/>
        </w:tabs>
        <w:ind w:left="2160" w:hanging="360"/>
      </w:pPr>
      <w:rPr>
        <w:rFonts w:ascii="Wingdings" w:hAnsi="Wingdings" w:hint="default"/>
      </w:rPr>
    </w:lvl>
    <w:lvl w:ilvl="3" w:tplc="8C60A980" w:tentative="1">
      <w:start w:val="1"/>
      <w:numFmt w:val="bullet"/>
      <w:lvlText w:val=""/>
      <w:lvlJc w:val="left"/>
      <w:pPr>
        <w:tabs>
          <w:tab w:val="num" w:pos="2880"/>
        </w:tabs>
        <w:ind w:left="2880" w:hanging="360"/>
      </w:pPr>
      <w:rPr>
        <w:rFonts w:ascii="Symbol" w:hAnsi="Symbol" w:hint="default"/>
      </w:rPr>
    </w:lvl>
    <w:lvl w:ilvl="4" w:tplc="0164C84C" w:tentative="1">
      <w:start w:val="1"/>
      <w:numFmt w:val="bullet"/>
      <w:lvlText w:val="o"/>
      <w:lvlJc w:val="left"/>
      <w:pPr>
        <w:tabs>
          <w:tab w:val="num" w:pos="3600"/>
        </w:tabs>
        <w:ind w:left="3600" w:hanging="360"/>
      </w:pPr>
      <w:rPr>
        <w:rFonts w:ascii="Courier New" w:hAnsi="Courier New" w:cs="Courier New" w:hint="default"/>
      </w:rPr>
    </w:lvl>
    <w:lvl w:ilvl="5" w:tplc="84EA67B0" w:tentative="1">
      <w:start w:val="1"/>
      <w:numFmt w:val="bullet"/>
      <w:lvlText w:val=""/>
      <w:lvlJc w:val="left"/>
      <w:pPr>
        <w:tabs>
          <w:tab w:val="num" w:pos="4320"/>
        </w:tabs>
        <w:ind w:left="4320" w:hanging="360"/>
      </w:pPr>
      <w:rPr>
        <w:rFonts w:ascii="Wingdings" w:hAnsi="Wingdings" w:hint="default"/>
      </w:rPr>
    </w:lvl>
    <w:lvl w:ilvl="6" w:tplc="625241CC" w:tentative="1">
      <w:start w:val="1"/>
      <w:numFmt w:val="bullet"/>
      <w:lvlText w:val=""/>
      <w:lvlJc w:val="left"/>
      <w:pPr>
        <w:tabs>
          <w:tab w:val="num" w:pos="5040"/>
        </w:tabs>
        <w:ind w:left="5040" w:hanging="360"/>
      </w:pPr>
      <w:rPr>
        <w:rFonts w:ascii="Symbol" w:hAnsi="Symbol" w:hint="default"/>
      </w:rPr>
    </w:lvl>
    <w:lvl w:ilvl="7" w:tplc="81B4565A" w:tentative="1">
      <w:start w:val="1"/>
      <w:numFmt w:val="bullet"/>
      <w:lvlText w:val="o"/>
      <w:lvlJc w:val="left"/>
      <w:pPr>
        <w:tabs>
          <w:tab w:val="num" w:pos="5760"/>
        </w:tabs>
        <w:ind w:left="5760" w:hanging="360"/>
      </w:pPr>
      <w:rPr>
        <w:rFonts w:ascii="Courier New" w:hAnsi="Courier New" w:cs="Courier New" w:hint="default"/>
      </w:rPr>
    </w:lvl>
    <w:lvl w:ilvl="8" w:tplc="2A0ED57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100D28"/>
    <w:multiLevelType w:val="hybridMultilevel"/>
    <w:tmpl w:val="2F94C0BA"/>
    <w:lvl w:ilvl="0" w:tplc="69F8E1D0">
      <w:start w:val="1"/>
      <w:numFmt w:val="upperLetter"/>
      <w:lvlText w:val="%1."/>
      <w:lvlJc w:val="left"/>
      <w:pPr>
        <w:ind w:left="5670" w:hanging="5670"/>
      </w:pPr>
      <w:rPr>
        <w:rFonts w:hint="default"/>
        <w:b/>
      </w:rPr>
    </w:lvl>
    <w:lvl w:ilvl="1" w:tplc="9602310E">
      <w:start w:val="1"/>
      <w:numFmt w:val="decimal"/>
      <w:lvlText w:val="%2."/>
      <w:lvlJc w:val="left"/>
      <w:pPr>
        <w:ind w:left="1650" w:hanging="570"/>
      </w:pPr>
      <w:rPr>
        <w:rFonts w:hint="default"/>
        <w:b/>
        <w:i w:val="0"/>
      </w:rPr>
    </w:lvl>
    <w:lvl w:ilvl="2" w:tplc="53B6E02E" w:tentative="1">
      <w:start w:val="1"/>
      <w:numFmt w:val="lowerRoman"/>
      <w:lvlText w:val="%3."/>
      <w:lvlJc w:val="right"/>
      <w:pPr>
        <w:ind w:left="2160" w:hanging="180"/>
      </w:pPr>
    </w:lvl>
    <w:lvl w:ilvl="3" w:tplc="D83AC46E" w:tentative="1">
      <w:start w:val="1"/>
      <w:numFmt w:val="decimal"/>
      <w:lvlText w:val="%4."/>
      <w:lvlJc w:val="left"/>
      <w:pPr>
        <w:ind w:left="2880" w:hanging="360"/>
      </w:pPr>
    </w:lvl>
    <w:lvl w:ilvl="4" w:tplc="318C3A8C" w:tentative="1">
      <w:start w:val="1"/>
      <w:numFmt w:val="lowerLetter"/>
      <w:lvlText w:val="%5."/>
      <w:lvlJc w:val="left"/>
      <w:pPr>
        <w:ind w:left="3600" w:hanging="360"/>
      </w:pPr>
    </w:lvl>
    <w:lvl w:ilvl="5" w:tplc="775ED14A" w:tentative="1">
      <w:start w:val="1"/>
      <w:numFmt w:val="lowerRoman"/>
      <w:lvlText w:val="%6."/>
      <w:lvlJc w:val="right"/>
      <w:pPr>
        <w:ind w:left="4320" w:hanging="180"/>
      </w:pPr>
    </w:lvl>
    <w:lvl w:ilvl="6" w:tplc="BDFCDD02" w:tentative="1">
      <w:start w:val="1"/>
      <w:numFmt w:val="decimal"/>
      <w:lvlText w:val="%7."/>
      <w:lvlJc w:val="left"/>
      <w:pPr>
        <w:ind w:left="5040" w:hanging="360"/>
      </w:pPr>
    </w:lvl>
    <w:lvl w:ilvl="7" w:tplc="35EE7B02" w:tentative="1">
      <w:start w:val="1"/>
      <w:numFmt w:val="lowerLetter"/>
      <w:lvlText w:val="%8."/>
      <w:lvlJc w:val="left"/>
      <w:pPr>
        <w:ind w:left="5760" w:hanging="360"/>
      </w:pPr>
    </w:lvl>
    <w:lvl w:ilvl="8" w:tplc="86E09E14"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1"/>
  </w:num>
  <w:num w:numId="3">
    <w:abstractNumId w:val="0"/>
    <w:lvlOverride w:ilvl="0">
      <w:lvl w:ilvl="0">
        <w:start w:val="1"/>
        <w:numFmt w:val="bullet"/>
        <w:lvlText w:val="-"/>
        <w:legacy w:legacy="1" w:legacySpace="0" w:legacyIndent="360"/>
        <w:lvlJc w:val="left"/>
        <w:pPr>
          <w:ind w:left="360" w:hanging="360"/>
        </w:pPr>
      </w:lvl>
    </w:lvlOverride>
  </w:num>
  <w:num w:numId="4">
    <w:abstractNumId w:val="7"/>
  </w:num>
  <w:num w:numId="5">
    <w:abstractNumId w:val="7"/>
  </w:num>
  <w:num w:numId="6">
    <w:abstractNumId w:val="6"/>
  </w:num>
  <w:num w:numId="7">
    <w:abstractNumId w:val="5"/>
  </w:num>
  <w:num w:numId="8">
    <w:abstractNumId w:val="8"/>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0MLU0NLAwMjQ2NLZU0lEKTi0uzszPAykwrAUALWUUaCwAAAA="/>
    <w:docVar w:name="Registered" w:val="-1"/>
    <w:docVar w:name="Version" w:val="0"/>
  </w:docVars>
  <w:rsids>
    <w:rsidRoot w:val="00812D16"/>
    <w:rsid w:val="00000D62"/>
    <w:rsid w:val="00001587"/>
    <w:rsid w:val="0000178E"/>
    <w:rsid w:val="00003023"/>
    <w:rsid w:val="0000362A"/>
    <w:rsid w:val="00005701"/>
    <w:rsid w:val="00005A09"/>
    <w:rsid w:val="00006669"/>
    <w:rsid w:val="0000706B"/>
    <w:rsid w:val="00007528"/>
    <w:rsid w:val="00011197"/>
    <w:rsid w:val="0001164F"/>
    <w:rsid w:val="00012872"/>
    <w:rsid w:val="00012A56"/>
    <w:rsid w:val="00014869"/>
    <w:rsid w:val="000150D3"/>
    <w:rsid w:val="000166C1"/>
    <w:rsid w:val="0002006B"/>
    <w:rsid w:val="00020152"/>
    <w:rsid w:val="00020AE8"/>
    <w:rsid w:val="000212BB"/>
    <w:rsid w:val="00022336"/>
    <w:rsid w:val="00023A2C"/>
    <w:rsid w:val="00024ECC"/>
    <w:rsid w:val="000258E4"/>
    <w:rsid w:val="00025D86"/>
    <w:rsid w:val="00025EBE"/>
    <w:rsid w:val="00026BF2"/>
    <w:rsid w:val="000271F6"/>
    <w:rsid w:val="00027F9B"/>
    <w:rsid w:val="00030445"/>
    <w:rsid w:val="00030773"/>
    <w:rsid w:val="000318C7"/>
    <w:rsid w:val="00031954"/>
    <w:rsid w:val="00033D26"/>
    <w:rsid w:val="00033FDB"/>
    <w:rsid w:val="000344F6"/>
    <w:rsid w:val="000410CC"/>
    <w:rsid w:val="00042263"/>
    <w:rsid w:val="00042C8C"/>
    <w:rsid w:val="00043505"/>
    <w:rsid w:val="00043C70"/>
    <w:rsid w:val="00043E88"/>
    <w:rsid w:val="00044042"/>
    <w:rsid w:val="000474D2"/>
    <w:rsid w:val="000479C5"/>
    <w:rsid w:val="00050DFD"/>
    <w:rsid w:val="0005336C"/>
    <w:rsid w:val="00053809"/>
    <w:rsid w:val="00053914"/>
    <w:rsid w:val="00053960"/>
    <w:rsid w:val="00054756"/>
    <w:rsid w:val="000560C5"/>
    <w:rsid w:val="00056C49"/>
    <w:rsid w:val="00056FE0"/>
    <w:rsid w:val="000603C8"/>
    <w:rsid w:val="000608A4"/>
    <w:rsid w:val="00060AA1"/>
    <w:rsid w:val="000631FD"/>
    <w:rsid w:val="000643D3"/>
    <w:rsid w:val="00066F1A"/>
    <w:rsid w:val="00067B16"/>
    <w:rsid w:val="00071F8A"/>
    <w:rsid w:val="00071FC3"/>
    <w:rsid w:val="0007200A"/>
    <w:rsid w:val="00072BF9"/>
    <w:rsid w:val="00073431"/>
    <w:rsid w:val="00073E04"/>
    <w:rsid w:val="0007401B"/>
    <w:rsid w:val="00074632"/>
    <w:rsid w:val="000759AB"/>
    <w:rsid w:val="0007628D"/>
    <w:rsid w:val="00077D20"/>
    <w:rsid w:val="00081DAB"/>
    <w:rsid w:val="0008304C"/>
    <w:rsid w:val="0008506F"/>
    <w:rsid w:val="000850D2"/>
    <w:rsid w:val="000851A9"/>
    <w:rsid w:val="00085600"/>
    <w:rsid w:val="00085939"/>
    <w:rsid w:val="00086028"/>
    <w:rsid w:val="00087F32"/>
    <w:rsid w:val="00092829"/>
    <w:rsid w:val="00092B09"/>
    <w:rsid w:val="0009351E"/>
    <w:rsid w:val="0009479A"/>
    <w:rsid w:val="00094AD6"/>
    <w:rsid w:val="00095D61"/>
    <w:rsid w:val="00095E44"/>
    <w:rsid w:val="00096D8D"/>
    <w:rsid w:val="0009755A"/>
    <w:rsid w:val="000A1091"/>
    <w:rsid w:val="000A1232"/>
    <w:rsid w:val="000A30E5"/>
    <w:rsid w:val="000A3675"/>
    <w:rsid w:val="000A3767"/>
    <w:rsid w:val="000A39C5"/>
    <w:rsid w:val="000A40D0"/>
    <w:rsid w:val="000A4F6E"/>
    <w:rsid w:val="000A6721"/>
    <w:rsid w:val="000A6BA6"/>
    <w:rsid w:val="000A75FF"/>
    <w:rsid w:val="000A7BF0"/>
    <w:rsid w:val="000B0097"/>
    <w:rsid w:val="000B101F"/>
    <w:rsid w:val="000B1F4B"/>
    <w:rsid w:val="000B2F27"/>
    <w:rsid w:val="000B2F58"/>
    <w:rsid w:val="000B37A8"/>
    <w:rsid w:val="000B382B"/>
    <w:rsid w:val="000B393D"/>
    <w:rsid w:val="000B472B"/>
    <w:rsid w:val="000B4999"/>
    <w:rsid w:val="000B4F1F"/>
    <w:rsid w:val="000B51D9"/>
    <w:rsid w:val="000C03FB"/>
    <w:rsid w:val="000C308F"/>
    <w:rsid w:val="000C36E0"/>
    <w:rsid w:val="000C3BDD"/>
    <w:rsid w:val="000C428B"/>
    <w:rsid w:val="000C5A4E"/>
    <w:rsid w:val="000C6225"/>
    <w:rsid w:val="000C635D"/>
    <w:rsid w:val="000C6D5B"/>
    <w:rsid w:val="000C7F49"/>
    <w:rsid w:val="000D1AEE"/>
    <w:rsid w:val="000D1F4F"/>
    <w:rsid w:val="000D2494"/>
    <w:rsid w:val="000D2C1D"/>
    <w:rsid w:val="000D2EAA"/>
    <w:rsid w:val="000D4D07"/>
    <w:rsid w:val="000D7535"/>
    <w:rsid w:val="000E0BCE"/>
    <w:rsid w:val="000E165D"/>
    <w:rsid w:val="000E1BAF"/>
    <w:rsid w:val="000E223E"/>
    <w:rsid w:val="000E2491"/>
    <w:rsid w:val="000E2EA9"/>
    <w:rsid w:val="000E46A3"/>
    <w:rsid w:val="000E4E88"/>
    <w:rsid w:val="000E5726"/>
    <w:rsid w:val="000E6C94"/>
    <w:rsid w:val="000F0CCA"/>
    <w:rsid w:val="000F1BB2"/>
    <w:rsid w:val="000F217A"/>
    <w:rsid w:val="000F3F94"/>
    <w:rsid w:val="000F4279"/>
    <w:rsid w:val="000F5235"/>
    <w:rsid w:val="000F5B21"/>
    <w:rsid w:val="001018E2"/>
    <w:rsid w:val="00101DFD"/>
    <w:rsid w:val="00102E27"/>
    <w:rsid w:val="00103501"/>
    <w:rsid w:val="00103AE7"/>
    <w:rsid w:val="00103B2D"/>
    <w:rsid w:val="00103CD2"/>
    <w:rsid w:val="00104061"/>
    <w:rsid w:val="00104DF1"/>
    <w:rsid w:val="00107236"/>
    <w:rsid w:val="001101A2"/>
    <w:rsid w:val="001106F7"/>
    <w:rsid w:val="001108A9"/>
    <w:rsid w:val="0011162C"/>
    <w:rsid w:val="00112EDA"/>
    <w:rsid w:val="00113935"/>
    <w:rsid w:val="00113E6B"/>
    <w:rsid w:val="001140D5"/>
    <w:rsid w:val="00114174"/>
    <w:rsid w:val="00117A50"/>
    <w:rsid w:val="00117C1D"/>
    <w:rsid w:val="00117C33"/>
    <w:rsid w:val="001229E1"/>
    <w:rsid w:val="00123688"/>
    <w:rsid w:val="00126B26"/>
    <w:rsid w:val="001278C1"/>
    <w:rsid w:val="00127A08"/>
    <w:rsid w:val="00127F47"/>
    <w:rsid w:val="00133572"/>
    <w:rsid w:val="00133CA3"/>
    <w:rsid w:val="00135F24"/>
    <w:rsid w:val="001364FB"/>
    <w:rsid w:val="001365F2"/>
    <w:rsid w:val="00136A93"/>
    <w:rsid w:val="00136D7A"/>
    <w:rsid w:val="001374C5"/>
    <w:rsid w:val="00140476"/>
    <w:rsid w:val="00141470"/>
    <w:rsid w:val="00141540"/>
    <w:rsid w:val="00143516"/>
    <w:rsid w:val="001449DF"/>
    <w:rsid w:val="00145459"/>
    <w:rsid w:val="0014569B"/>
    <w:rsid w:val="001470E0"/>
    <w:rsid w:val="001478B8"/>
    <w:rsid w:val="00150060"/>
    <w:rsid w:val="001507A2"/>
    <w:rsid w:val="001518EA"/>
    <w:rsid w:val="00154C69"/>
    <w:rsid w:val="00155686"/>
    <w:rsid w:val="00155D7F"/>
    <w:rsid w:val="00156108"/>
    <w:rsid w:val="0015704C"/>
    <w:rsid w:val="00157895"/>
    <w:rsid w:val="00161701"/>
    <w:rsid w:val="00161E87"/>
    <w:rsid w:val="00162098"/>
    <w:rsid w:val="001645AE"/>
    <w:rsid w:val="00164807"/>
    <w:rsid w:val="0016566C"/>
    <w:rsid w:val="0016718C"/>
    <w:rsid w:val="00170769"/>
    <w:rsid w:val="00170A61"/>
    <w:rsid w:val="001719FA"/>
    <w:rsid w:val="001727F0"/>
    <w:rsid w:val="00172B06"/>
    <w:rsid w:val="0017347E"/>
    <w:rsid w:val="00173E7A"/>
    <w:rsid w:val="001752D8"/>
    <w:rsid w:val="00175931"/>
    <w:rsid w:val="00176A15"/>
    <w:rsid w:val="00176B25"/>
    <w:rsid w:val="00177736"/>
    <w:rsid w:val="0018238B"/>
    <w:rsid w:val="00183419"/>
    <w:rsid w:val="0018394A"/>
    <w:rsid w:val="00184067"/>
    <w:rsid w:val="001845BE"/>
    <w:rsid w:val="00184DCC"/>
    <w:rsid w:val="001850E8"/>
    <w:rsid w:val="00186A9D"/>
    <w:rsid w:val="001874A6"/>
    <w:rsid w:val="0018765B"/>
    <w:rsid w:val="00187DC4"/>
    <w:rsid w:val="00190913"/>
    <w:rsid w:val="0019236A"/>
    <w:rsid w:val="00193B21"/>
    <w:rsid w:val="00193DD3"/>
    <w:rsid w:val="001946BE"/>
    <w:rsid w:val="001948AA"/>
    <w:rsid w:val="00195F65"/>
    <w:rsid w:val="001960DE"/>
    <w:rsid w:val="001967A7"/>
    <w:rsid w:val="00197377"/>
    <w:rsid w:val="001A07E2"/>
    <w:rsid w:val="001A0A5D"/>
    <w:rsid w:val="001A2018"/>
    <w:rsid w:val="001A43C4"/>
    <w:rsid w:val="001A485F"/>
    <w:rsid w:val="001A56F1"/>
    <w:rsid w:val="001A5D0E"/>
    <w:rsid w:val="001A749C"/>
    <w:rsid w:val="001B01C8"/>
    <w:rsid w:val="001B0B52"/>
    <w:rsid w:val="001B13F6"/>
    <w:rsid w:val="001B1747"/>
    <w:rsid w:val="001B2D44"/>
    <w:rsid w:val="001B42BD"/>
    <w:rsid w:val="001B59BD"/>
    <w:rsid w:val="001B6224"/>
    <w:rsid w:val="001B62A4"/>
    <w:rsid w:val="001B752A"/>
    <w:rsid w:val="001C12FB"/>
    <w:rsid w:val="001C1499"/>
    <w:rsid w:val="001C2DB4"/>
    <w:rsid w:val="001C3228"/>
    <w:rsid w:val="001C35E9"/>
    <w:rsid w:val="001C36BD"/>
    <w:rsid w:val="001C3733"/>
    <w:rsid w:val="001C49B3"/>
    <w:rsid w:val="001C5646"/>
    <w:rsid w:val="001C5B30"/>
    <w:rsid w:val="001C5D36"/>
    <w:rsid w:val="001C75F7"/>
    <w:rsid w:val="001C7F88"/>
    <w:rsid w:val="001D19A4"/>
    <w:rsid w:val="001D2953"/>
    <w:rsid w:val="001D3C05"/>
    <w:rsid w:val="001D6AF4"/>
    <w:rsid w:val="001D6F48"/>
    <w:rsid w:val="001E0CC1"/>
    <w:rsid w:val="001E1C10"/>
    <w:rsid w:val="001E2B3E"/>
    <w:rsid w:val="001E2E9B"/>
    <w:rsid w:val="001E3CC0"/>
    <w:rsid w:val="001E77C3"/>
    <w:rsid w:val="001F090B"/>
    <w:rsid w:val="001F180A"/>
    <w:rsid w:val="001F1A28"/>
    <w:rsid w:val="001F1AD0"/>
    <w:rsid w:val="001F21D4"/>
    <w:rsid w:val="001F2E7F"/>
    <w:rsid w:val="001F35E8"/>
    <w:rsid w:val="001F4014"/>
    <w:rsid w:val="001F4441"/>
    <w:rsid w:val="001F445E"/>
    <w:rsid w:val="001F45C4"/>
    <w:rsid w:val="001F6423"/>
    <w:rsid w:val="001F6D16"/>
    <w:rsid w:val="001F7494"/>
    <w:rsid w:val="001F7980"/>
    <w:rsid w:val="00201213"/>
    <w:rsid w:val="0020165E"/>
    <w:rsid w:val="0020272E"/>
    <w:rsid w:val="00202E50"/>
    <w:rsid w:val="00204AAB"/>
    <w:rsid w:val="00205180"/>
    <w:rsid w:val="00206D54"/>
    <w:rsid w:val="00207CED"/>
    <w:rsid w:val="00207F81"/>
    <w:rsid w:val="0021055C"/>
    <w:rsid w:val="002109F4"/>
    <w:rsid w:val="0021174D"/>
    <w:rsid w:val="00211FDA"/>
    <w:rsid w:val="002128BC"/>
    <w:rsid w:val="00213FB8"/>
    <w:rsid w:val="002157EA"/>
    <w:rsid w:val="00215FDA"/>
    <w:rsid w:val="002160C2"/>
    <w:rsid w:val="0022043D"/>
    <w:rsid w:val="00222BB9"/>
    <w:rsid w:val="002258D6"/>
    <w:rsid w:val="0022625B"/>
    <w:rsid w:val="002274FB"/>
    <w:rsid w:val="002277EC"/>
    <w:rsid w:val="00227FEE"/>
    <w:rsid w:val="002309D2"/>
    <w:rsid w:val="00230FCC"/>
    <w:rsid w:val="00231B61"/>
    <w:rsid w:val="00232C35"/>
    <w:rsid w:val="00232F52"/>
    <w:rsid w:val="0023315B"/>
    <w:rsid w:val="00233407"/>
    <w:rsid w:val="00233ED0"/>
    <w:rsid w:val="002347FE"/>
    <w:rsid w:val="002365F7"/>
    <w:rsid w:val="00236876"/>
    <w:rsid w:val="0024178D"/>
    <w:rsid w:val="00242244"/>
    <w:rsid w:val="00242619"/>
    <w:rsid w:val="00242704"/>
    <w:rsid w:val="0024392B"/>
    <w:rsid w:val="002450C6"/>
    <w:rsid w:val="00245DCF"/>
    <w:rsid w:val="00246C65"/>
    <w:rsid w:val="0024721F"/>
    <w:rsid w:val="00251A10"/>
    <w:rsid w:val="00252BFF"/>
    <w:rsid w:val="0025349D"/>
    <w:rsid w:val="00253732"/>
    <w:rsid w:val="002542A8"/>
    <w:rsid w:val="002572CD"/>
    <w:rsid w:val="00260A11"/>
    <w:rsid w:val="00261316"/>
    <w:rsid w:val="0026169A"/>
    <w:rsid w:val="00262763"/>
    <w:rsid w:val="002636C8"/>
    <w:rsid w:val="00264BEA"/>
    <w:rsid w:val="002669E0"/>
    <w:rsid w:val="00267850"/>
    <w:rsid w:val="00267D53"/>
    <w:rsid w:val="00271032"/>
    <w:rsid w:val="00273E3E"/>
    <w:rsid w:val="00274147"/>
    <w:rsid w:val="00275189"/>
    <w:rsid w:val="002756DC"/>
    <w:rsid w:val="00276412"/>
    <w:rsid w:val="00276437"/>
    <w:rsid w:val="002771C9"/>
    <w:rsid w:val="002775E4"/>
    <w:rsid w:val="00280053"/>
    <w:rsid w:val="0028063F"/>
    <w:rsid w:val="00280740"/>
    <w:rsid w:val="00280CD6"/>
    <w:rsid w:val="00283B02"/>
    <w:rsid w:val="00283C5D"/>
    <w:rsid w:val="002844B0"/>
    <w:rsid w:val="00285DE6"/>
    <w:rsid w:val="00286136"/>
    <w:rsid w:val="00286322"/>
    <w:rsid w:val="00291302"/>
    <w:rsid w:val="00291331"/>
    <w:rsid w:val="00293D95"/>
    <w:rsid w:val="00295325"/>
    <w:rsid w:val="00296B03"/>
    <w:rsid w:val="00296C1F"/>
    <w:rsid w:val="00297F8F"/>
    <w:rsid w:val="002A1A88"/>
    <w:rsid w:val="002A2434"/>
    <w:rsid w:val="002A294E"/>
    <w:rsid w:val="002A3A10"/>
    <w:rsid w:val="002A41E6"/>
    <w:rsid w:val="002A44C8"/>
    <w:rsid w:val="002A5E48"/>
    <w:rsid w:val="002B0059"/>
    <w:rsid w:val="002B0455"/>
    <w:rsid w:val="002B1941"/>
    <w:rsid w:val="002B261C"/>
    <w:rsid w:val="002B2BEE"/>
    <w:rsid w:val="002B35C5"/>
    <w:rsid w:val="002B3935"/>
    <w:rsid w:val="002B406A"/>
    <w:rsid w:val="002B41D4"/>
    <w:rsid w:val="002B543F"/>
    <w:rsid w:val="002B6165"/>
    <w:rsid w:val="002B7D73"/>
    <w:rsid w:val="002C030F"/>
    <w:rsid w:val="002C054C"/>
    <w:rsid w:val="002C06E3"/>
    <w:rsid w:val="002C0801"/>
    <w:rsid w:val="002C145F"/>
    <w:rsid w:val="002C33B3"/>
    <w:rsid w:val="002C44B0"/>
    <w:rsid w:val="002C4E07"/>
    <w:rsid w:val="002D0586"/>
    <w:rsid w:val="002D1023"/>
    <w:rsid w:val="002D1459"/>
    <w:rsid w:val="002D1470"/>
    <w:rsid w:val="002D21CF"/>
    <w:rsid w:val="002D3DB7"/>
    <w:rsid w:val="002D4705"/>
    <w:rsid w:val="002D52B9"/>
    <w:rsid w:val="002D5B65"/>
    <w:rsid w:val="002D6396"/>
    <w:rsid w:val="002D7E5E"/>
    <w:rsid w:val="002E07BA"/>
    <w:rsid w:val="002E07EF"/>
    <w:rsid w:val="002E0D06"/>
    <w:rsid w:val="002E1810"/>
    <w:rsid w:val="002E23DA"/>
    <w:rsid w:val="002E374A"/>
    <w:rsid w:val="002E4E94"/>
    <w:rsid w:val="002E6D7E"/>
    <w:rsid w:val="002E73D2"/>
    <w:rsid w:val="002E7CBB"/>
    <w:rsid w:val="002F1F28"/>
    <w:rsid w:val="002F43CA"/>
    <w:rsid w:val="002F57AA"/>
    <w:rsid w:val="002F6EF7"/>
    <w:rsid w:val="002F714C"/>
    <w:rsid w:val="002F77BF"/>
    <w:rsid w:val="003004A2"/>
    <w:rsid w:val="00300753"/>
    <w:rsid w:val="00302CA4"/>
    <w:rsid w:val="00303DD5"/>
    <w:rsid w:val="00305D2B"/>
    <w:rsid w:val="003071E9"/>
    <w:rsid w:val="00307B74"/>
    <w:rsid w:val="003102C6"/>
    <w:rsid w:val="0031034C"/>
    <w:rsid w:val="00310764"/>
    <w:rsid w:val="00311BFD"/>
    <w:rsid w:val="00314718"/>
    <w:rsid w:val="00314875"/>
    <w:rsid w:val="0031488A"/>
    <w:rsid w:val="003164D8"/>
    <w:rsid w:val="003175E1"/>
    <w:rsid w:val="0032003B"/>
    <w:rsid w:val="00320203"/>
    <w:rsid w:val="00320F02"/>
    <w:rsid w:val="00321FEB"/>
    <w:rsid w:val="00322002"/>
    <w:rsid w:val="00322DE9"/>
    <w:rsid w:val="00323EEC"/>
    <w:rsid w:val="003247B0"/>
    <w:rsid w:val="00325E81"/>
    <w:rsid w:val="00326948"/>
    <w:rsid w:val="00327052"/>
    <w:rsid w:val="003336BB"/>
    <w:rsid w:val="0033486D"/>
    <w:rsid w:val="00335228"/>
    <w:rsid w:val="003367C4"/>
    <w:rsid w:val="00336BA6"/>
    <w:rsid w:val="00336D8E"/>
    <w:rsid w:val="003376B3"/>
    <w:rsid w:val="00340BF3"/>
    <w:rsid w:val="00340C09"/>
    <w:rsid w:val="00342C31"/>
    <w:rsid w:val="00342FB3"/>
    <w:rsid w:val="0034535C"/>
    <w:rsid w:val="00345F79"/>
    <w:rsid w:val="00345F9C"/>
    <w:rsid w:val="0034654B"/>
    <w:rsid w:val="0034699C"/>
    <w:rsid w:val="00347776"/>
    <w:rsid w:val="0035165F"/>
    <w:rsid w:val="003519C0"/>
    <w:rsid w:val="00351A91"/>
    <w:rsid w:val="003520C4"/>
    <w:rsid w:val="003533AE"/>
    <w:rsid w:val="00355E14"/>
    <w:rsid w:val="00356CFA"/>
    <w:rsid w:val="00357C5E"/>
    <w:rsid w:val="003608BD"/>
    <w:rsid w:val="00360D84"/>
    <w:rsid w:val="00361109"/>
    <w:rsid w:val="00361280"/>
    <w:rsid w:val="003615F1"/>
    <w:rsid w:val="00361A6E"/>
    <w:rsid w:val="00361F27"/>
    <w:rsid w:val="003626AF"/>
    <w:rsid w:val="00363D7F"/>
    <w:rsid w:val="0036655E"/>
    <w:rsid w:val="003665D5"/>
    <w:rsid w:val="00367C66"/>
    <w:rsid w:val="003700B2"/>
    <w:rsid w:val="0037233D"/>
    <w:rsid w:val="003736EF"/>
    <w:rsid w:val="003737E3"/>
    <w:rsid w:val="00373D26"/>
    <w:rsid w:val="00374297"/>
    <w:rsid w:val="00380448"/>
    <w:rsid w:val="00380A1A"/>
    <w:rsid w:val="00380A57"/>
    <w:rsid w:val="00380D80"/>
    <w:rsid w:val="003839B8"/>
    <w:rsid w:val="0038500E"/>
    <w:rsid w:val="003874A8"/>
    <w:rsid w:val="0038761D"/>
    <w:rsid w:val="003906F8"/>
    <w:rsid w:val="00390E15"/>
    <w:rsid w:val="00391D00"/>
    <w:rsid w:val="003935EE"/>
    <w:rsid w:val="00393EE9"/>
    <w:rsid w:val="0039408A"/>
    <w:rsid w:val="003945F5"/>
    <w:rsid w:val="003956F9"/>
    <w:rsid w:val="0039673D"/>
    <w:rsid w:val="00396F05"/>
    <w:rsid w:val="003975DA"/>
    <w:rsid w:val="00397893"/>
    <w:rsid w:val="003A2407"/>
    <w:rsid w:val="003A2CF0"/>
    <w:rsid w:val="003A33D3"/>
    <w:rsid w:val="003A3880"/>
    <w:rsid w:val="003A44A2"/>
    <w:rsid w:val="003A4B52"/>
    <w:rsid w:val="003A5119"/>
    <w:rsid w:val="003A547B"/>
    <w:rsid w:val="003A5BC5"/>
    <w:rsid w:val="003A5D55"/>
    <w:rsid w:val="003A5F95"/>
    <w:rsid w:val="003A75E6"/>
    <w:rsid w:val="003A76CC"/>
    <w:rsid w:val="003A77D2"/>
    <w:rsid w:val="003B1382"/>
    <w:rsid w:val="003B255B"/>
    <w:rsid w:val="003B3317"/>
    <w:rsid w:val="003B4B2F"/>
    <w:rsid w:val="003B4C50"/>
    <w:rsid w:val="003B52D4"/>
    <w:rsid w:val="003B7828"/>
    <w:rsid w:val="003C02A6"/>
    <w:rsid w:val="003C1CA5"/>
    <w:rsid w:val="003C1EC7"/>
    <w:rsid w:val="003C3D8E"/>
    <w:rsid w:val="003C5E61"/>
    <w:rsid w:val="003C64A0"/>
    <w:rsid w:val="003C6DB0"/>
    <w:rsid w:val="003C6F0B"/>
    <w:rsid w:val="003C7BA3"/>
    <w:rsid w:val="003C7D52"/>
    <w:rsid w:val="003D3642"/>
    <w:rsid w:val="003D4E9C"/>
    <w:rsid w:val="003D5EE8"/>
    <w:rsid w:val="003E0D78"/>
    <w:rsid w:val="003E1CAB"/>
    <w:rsid w:val="003E1CB1"/>
    <w:rsid w:val="003E374A"/>
    <w:rsid w:val="003E3A1D"/>
    <w:rsid w:val="003E3E49"/>
    <w:rsid w:val="003E5991"/>
    <w:rsid w:val="003E6CA0"/>
    <w:rsid w:val="003F1F41"/>
    <w:rsid w:val="003F2FDE"/>
    <w:rsid w:val="003F330B"/>
    <w:rsid w:val="003F6FDF"/>
    <w:rsid w:val="003F7DA0"/>
    <w:rsid w:val="00400D04"/>
    <w:rsid w:val="004016F5"/>
    <w:rsid w:val="00402B07"/>
    <w:rsid w:val="004045AA"/>
    <w:rsid w:val="0040549A"/>
    <w:rsid w:val="00405CC9"/>
    <w:rsid w:val="00405FDA"/>
    <w:rsid w:val="004063D0"/>
    <w:rsid w:val="00406E7C"/>
    <w:rsid w:val="0040711E"/>
    <w:rsid w:val="00407D67"/>
    <w:rsid w:val="00407D6C"/>
    <w:rsid w:val="00412450"/>
    <w:rsid w:val="004138DE"/>
    <w:rsid w:val="00413B39"/>
    <w:rsid w:val="004143E8"/>
    <w:rsid w:val="00414B2F"/>
    <w:rsid w:val="00415E58"/>
    <w:rsid w:val="00416231"/>
    <w:rsid w:val="00417462"/>
    <w:rsid w:val="00417C88"/>
    <w:rsid w:val="004208AB"/>
    <w:rsid w:val="00420F63"/>
    <w:rsid w:val="004219EF"/>
    <w:rsid w:val="00421A72"/>
    <w:rsid w:val="00424348"/>
    <w:rsid w:val="00424E40"/>
    <w:rsid w:val="00426A7B"/>
    <w:rsid w:val="00426CD9"/>
    <w:rsid w:val="00426DE2"/>
    <w:rsid w:val="00430E61"/>
    <w:rsid w:val="00430FEB"/>
    <w:rsid w:val="004310EE"/>
    <w:rsid w:val="00433677"/>
    <w:rsid w:val="0043384D"/>
    <w:rsid w:val="004340D5"/>
    <w:rsid w:val="00434880"/>
    <w:rsid w:val="00434A21"/>
    <w:rsid w:val="0043526D"/>
    <w:rsid w:val="00442DF1"/>
    <w:rsid w:val="004431FE"/>
    <w:rsid w:val="00444F0D"/>
    <w:rsid w:val="0044516D"/>
    <w:rsid w:val="004460E9"/>
    <w:rsid w:val="0044728C"/>
    <w:rsid w:val="00447B6F"/>
    <w:rsid w:val="00447E35"/>
    <w:rsid w:val="00447FF2"/>
    <w:rsid w:val="004501D4"/>
    <w:rsid w:val="004511DD"/>
    <w:rsid w:val="004512D5"/>
    <w:rsid w:val="00451555"/>
    <w:rsid w:val="00452E50"/>
    <w:rsid w:val="004531E1"/>
    <w:rsid w:val="00453623"/>
    <w:rsid w:val="00453C11"/>
    <w:rsid w:val="0045548E"/>
    <w:rsid w:val="004557B0"/>
    <w:rsid w:val="00457946"/>
    <w:rsid w:val="00457D8B"/>
    <w:rsid w:val="00460466"/>
    <w:rsid w:val="00460A17"/>
    <w:rsid w:val="0046236C"/>
    <w:rsid w:val="00462F79"/>
    <w:rsid w:val="00463438"/>
    <w:rsid w:val="0046383A"/>
    <w:rsid w:val="00463ECE"/>
    <w:rsid w:val="00465388"/>
    <w:rsid w:val="004677C9"/>
    <w:rsid w:val="00467D90"/>
    <w:rsid w:val="0047002E"/>
    <w:rsid w:val="00470CB5"/>
    <w:rsid w:val="00471EAB"/>
    <w:rsid w:val="004723EE"/>
    <w:rsid w:val="004738E9"/>
    <w:rsid w:val="00475A92"/>
    <w:rsid w:val="00477BB9"/>
    <w:rsid w:val="004800EF"/>
    <w:rsid w:val="0048417C"/>
    <w:rsid w:val="00485117"/>
    <w:rsid w:val="004859EE"/>
    <w:rsid w:val="004866D9"/>
    <w:rsid w:val="00487366"/>
    <w:rsid w:val="004873E4"/>
    <w:rsid w:val="00487B0F"/>
    <w:rsid w:val="0049072C"/>
    <w:rsid w:val="004907AD"/>
    <w:rsid w:val="00490FD1"/>
    <w:rsid w:val="00491444"/>
    <w:rsid w:val="00491AD2"/>
    <w:rsid w:val="004935C0"/>
    <w:rsid w:val="00493B43"/>
    <w:rsid w:val="00494EB1"/>
    <w:rsid w:val="0049619F"/>
    <w:rsid w:val="00496414"/>
    <w:rsid w:val="00497339"/>
    <w:rsid w:val="00497A38"/>
    <w:rsid w:val="004A0A74"/>
    <w:rsid w:val="004A1F0E"/>
    <w:rsid w:val="004A2C56"/>
    <w:rsid w:val="004A3CAA"/>
    <w:rsid w:val="004A45BD"/>
    <w:rsid w:val="004A4656"/>
    <w:rsid w:val="004A4D5A"/>
    <w:rsid w:val="004A7536"/>
    <w:rsid w:val="004A77B0"/>
    <w:rsid w:val="004B08A9"/>
    <w:rsid w:val="004B109A"/>
    <w:rsid w:val="004B1CED"/>
    <w:rsid w:val="004B2D58"/>
    <w:rsid w:val="004B34A7"/>
    <w:rsid w:val="004B3B06"/>
    <w:rsid w:val="004B3ED5"/>
    <w:rsid w:val="004B4643"/>
    <w:rsid w:val="004B5D02"/>
    <w:rsid w:val="004B7F67"/>
    <w:rsid w:val="004C06BE"/>
    <w:rsid w:val="004C0938"/>
    <w:rsid w:val="004C0FD6"/>
    <w:rsid w:val="004C147B"/>
    <w:rsid w:val="004C1994"/>
    <w:rsid w:val="004C2E5C"/>
    <w:rsid w:val="004C6B22"/>
    <w:rsid w:val="004C6B2B"/>
    <w:rsid w:val="004C70FC"/>
    <w:rsid w:val="004D0477"/>
    <w:rsid w:val="004D2675"/>
    <w:rsid w:val="004D26B3"/>
    <w:rsid w:val="004D4080"/>
    <w:rsid w:val="004D7448"/>
    <w:rsid w:val="004E05DF"/>
    <w:rsid w:val="004E05FD"/>
    <w:rsid w:val="004E1A0D"/>
    <w:rsid w:val="004E23F5"/>
    <w:rsid w:val="004E5418"/>
    <w:rsid w:val="004E5C4A"/>
    <w:rsid w:val="004E63E5"/>
    <w:rsid w:val="004E6B76"/>
    <w:rsid w:val="004F1437"/>
    <w:rsid w:val="004F29DB"/>
    <w:rsid w:val="004F3540"/>
    <w:rsid w:val="004F52DB"/>
    <w:rsid w:val="004F5624"/>
    <w:rsid w:val="004F5DA4"/>
    <w:rsid w:val="004F62B2"/>
    <w:rsid w:val="004F6424"/>
    <w:rsid w:val="005040CD"/>
    <w:rsid w:val="00505229"/>
    <w:rsid w:val="00507F98"/>
    <w:rsid w:val="005108A3"/>
    <w:rsid w:val="00510DB5"/>
    <w:rsid w:val="00510F6E"/>
    <w:rsid w:val="00511422"/>
    <w:rsid w:val="005118AE"/>
    <w:rsid w:val="0051212F"/>
    <w:rsid w:val="0051587A"/>
    <w:rsid w:val="005158FA"/>
    <w:rsid w:val="005169AD"/>
    <w:rsid w:val="005208B9"/>
    <w:rsid w:val="005212EB"/>
    <w:rsid w:val="005221F0"/>
    <w:rsid w:val="0052256B"/>
    <w:rsid w:val="00522AE6"/>
    <w:rsid w:val="0052379E"/>
    <w:rsid w:val="005237D2"/>
    <w:rsid w:val="00523A4B"/>
    <w:rsid w:val="00523BDF"/>
    <w:rsid w:val="00523E07"/>
    <w:rsid w:val="00524140"/>
    <w:rsid w:val="00524807"/>
    <w:rsid w:val="005252FE"/>
    <w:rsid w:val="00525FF9"/>
    <w:rsid w:val="005262CB"/>
    <w:rsid w:val="00532C41"/>
    <w:rsid w:val="00532D3F"/>
    <w:rsid w:val="00532DC5"/>
    <w:rsid w:val="00532DF0"/>
    <w:rsid w:val="0053386D"/>
    <w:rsid w:val="00533A2A"/>
    <w:rsid w:val="00533A3F"/>
    <w:rsid w:val="00534700"/>
    <w:rsid w:val="00535ACD"/>
    <w:rsid w:val="0053791F"/>
    <w:rsid w:val="005408C8"/>
    <w:rsid w:val="00540AA5"/>
    <w:rsid w:val="00542104"/>
    <w:rsid w:val="00544F5D"/>
    <w:rsid w:val="0054506E"/>
    <w:rsid w:val="00546622"/>
    <w:rsid w:val="00547538"/>
    <w:rsid w:val="005502FA"/>
    <w:rsid w:val="005522E0"/>
    <w:rsid w:val="00553BFA"/>
    <w:rsid w:val="005546C5"/>
    <w:rsid w:val="00554D05"/>
    <w:rsid w:val="0056077E"/>
    <w:rsid w:val="00560EDA"/>
    <w:rsid w:val="0056212D"/>
    <w:rsid w:val="00562351"/>
    <w:rsid w:val="005629EE"/>
    <w:rsid w:val="00562D53"/>
    <w:rsid w:val="00562F98"/>
    <w:rsid w:val="0056378C"/>
    <w:rsid w:val="00563E46"/>
    <w:rsid w:val="00564472"/>
    <w:rsid w:val="0056447C"/>
    <w:rsid w:val="005648FA"/>
    <w:rsid w:val="00564D50"/>
    <w:rsid w:val="00567346"/>
    <w:rsid w:val="00572506"/>
    <w:rsid w:val="0057371B"/>
    <w:rsid w:val="00573F55"/>
    <w:rsid w:val="00575EB8"/>
    <w:rsid w:val="0057613A"/>
    <w:rsid w:val="00576A4F"/>
    <w:rsid w:val="00576E5E"/>
    <w:rsid w:val="00577D04"/>
    <w:rsid w:val="00582A9B"/>
    <w:rsid w:val="005832AB"/>
    <w:rsid w:val="00584001"/>
    <w:rsid w:val="0058437C"/>
    <w:rsid w:val="00587B6A"/>
    <w:rsid w:val="00592E6E"/>
    <w:rsid w:val="005935F4"/>
    <w:rsid w:val="005938C8"/>
    <w:rsid w:val="00593E0A"/>
    <w:rsid w:val="005952AC"/>
    <w:rsid w:val="005965DA"/>
    <w:rsid w:val="00596683"/>
    <w:rsid w:val="005971B0"/>
    <w:rsid w:val="005A0DFB"/>
    <w:rsid w:val="005A167F"/>
    <w:rsid w:val="005A346E"/>
    <w:rsid w:val="005A454E"/>
    <w:rsid w:val="005A4EE0"/>
    <w:rsid w:val="005A5A3E"/>
    <w:rsid w:val="005A73CF"/>
    <w:rsid w:val="005B3F6F"/>
    <w:rsid w:val="005B4002"/>
    <w:rsid w:val="005B41F4"/>
    <w:rsid w:val="005B528A"/>
    <w:rsid w:val="005B6C02"/>
    <w:rsid w:val="005B7759"/>
    <w:rsid w:val="005B798B"/>
    <w:rsid w:val="005C1FAE"/>
    <w:rsid w:val="005C2CFA"/>
    <w:rsid w:val="005C39E8"/>
    <w:rsid w:val="005C5660"/>
    <w:rsid w:val="005C7072"/>
    <w:rsid w:val="005C71E4"/>
    <w:rsid w:val="005C72E3"/>
    <w:rsid w:val="005D11B2"/>
    <w:rsid w:val="005D33D8"/>
    <w:rsid w:val="005D3CF4"/>
    <w:rsid w:val="005D4788"/>
    <w:rsid w:val="005D48D7"/>
    <w:rsid w:val="005D4B68"/>
    <w:rsid w:val="005D6D4B"/>
    <w:rsid w:val="005D783D"/>
    <w:rsid w:val="005E0ABB"/>
    <w:rsid w:val="005E0C85"/>
    <w:rsid w:val="005E11C1"/>
    <w:rsid w:val="005E2563"/>
    <w:rsid w:val="005E2EBE"/>
    <w:rsid w:val="005E31AC"/>
    <w:rsid w:val="005E394C"/>
    <w:rsid w:val="005E42BF"/>
    <w:rsid w:val="005E4E70"/>
    <w:rsid w:val="005E5933"/>
    <w:rsid w:val="005E65BB"/>
    <w:rsid w:val="005F0143"/>
    <w:rsid w:val="005F0161"/>
    <w:rsid w:val="005F0DA0"/>
    <w:rsid w:val="005F2767"/>
    <w:rsid w:val="005F4914"/>
    <w:rsid w:val="005F62B7"/>
    <w:rsid w:val="005F67FC"/>
    <w:rsid w:val="005F6869"/>
    <w:rsid w:val="005F6BB9"/>
    <w:rsid w:val="00603148"/>
    <w:rsid w:val="006039AE"/>
    <w:rsid w:val="00606FC7"/>
    <w:rsid w:val="00610456"/>
    <w:rsid w:val="0061053A"/>
    <w:rsid w:val="00611473"/>
    <w:rsid w:val="00611B36"/>
    <w:rsid w:val="0061378B"/>
    <w:rsid w:val="00613A34"/>
    <w:rsid w:val="00615ADA"/>
    <w:rsid w:val="006205AF"/>
    <w:rsid w:val="006221CD"/>
    <w:rsid w:val="00622220"/>
    <w:rsid w:val="00622E32"/>
    <w:rsid w:val="00622FB9"/>
    <w:rsid w:val="006266A9"/>
    <w:rsid w:val="00630426"/>
    <w:rsid w:val="006316C1"/>
    <w:rsid w:val="00631ED4"/>
    <w:rsid w:val="006320E0"/>
    <w:rsid w:val="00633BC7"/>
    <w:rsid w:val="00633C24"/>
    <w:rsid w:val="00635015"/>
    <w:rsid w:val="00635174"/>
    <w:rsid w:val="00635522"/>
    <w:rsid w:val="00635AC7"/>
    <w:rsid w:val="00635B14"/>
    <w:rsid w:val="00635E9C"/>
    <w:rsid w:val="0063753F"/>
    <w:rsid w:val="00637B41"/>
    <w:rsid w:val="00637EFA"/>
    <w:rsid w:val="00640197"/>
    <w:rsid w:val="006414EE"/>
    <w:rsid w:val="00641AD6"/>
    <w:rsid w:val="00641BDE"/>
    <w:rsid w:val="00641D7B"/>
    <w:rsid w:val="00642524"/>
    <w:rsid w:val="00642D0A"/>
    <w:rsid w:val="0064431A"/>
    <w:rsid w:val="0064630E"/>
    <w:rsid w:val="00646FE1"/>
    <w:rsid w:val="00647075"/>
    <w:rsid w:val="00647BDA"/>
    <w:rsid w:val="0065043E"/>
    <w:rsid w:val="00651099"/>
    <w:rsid w:val="00651E31"/>
    <w:rsid w:val="0065380A"/>
    <w:rsid w:val="0065581D"/>
    <w:rsid w:val="00655C2F"/>
    <w:rsid w:val="00657765"/>
    <w:rsid w:val="00660403"/>
    <w:rsid w:val="00661140"/>
    <w:rsid w:val="00663594"/>
    <w:rsid w:val="00664999"/>
    <w:rsid w:val="0066578D"/>
    <w:rsid w:val="006659D2"/>
    <w:rsid w:val="00665C4B"/>
    <w:rsid w:val="006669A7"/>
    <w:rsid w:val="00670863"/>
    <w:rsid w:val="00670B10"/>
    <w:rsid w:val="006710DD"/>
    <w:rsid w:val="00671FC9"/>
    <w:rsid w:val="00673200"/>
    <w:rsid w:val="0067499B"/>
    <w:rsid w:val="0067501E"/>
    <w:rsid w:val="006773D2"/>
    <w:rsid w:val="00680498"/>
    <w:rsid w:val="00680581"/>
    <w:rsid w:val="00680B2B"/>
    <w:rsid w:val="00680DEA"/>
    <w:rsid w:val="00681A41"/>
    <w:rsid w:val="006821B2"/>
    <w:rsid w:val="0068380E"/>
    <w:rsid w:val="006838C0"/>
    <w:rsid w:val="006857EB"/>
    <w:rsid w:val="00685901"/>
    <w:rsid w:val="00685BB9"/>
    <w:rsid w:val="00686EAB"/>
    <w:rsid w:val="00687E61"/>
    <w:rsid w:val="00690127"/>
    <w:rsid w:val="00691BFF"/>
    <w:rsid w:val="00692C52"/>
    <w:rsid w:val="006953C1"/>
    <w:rsid w:val="00696EB2"/>
    <w:rsid w:val="006A1466"/>
    <w:rsid w:val="006A1600"/>
    <w:rsid w:val="006A16E9"/>
    <w:rsid w:val="006A5450"/>
    <w:rsid w:val="006A5504"/>
    <w:rsid w:val="006A73F1"/>
    <w:rsid w:val="006B0199"/>
    <w:rsid w:val="006B0A32"/>
    <w:rsid w:val="006B0BD8"/>
    <w:rsid w:val="006B1B76"/>
    <w:rsid w:val="006B301A"/>
    <w:rsid w:val="006B34B6"/>
    <w:rsid w:val="006B4557"/>
    <w:rsid w:val="006B785D"/>
    <w:rsid w:val="006C0251"/>
    <w:rsid w:val="006C0320"/>
    <w:rsid w:val="006C2B9A"/>
    <w:rsid w:val="006C39BB"/>
    <w:rsid w:val="006C4502"/>
    <w:rsid w:val="006C6114"/>
    <w:rsid w:val="006C68C0"/>
    <w:rsid w:val="006C6C6A"/>
    <w:rsid w:val="006C7DB0"/>
    <w:rsid w:val="006D2288"/>
    <w:rsid w:val="006D3F61"/>
    <w:rsid w:val="006D4369"/>
    <w:rsid w:val="006D4464"/>
    <w:rsid w:val="006D4EF4"/>
    <w:rsid w:val="006D5E91"/>
    <w:rsid w:val="006D7E87"/>
    <w:rsid w:val="006E10B2"/>
    <w:rsid w:val="006E14E6"/>
    <w:rsid w:val="006E1AEE"/>
    <w:rsid w:val="006E2F52"/>
    <w:rsid w:val="006E32A9"/>
    <w:rsid w:val="006E3B9C"/>
    <w:rsid w:val="006E3E10"/>
    <w:rsid w:val="006E51A2"/>
    <w:rsid w:val="006F0953"/>
    <w:rsid w:val="006F0DE2"/>
    <w:rsid w:val="006F11BD"/>
    <w:rsid w:val="006F25B4"/>
    <w:rsid w:val="006F32C7"/>
    <w:rsid w:val="006F3392"/>
    <w:rsid w:val="006F3495"/>
    <w:rsid w:val="006F417D"/>
    <w:rsid w:val="006F5C83"/>
    <w:rsid w:val="006F67CC"/>
    <w:rsid w:val="006F6B89"/>
    <w:rsid w:val="006F6E73"/>
    <w:rsid w:val="00701A6B"/>
    <w:rsid w:val="00701C2D"/>
    <w:rsid w:val="00702162"/>
    <w:rsid w:val="00703930"/>
    <w:rsid w:val="0070610E"/>
    <w:rsid w:val="00707759"/>
    <w:rsid w:val="00707C0F"/>
    <w:rsid w:val="00710081"/>
    <w:rsid w:val="00710B0D"/>
    <w:rsid w:val="0071343E"/>
    <w:rsid w:val="00713907"/>
    <w:rsid w:val="00713CB5"/>
    <w:rsid w:val="0071434A"/>
    <w:rsid w:val="00714E3F"/>
    <w:rsid w:val="0071558B"/>
    <w:rsid w:val="0071776A"/>
    <w:rsid w:val="00717893"/>
    <w:rsid w:val="007207E5"/>
    <w:rsid w:val="00720925"/>
    <w:rsid w:val="00721189"/>
    <w:rsid w:val="007221C3"/>
    <w:rsid w:val="007227E4"/>
    <w:rsid w:val="00722F2C"/>
    <w:rsid w:val="00723675"/>
    <w:rsid w:val="007254D1"/>
    <w:rsid w:val="00725B32"/>
    <w:rsid w:val="00725B3C"/>
    <w:rsid w:val="007270A0"/>
    <w:rsid w:val="00732B42"/>
    <w:rsid w:val="00733D54"/>
    <w:rsid w:val="00736A4F"/>
    <w:rsid w:val="0073708B"/>
    <w:rsid w:val="00737753"/>
    <w:rsid w:val="00737768"/>
    <w:rsid w:val="00740BB8"/>
    <w:rsid w:val="00740CE9"/>
    <w:rsid w:val="007428E3"/>
    <w:rsid w:val="0074394E"/>
    <w:rsid w:val="007441DC"/>
    <w:rsid w:val="0074422D"/>
    <w:rsid w:val="0074791C"/>
    <w:rsid w:val="00750D0A"/>
    <w:rsid w:val="00751B29"/>
    <w:rsid w:val="00751D93"/>
    <w:rsid w:val="00752300"/>
    <w:rsid w:val="00753BF5"/>
    <w:rsid w:val="007546F8"/>
    <w:rsid w:val="0075579B"/>
    <w:rsid w:val="00755BAB"/>
    <w:rsid w:val="00755F5B"/>
    <w:rsid w:val="00757ECC"/>
    <w:rsid w:val="0076080E"/>
    <w:rsid w:val="00762C91"/>
    <w:rsid w:val="0076411D"/>
    <w:rsid w:val="00764505"/>
    <w:rsid w:val="00764D4B"/>
    <w:rsid w:val="00765AE6"/>
    <w:rsid w:val="0076670C"/>
    <w:rsid w:val="0076690F"/>
    <w:rsid w:val="007670F8"/>
    <w:rsid w:val="007671D4"/>
    <w:rsid w:val="00770A85"/>
    <w:rsid w:val="00773C8C"/>
    <w:rsid w:val="00773DC9"/>
    <w:rsid w:val="00774518"/>
    <w:rsid w:val="0077572E"/>
    <w:rsid w:val="00777BE4"/>
    <w:rsid w:val="00777F55"/>
    <w:rsid w:val="0078031B"/>
    <w:rsid w:val="007803D0"/>
    <w:rsid w:val="00783847"/>
    <w:rsid w:val="00784F44"/>
    <w:rsid w:val="00786672"/>
    <w:rsid w:val="007872CF"/>
    <w:rsid w:val="00790668"/>
    <w:rsid w:val="007917B0"/>
    <w:rsid w:val="0079201C"/>
    <w:rsid w:val="007926D0"/>
    <w:rsid w:val="0079307F"/>
    <w:rsid w:val="0079388D"/>
    <w:rsid w:val="007940C5"/>
    <w:rsid w:val="007947C4"/>
    <w:rsid w:val="0079480E"/>
    <w:rsid w:val="00795812"/>
    <w:rsid w:val="00795CE1"/>
    <w:rsid w:val="00796540"/>
    <w:rsid w:val="0079752F"/>
    <w:rsid w:val="007976DB"/>
    <w:rsid w:val="007A047D"/>
    <w:rsid w:val="007A0646"/>
    <w:rsid w:val="007A06AC"/>
    <w:rsid w:val="007A122B"/>
    <w:rsid w:val="007A1B2F"/>
    <w:rsid w:val="007A31B8"/>
    <w:rsid w:val="007A4636"/>
    <w:rsid w:val="007A4F05"/>
    <w:rsid w:val="007A513E"/>
    <w:rsid w:val="007A54E2"/>
    <w:rsid w:val="007A5510"/>
    <w:rsid w:val="007A5B78"/>
    <w:rsid w:val="007B1014"/>
    <w:rsid w:val="007B103F"/>
    <w:rsid w:val="007B1484"/>
    <w:rsid w:val="007B1A10"/>
    <w:rsid w:val="007B31AB"/>
    <w:rsid w:val="007B3268"/>
    <w:rsid w:val="007B37F1"/>
    <w:rsid w:val="007B42D3"/>
    <w:rsid w:val="007B46D9"/>
    <w:rsid w:val="007B6659"/>
    <w:rsid w:val="007B6C39"/>
    <w:rsid w:val="007B76AB"/>
    <w:rsid w:val="007B7DBD"/>
    <w:rsid w:val="007C039F"/>
    <w:rsid w:val="007C264B"/>
    <w:rsid w:val="007C309E"/>
    <w:rsid w:val="007C322E"/>
    <w:rsid w:val="007C33AD"/>
    <w:rsid w:val="007C3A2B"/>
    <w:rsid w:val="007C45D3"/>
    <w:rsid w:val="007C4838"/>
    <w:rsid w:val="007C597B"/>
    <w:rsid w:val="007C5DDD"/>
    <w:rsid w:val="007C65FB"/>
    <w:rsid w:val="007C760C"/>
    <w:rsid w:val="007D08FD"/>
    <w:rsid w:val="007D0A87"/>
    <w:rsid w:val="007D1584"/>
    <w:rsid w:val="007D2044"/>
    <w:rsid w:val="007D4F33"/>
    <w:rsid w:val="007D554B"/>
    <w:rsid w:val="007D65C7"/>
    <w:rsid w:val="007D74D2"/>
    <w:rsid w:val="007D79B5"/>
    <w:rsid w:val="007E0419"/>
    <w:rsid w:val="007E0DCA"/>
    <w:rsid w:val="007E18B3"/>
    <w:rsid w:val="007E2334"/>
    <w:rsid w:val="007E23CE"/>
    <w:rsid w:val="007E2CE7"/>
    <w:rsid w:val="007E4041"/>
    <w:rsid w:val="007E4269"/>
    <w:rsid w:val="007E43D0"/>
    <w:rsid w:val="007E4F00"/>
    <w:rsid w:val="007E54F8"/>
    <w:rsid w:val="007E5987"/>
    <w:rsid w:val="007E5BD8"/>
    <w:rsid w:val="007E5BED"/>
    <w:rsid w:val="007E6FA7"/>
    <w:rsid w:val="007E71EA"/>
    <w:rsid w:val="007E7BF9"/>
    <w:rsid w:val="007F0235"/>
    <w:rsid w:val="007F02BC"/>
    <w:rsid w:val="007F1670"/>
    <w:rsid w:val="007F1D17"/>
    <w:rsid w:val="007F20D7"/>
    <w:rsid w:val="007F2E65"/>
    <w:rsid w:val="007F3CDF"/>
    <w:rsid w:val="007F43BA"/>
    <w:rsid w:val="007F45D1"/>
    <w:rsid w:val="007F595A"/>
    <w:rsid w:val="007F64BE"/>
    <w:rsid w:val="007F66BA"/>
    <w:rsid w:val="007F6D12"/>
    <w:rsid w:val="007F6DC3"/>
    <w:rsid w:val="007F7332"/>
    <w:rsid w:val="008006B4"/>
    <w:rsid w:val="008015B6"/>
    <w:rsid w:val="00803FD4"/>
    <w:rsid w:val="0080481C"/>
    <w:rsid w:val="00804C54"/>
    <w:rsid w:val="008056DD"/>
    <w:rsid w:val="00806E4A"/>
    <w:rsid w:val="00806EDB"/>
    <w:rsid w:val="008101CD"/>
    <w:rsid w:val="00810D3E"/>
    <w:rsid w:val="0081104C"/>
    <w:rsid w:val="008121F2"/>
    <w:rsid w:val="00812D16"/>
    <w:rsid w:val="0081315F"/>
    <w:rsid w:val="008142D9"/>
    <w:rsid w:val="00816C51"/>
    <w:rsid w:val="008175B3"/>
    <w:rsid w:val="00820708"/>
    <w:rsid w:val="00821865"/>
    <w:rsid w:val="00822123"/>
    <w:rsid w:val="008225EB"/>
    <w:rsid w:val="0082327D"/>
    <w:rsid w:val="0082433D"/>
    <w:rsid w:val="0082445A"/>
    <w:rsid w:val="00825558"/>
    <w:rsid w:val="00826509"/>
    <w:rsid w:val="00826B20"/>
    <w:rsid w:val="00826BD1"/>
    <w:rsid w:val="00831B01"/>
    <w:rsid w:val="0083354D"/>
    <w:rsid w:val="0083561B"/>
    <w:rsid w:val="00837D78"/>
    <w:rsid w:val="00840D79"/>
    <w:rsid w:val="00840FD3"/>
    <w:rsid w:val="0084128E"/>
    <w:rsid w:val="00842A21"/>
    <w:rsid w:val="008442F6"/>
    <w:rsid w:val="00845DAD"/>
    <w:rsid w:val="00846172"/>
    <w:rsid w:val="00851377"/>
    <w:rsid w:val="008513C1"/>
    <w:rsid w:val="00851AE0"/>
    <w:rsid w:val="0085375B"/>
    <w:rsid w:val="00853C5F"/>
    <w:rsid w:val="0085437C"/>
    <w:rsid w:val="00854B2F"/>
    <w:rsid w:val="00855100"/>
    <w:rsid w:val="00855481"/>
    <w:rsid w:val="00855508"/>
    <w:rsid w:val="00856354"/>
    <w:rsid w:val="008568E1"/>
    <w:rsid w:val="00856BE9"/>
    <w:rsid w:val="00856F6B"/>
    <w:rsid w:val="008578F8"/>
    <w:rsid w:val="00857E29"/>
    <w:rsid w:val="00860566"/>
    <w:rsid w:val="0086129A"/>
    <w:rsid w:val="0086165C"/>
    <w:rsid w:val="00861B26"/>
    <w:rsid w:val="00862EED"/>
    <w:rsid w:val="008634FF"/>
    <w:rsid w:val="0086362C"/>
    <w:rsid w:val="00863A18"/>
    <w:rsid w:val="008640FA"/>
    <w:rsid w:val="008643FC"/>
    <w:rsid w:val="008645FF"/>
    <w:rsid w:val="008648F8"/>
    <w:rsid w:val="008649B9"/>
    <w:rsid w:val="008657DF"/>
    <w:rsid w:val="00865D13"/>
    <w:rsid w:val="00865DBD"/>
    <w:rsid w:val="00867040"/>
    <w:rsid w:val="0086784F"/>
    <w:rsid w:val="00870394"/>
    <w:rsid w:val="0087073B"/>
    <w:rsid w:val="00873967"/>
    <w:rsid w:val="008743BB"/>
    <w:rsid w:val="00874C17"/>
    <w:rsid w:val="00875E32"/>
    <w:rsid w:val="008763DF"/>
    <w:rsid w:val="0087673D"/>
    <w:rsid w:val="008770D4"/>
    <w:rsid w:val="008800E5"/>
    <w:rsid w:val="008802E4"/>
    <w:rsid w:val="0088127F"/>
    <w:rsid w:val="008815EF"/>
    <w:rsid w:val="00883A40"/>
    <w:rsid w:val="00883ED5"/>
    <w:rsid w:val="00885273"/>
    <w:rsid w:val="00885F2C"/>
    <w:rsid w:val="008861F4"/>
    <w:rsid w:val="00886386"/>
    <w:rsid w:val="0088701C"/>
    <w:rsid w:val="00890335"/>
    <w:rsid w:val="00891D76"/>
    <w:rsid w:val="00892459"/>
    <w:rsid w:val="008929AA"/>
    <w:rsid w:val="00892AA5"/>
    <w:rsid w:val="0089499B"/>
    <w:rsid w:val="00894ACA"/>
    <w:rsid w:val="00894EC5"/>
    <w:rsid w:val="00895B09"/>
    <w:rsid w:val="00896658"/>
    <w:rsid w:val="008967B5"/>
    <w:rsid w:val="008A03AC"/>
    <w:rsid w:val="008A06DF"/>
    <w:rsid w:val="008A0CA2"/>
    <w:rsid w:val="008A1008"/>
    <w:rsid w:val="008A1F1A"/>
    <w:rsid w:val="008A345A"/>
    <w:rsid w:val="008A3DB9"/>
    <w:rsid w:val="008A48F2"/>
    <w:rsid w:val="008A5552"/>
    <w:rsid w:val="008A6A5C"/>
    <w:rsid w:val="008A7316"/>
    <w:rsid w:val="008A7352"/>
    <w:rsid w:val="008B01A4"/>
    <w:rsid w:val="008B1696"/>
    <w:rsid w:val="008B4A1C"/>
    <w:rsid w:val="008B500A"/>
    <w:rsid w:val="008B7973"/>
    <w:rsid w:val="008C090B"/>
    <w:rsid w:val="008C1610"/>
    <w:rsid w:val="008C2F1E"/>
    <w:rsid w:val="008C30E5"/>
    <w:rsid w:val="008C3B5B"/>
    <w:rsid w:val="008C409F"/>
    <w:rsid w:val="008C602D"/>
    <w:rsid w:val="008C6BCC"/>
    <w:rsid w:val="008C7786"/>
    <w:rsid w:val="008D098D"/>
    <w:rsid w:val="008D0CBD"/>
    <w:rsid w:val="008D135A"/>
    <w:rsid w:val="008D2205"/>
    <w:rsid w:val="008D2331"/>
    <w:rsid w:val="008D28EA"/>
    <w:rsid w:val="008D347F"/>
    <w:rsid w:val="008D35AD"/>
    <w:rsid w:val="008D36CD"/>
    <w:rsid w:val="008D4380"/>
    <w:rsid w:val="008D48D1"/>
    <w:rsid w:val="008D4EED"/>
    <w:rsid w:val="008D52E1"/>
    <w:rsid w:val="008D6BE8"/>
    <w:rsid w:val="008E27E9"/>
    <w:rsid w:val="008E2A0F"/>
    <w:rsid w:val="008E42DE"/>
    <w:rsid w:val="008E5373"/>
    <w:rsid w:val="008E66A2"/>
    <w:rsid w:val="008E682B"/>
    <w:rsid w:val="008F0CAC"/>
    <w:rsid w:val="008F1F3A"/>
    <w:rsid w:val="008F2C49"/>
    <w:rsid w:val="008F32CD"/>
    <w:rsid w:val="008F36F0"/>
    <w:rsid w:val="008F66BC"/>
    <w:rsid w:val="008F7CFF"/>
    <w:rsid w:val="008F7ED1"/>
    <w:rsid w:val="008F7FEA"/>
    <w:rsid w:val="009018CF"/>
    <w:rsid w:val="00901C8D"/>
    <w:rsid w:val="009038FC"/>
    <w:rsid w:val="00904945"/>
    <w:rsid w:val="00904A4D"/>
    <w:rsid w:val="00905643"/>
    <w:rsid w:val="00905EE9"/>
    <w:rsid w:val="009065F4"/>
    <w:rsid w:val="009075A7"/>
    <w:rsid w:val="009076A7"/>
    <w:rsid w:val="00907DD5"/>
    <w:rsid w:val="00907DFB"/>
    <w:rsid w:val="00910624"/>
    <w:rsid w:val="00910FBA"/>
    <w:rsid w:val="00911BAF"/>
    <w:rsid w:val="00911D39"/>
    <w:rsid w:val="00912B9F"/>
    <w:rsid w:val="00912BFD"/>
    <w:rsid w:val="00912E25"/>
    <w:rsid w:val="00913514"/>
    <w:rsid w:val="00914BE6"/>
    <w:rsid w:val="00914E0E"/>
    <w:rsid w:val="00915F31"/>
    <w:rsid w:val="00917907"/>
    <w:rsid w:val="00917C0F"/>
    <w:rsid w:val="0092040E"/>
    <w:rsid w:val="00920C6C"/>
    <w:rsid w:val="00921897"/>
    <w:rsid w:val="00921C6D"/>
    <w:rsid w:val="00922532"/>
    <w:rsid w:val="009227D9"/>
    <w:rsid w:val="009232A2"/>
    <w:rsid w:val="00923C44"/>
    <w:rsid w:val="0092505A"/>
    <w:rsid w:val="00925180"/>
    <w:rsid w:val="00927791"/>
    <w:rsid w:val="00927FCA"/>
    <w:rsid w:val="00930607"/>
    <w:rsid w:val="00930D0A"/>
    <w:rsid w:val="009329BA"/>
    <w:rsid w:val="0093304D"/>
    <w:rsid w:val="009348E5"/>
    <w:rsid w:val="00934A94"/>
    <w:rsid w:val="00934DBA"/>
    <w:rsid w:val="00935536"/>
    <w:rsid w:val="00936939"/>
    <w:rsid w:val="00937479"/>
    <w:rsid w:val="0094053B"/>
    <w:rsid w:val="009413E2"/>
    <w:rsid w:val="009417F7"/>
    <w:rsid w:val="00942040"/>
    <w:rsid w:val="0094258D"/>
    <w:rsid w:val="00942C9F"/>
    <w:rsid w:val="00942EFC"/>
    <w:rsid w:val="00943F98"/>
    <w:rsid w:val="009445C9"/>
    <w:rsid w:val="00945631"/>
    <w:rsid w:val="00947549"/>
    <w:rsid w:val="00947CF3"/>
    <w:rsid w:val="009524F4"/>
    <w:rsid w:val="00956958"/>
    <w:rsid w:val="00956C5C"/>
    <w:rsid w:val="009572C4"/>
    <w:rsid w:val="0095793C"/>
    <w:rsid w:val="0096045D"/>
    <w:rsid w:val="009608E2"/>
    <w:rsid w:val="0096111E"/>
    <w:rsid w:val="00961125"/>
    <w:rsid w:val="009623D8"/>
    <w:rsid w:val="00963362"/>
    <w:rsid w:val="00963BD1"/>
    <w:rsid w:val="009641CC"/>
    <w:rsid w:val="009642AA"/>
    <w:rsid w:val="00966AD5"/>
    <w:rsid w:val="00966B1F"/>
    <w:rsid w:val="00967D26"/>
    <w:rsid w:val="00970A7E"/>
    <w:rsid w:val="0097116E"/>
    <w:rsid w:val="00972BF8"/>
    <w:rsid w:val="00972EF6"/>
    <w:rsid w:val="00973CB3"/>
    <w:rsid w:val="00974518"/>
    <w:rsid w:val="009747F1"/>
    <w:rsid w:val="00974F2B"/>
    <w:rsid w:val="0097513C"/>
    <w:rsid w:val="00975617"/>
    <w:rsid w:val="009759C1"/>
    <w:rsid w:val="00975D53"/>
    <w:rsid w:val="0097628E"/>
    <w:rsid w:val="00976C34"/>
    <w:rsid w:val="0098035D"/>
    <w:rsid w:val="009805E2"/>
    <w:rsid w:val="00980FE0"/>
    <w:rsid w:val="00981DBD"/>
    <w:rsid w:val="00985686"/>
    <w:rsid w:val="00985F8B"/>
    <w:rsid w:val="00987D67"/>
    <w:rsid w:val="00990C3B"/>
    <w:rsid w:val="00991CBD"/>
    <w:rsid w:val="009921E6"/>
    <w:rsid w:val="009928B7"/>
    <w:rsid w:val="0099321A"/>
    <w:rsid w:val="00993962"/>
    <w:rsid w:val="009947E8"/>
    <w:rsid w:val="009960B7"/>
    <w:rsid w:val="00996F08"/>
    <w:rsid w:val="009972FE"/>
    <w:rsid w:val="009A18AD"/>
    <w:rsid w:val="009A4C2D"/>
    <w:rsid w:val="009A5DCF"/>
    <w:rsid w:val="009A6BF6"/>
    <w:rsid w:val="009B0152"/>
    <w:rsid w:val="009B061C"/>
    <w:rsid w:val="009B2C91"/>
    <w:rsid w:val="009B3096"/>
    <w:rsid w:val="009B3DC4"/>
    <w:rsid w:val="009B536C"/>
    <w:rsid w:val="009B5C19"/>
    <w:rsid w:val="009B6496"/>
    <w:rsid w:val="009C01DA"/>
    <w:rsid w:val="009C03B2"/>
    <w:rsid w:val="009C10C1"/>
    <w:rsid w:val="009C1528"/>
    <w:rsid w:val="009C20CC"/>
    <w:rsid w:val="009C2BDF"/>
    <w:rsid w:val="009C3057"/>
    <w:rsid w:val="009C3558"/>
    <w:rsid w:val="009C504A"/>
    <w:rsid w:val="009C562E"/>
    <w:rsid w:val="009C5E44"/>
    <w:rsid w:val="009C7531"/>
    <w:rsid w:val="009D0862"/>
    <w:rsid w:val="009D1236"/>
    <w:rsid w:val="009D220C"/>
    <w:rsid w:val="009D221F"/>
    <w:rsid w:val="009D55B7"/>
    <w:rsid w:val="009D718A"/>
    <w:rsid w:val="009E0670"/>
    <w:rsid w:val="009E09F0"/>
    <w:rsid w:val="009E19E8"/>
    <w:rsid w:val="009E377C"/>
    <w:rsid w:val="009E411C"/>
    <w:rsid w:val="009E44EC"/>
    <w:rsid w:val="009E458A"/>
    <w:rsid w:val="009E4ED8"/>
    <w:rsid w:val="009E5316"/>
    <w:rsid w:val="009E5D7C"/>
    <w:rsid w:val="009E5DFC"/>
    <w:rsid w:val="009E68E0"/>
    <w:rsid w:val="009E6B3B"/>
    <w:rsid w:val="009E6D81"/>
    <w:rsid w:val="009E728F"/>
    <w:rsid w:val="009E74EA"/>
    <w:rsid w:val="009F1789"/>
    <w:rsid w:val="009F2E3B"/>
    <w:rsid w:val="009F36D2"/>
    <w:rsid w:val="009F39E9"/>
    <w:rsid w:val="009F3B6B"/>
    <w:rsid w:val="009F4504"/>
    <w:rsid w:val="009F4E10"/>
    <w:rsid w:val="009F502C"/>
    <w:rsid w:val="009F58EC"/>
    <w:rsid w:val="009F603B"/>
    <w:rsid w:val="009F6987"/>
    <w:rsid w:val="009F720F"/>
    <w:rsid w:val="00A010E7"/>
    <w:rsid w:val="00A01A17"/>
    <w:rsid w:val="00A01A60"/>
    <w:rsid w:val="00A01B17"/>
    <w:rsid w:val="00A02A8E"/>
    <w:rsid w:val="00A04AD9"/>
    <w:rsid w:val="00A05C86"/>
    <w:rsid w:val="00A06E6E"/>
    <w:rsid w:val="00A076F9"/>
    <w:rsid w:val="00A07997"/>
    <w:rsid w:val="00A07F87"/>
    <w:rsid w:val="00A108CB"/>
    <w:rsid w:val="00A13659"/>
    <w:rsid w:val="00A158E7"/>
    <w:rsid w:val="00A1637F"/>
    <w:rsid w:val="00A171CE"/>
    <w:rsid w:val="00A206ED"/>
    <w:rsid w:val="00A20806"/>
    <w:rsid w:val="00A20C7F"/>
    <w:rsid w:val="00A20CE5"/>
    <w:rsid w:val="00A21D41"/>
    <w:rsid w:val="00A22422"/>
    <w:rsid w:val="00A22DBA"/>
    <w:rsid w:val="00A230F6"/>
    <w:rsid w:val="00A2329D"/>
    <w:rsid w:val="00A238A8"/>
    <w:rsid w:val="00A2490E"/>
    <w:rsid w:val="00A2495D"/>
    <w:rsid w:val="00A25442"/>
    <w:rsid w:val="00A25896"/>
    <w:rsid w:val="00A25BFF"/>
    <w:rsid w:val="00A26648"/>
    <w:rsid w:val="00A26F79"/>
    <w:rsid w:val="00A27522"/>
    <w:rsid w:val="00A30F9A"/>
    <w:rsid w:val="00A3136F"/>
    <w:rsid w:val="00A319A3"/>
    <w:rsid w:val="00A3237A"/>
    <w:rsid w:val="00A33233"/>
    <w:rsid w:val="00A34D0C"/>
    <w:rsid w:val="00A34D76"/>
    <w:rsid w:val="00A365D0"/>
    <w:rsid w:val="00A37645"/>
    <w:rsid w:val="00A402B8"/>
    <w:rsid w:val="00A4043E"/>
    <w:rsid w:val="00A4264A"/>
    <w:rsid w:val="00A42DCF"/>
    <w:rsid w:val="00A437D9"/>
    <w:rsid w:val="00A43B7C"/>
    <w:rsid w:val="00A43C16"/>
    <w:rsid w:val="00A4422A"/>
    <w:rsid w:val="00A443A6"/>
    <w:rsid w:val="00A45281"/>
    <w:rsid w:val="00A45A1A"/>
    <w:rsid w:val="00A45E61"/>
    <w:rsid w:val="00A472DD"/>
    <w:rsid w:val="00A47E66"/>
    <w:rsid w:val="00A47F32"/>
    <w:rsid w:val="00A505E4"/>
    <w:rsid w:val="00A5185B"/>
    <w:rsid w:val="00A53220"/>
    <w:rsid w:val="00A538E6"/>
    <w:rsid w:val="00A53E9C"/>
    <w:rsid w:val="00A54465"/>
    <w:rsid w:val="00A54514"/>
    <w:rsid w:val="00A5597C"/>
    <w:rsid w:val="00A55A3C"/>
    <w:rsid w:val="00A56102"/>
    <w:rsid w:val="00A56800"/>
    <w:rsid w:val="00A5681E"/>
    <w:rsid w:val="00A56D7E"/>
    <w:rsid w:val="00A57404"/>
    <w:rsid w:val="00A575BD"/>
    <w:rsid w:val="00A60EEC"/>
    <w:rsid w:val="00A617FB"/>
    <w:rsid w:val="00A63B83"/>
    <w:rsid w:val="00A63F14"/>
    <w:rsid w:val="00A657CB"/>
    <w:rsid w:val="00A65BD9"/>
    <w:rsid w:val="00A66718"/>
    <w:rsid w:val="00A66A7C"/>
    <w:rsid w:val="00A671EF"/>
    <w:rsid w:val="00A70B31"/>
    <w:rsid w:val="00A72672"/>
    <w:rsid w:val="00A734B6"/>
    <w:rsid w:val="00A73A74"/>
    <w:rsid w:val="00A751D1"/>
    <w:rsid w:val="00A759FE"/>
    <w:rsid w:val="00A75CF2"/>
    <w:rsid w:val="00A75FE1"/>
    <w:rsid w:val="00A76D67"/>
    <w:rsid w:val="00A77562"/>
    <w:rsid w:val="00A775FE"/>
    <w:rsid w:val="00A776B8"/>
    <w:rsid w:val="00A77DB9"/>
    <w:rsid w:val="00A81A9F"/>
    <w:rsid w:val="00A81EB6"/>
    <w:rsid w:val="00A82F2D"/>
    <w:rsid w:val="00A837FE"/>
    <w:rsid w:val="00A85357"/>
    <w:rsid w:val="00A871E5"/>
    <w:rsid w:val="00A87396"/>
    <w:rsid w:val="00A902DD"/>
    <w:rsid w:val="00A91617"/>
    <w:rsid w:val="00A91EAC"/>
    <w:rsid w:val="00A93C1C"/>
    <w:rsid w:val="00A96FA8"/>
    <w:rsid w:val="00A9770A"/>
    <w:rsid w:val="00AA0230"/>
    <w:rsid w:val="00AA0A43"/>
    <w:rsid w:val="00AA0DD3"/>
    <w:rsid w:val="00AA1C07"/>
    <w:rsid w:val="00AA2F04"/>
    <w:rsid w:val="00AA3688"/>
    <w:rsid w:val="00AA5887"/>
    <w:rsid w:val="00AA6A7B"/>
    <w:rsid w:val="00AB19F8"/>
    <w:rsid w:val="00AB2A61"/>
    <w:rsid w:val="00AB3A12"/>
    <w:rsid w:val="00AB49D5"/>
    <w:rsid w:val="00AB4FB3"/>
    <w:rsid w:val="00AB59FE"/>
    <w:rsid w:val="00AB5A8D"/>
    <w:rsid w:val="00AB6642"/>
    <w:rsid w:val="00AC26A9"/>
    <w:rsid w:val="00AC2EFE"/>
    <w:rsid w:val="00AC3930"/>
    <w:rsid w:val="00AC3AB1"/>
    <w:rsid w:val="00AC3E1F"/>
    <w:rsid w:val="00AC68C6"/>
    <w:rsid w:val="00AC79C1"/>
    <w:rsid w:val="00AC7CA4"/>
    <w:rsid w:val="00AD1FF3"/>
    <w:rsid w:val="00AD41A2"/>
    <w:rsid w:val="00AD493B"/>
    <w:rsid w:val="00AD4A64"/>
    <w:rsid w:val="00AD4D4E"/>
    <w:rsid w:val="00AD598F"/>
    <w:rsid w:val="00AD6D09"/>
    <w:rsid w:val="00AD78CE"/>
    <w:rsid w:val="00AE07DA"/>
    <w:rsid w:val="00AE098E"/>
    <w:rsid w:val="00AE0BBA"/>
    <w:rsid w:val="00AE2291"/>
    <w:rsid w:val="00AE25C8"/>
    <w:rsid w:val="00AE2CBE"/>
    <w:rsid w:val="00AE4003"/>
    <w:rsid w:val="00AE4113"/>
    <w:rsid w:val="00AE4380"/>
    <w:rsid w:val="00AE4FAC"/>
    <w:rsid w:val="00AE5525"/>
    <w:rsid w:val="00AE6381"/>
    <w:rsid w:val="00AE640C"/>
    <w:rsid w:val="00AE656F"/>
    <w:rsid w:val="00AE6CB0"/>
    <w:rsid w:val="00AE7C3A"/>
    <w:rsid w:val="00AE7D78"/>
    <w:rsid w:val="00AF0C33"/>
    <w:rsid w:val="00AF2CCF"/>
    <w:rsid w:val="00AF308B"/>
    <w:rsid w:val="00AF41F6"/>
    <w:rsid w:val="00AF438E"/>
    <w:rsid w:val="00AF45CA"/>
    <w:rsid w:val="00AF4910"/>
    <w:rsid w:val="00AF5912"/>
    <w:rsid w:val="00AF5CEE"/>
    <w:rsid w:val="00AF6366"/>
    <w:rsid w:val="00AF7506"/>
    <w:rsid w:val="00AF7769"/>
    <w:rsid w:val="00B007DD"/>
    <w:rsid w:val="00B0097C"/>
    <w:rsid w:val="00B0098A"/>
    <w:rsid w:val="00B00F54"/>
    <w:rsid w:val="00B01016"/>
    <w:rsid w:val="00B0146E"/>
    <w:rsid w:val="00B02160"/>
    <w:rsid w:val="00B026E7"/>
    <w:rsid w:val="00B027CB"/>
    <w:rsid w:val="00B0352B"/>
    <w:rsid w:val="00B06370"/>
    <w:rsid w:val="00B073E6"/>
    <w:rsid w:val="00B074F8"/>
    <w:rsid w:val="00B11A3D"/>
    <w:rsid w:val="00B121B0"/>
    <w:rsid w:val="00B12D42"/>
    <w:rsid w:val="00B13B87"/>
    <w:rsid w:val="00B17FAB"/>
    <w:rsid w:val="00B21221"/>
    <w:rsid w:val="00B22C5F"/>
    <w:rsid w:val="00B230A3"/>
    <w:rsid w:val="00B23487"/>
    <w:rsid w:val="00B23687"/>
    <w:rsid w:val="00B25710"/>
    <w:rsid w:val="00B27B03"/>
    <w:rsid w:val="00B31160"/>
    <w:rsid w:val="00B31B62"/>
    <w:rsid w:val="00B3208E"/>
    <w:rsid w:val="00B32191"/>
    <w:rsid w:val="00B328C1"/>
    <w:rsid w:val="00B33711"/>
    <w:rsid w:val="00B34889"/>
    <w:rsid w:val="00B35303"/>
    <w:rsid w:val="00B357FE"/>
    <w:rsid w:val="00B37550"/>
    <w:rsid w:val="00B402C6"/>
    <w:rsid w:val="00B4195B"/>
    <w:rsid w:val="00B41DC1"/>
    <w:rsid w:val="00B42607"/>
    <w:rsid w:val="00B42DC2"/>
    <w:rsid w:val="00B42F69"/>
    <w:rsid w:val="00B43C2C"/>
    <w:rsid w:val="00B44DBC"/>
    <w:rsid w:val="00B46EC7"/>
    <w:rsid w:val="00B50A91"/>
    <w:rsid w:val="00B5136C"/>
    <w:rsid w:val="00B5160B"/>
    <w:rsid w:val="00B51761"/>
    <w:rsid w:val="00B51871"/>
    <w:rsid w:val="00B52022"/>
    <w:rsid w:val="00B52187"/>
    <w:rsid w:val="00B544C8"/>
    <w:rsid w:val="00B54691"/>
    <w:rsid w:val="00B56D93"/>
    <w:rsid w:val="00B5765E"/>
    <w:rsid w:val="00B60CCD"/>
    <w:rsid w:val="00B62854"/>
    <w:rsid w:val="00B62C0E"/>
    <w:rsid w:val="00B62EF1"/>
    <w:rsid w:val="00B63DE7"/>
    <w:rsid w:val="00B640CC"/>
    <w:rsid w:val="00B645B6"/>
    <w:rsid w:val="00B6481D"/>
    <w:rsid w:val="00B64B2F"/>
    <w:rsid w:val="00B664ED"/>
    <w:rsid w:val="00B667BF"/>
    <w:rsid w:val="00B674D6"/>
    <w:rsid w:val="00B676C1"/>
    <w:rsid w:val="00B6797D"/>
    <w:rsid w:val="00B67BF9"/>
    <w:rsid w:val="00B713FF"/>
    <w:rsid w:val="00B71803"/>
    <w:rsid w:val="00B7245B"/>
    <w:rsid w:val="00B735B8"/>
    <w:rsid w:val="00B73AC8"/>
    <w:rsid w:val="00B73FF8"/>
    <w:rsid w:val="00B74858"/>
    <w:rsid w:val="00B752EB"/>
    <w:rsid w:val="00B76313"/>
    <w:rsid w:val="00B77BE4"/>
    <w:rsid w:val="00B812BE"/>
    <w:rsid w:val="00B813D5"/>
    <w:rsid w:val="00B81AFC"/>
    <w:rsid w:val="00B81EA6"/>
    <w:rsid w:val="00B8258D"/>
    <w:rsid w:val="00B825B4"/>
    <w:rsid w:val="00B83704"/>
    <w:rsid w:val="00B84E7E"/>
    <w:rsid w:val="00B8643B"/>
    <w:rsid w:val="00B86608"/>
    <w:rsid w:val="00B875F2"/>
    <w:rsid w:val="00B87847"/>
    <w:rsid w:val="00B87D0D"/>
    <w:rsid w:val="00B90477"/>
    <w:rsid w:val="00B91047"/>
    <w:rsid w:val="00B92AA5"/>
    <w:rsid w:val="00B9368A"/>
    <w:rsid w:val="00B93904"/>
    <w:rsid w:val="00B94897"/>
    <w:rsid w:val="00B94C2B"/>
    <w:rsid w:val="00B955FE"/>
    <w:rsid w:val="00B96634"/>
    <w:rsid w:val="00B96744"/>
    <w:rsid w:val="00B97F4D"/>
    <w:rsid w:val="00BA010A"/>
    <w:rsid w:val="00BA0B9F"/>
    <w:rsid w:val="00BA126E"/>
    <w:rsid w:val="00BA3287"/>
    <w:rsid w:val="00BA5273"/>
    <w:rsid w:val="00BA5821"/>
    <w:rsid w:val="00BA6419"/>
    <w:rsid w:val="00BA6550"/>
    <w:rsid w:val="00BA6E42"/>
    <w:rsid w:val="00BA7A44"/>
    <w:rsid w:val="00BB0FC6"/>
    <w:rsid w:val="00BB3531"/>
    <w:rsid w:val="00BB3642"/>
    <w:rsid w:val="00BB4A3B"/>
    <w:rsid w:val="00BB59F6"/>
    <w:rsid w:val="00BB5EF0"/>
    <w:rsid w:val="00BB66AB"/>
    <w:rsid w:val="00BB7BBA"/>
    <w:rsid w:val="00BC0AD6"/>
    <w:rsid w:val="00BC122E"/>
    <w:rsid w:val="00BC3584"/>
    <w:rsid w:val="00BC5838"/>
    <w:rsid w:val="00BC6075"/>
    <w:rsid w:val="00BC6DC2"/>
    <w:rsid w:val="00BE4ED6"/>
    <w:rsid w:val="00BE54F3"/>
    <w:rsid w:val="00BE5F67"/>
    <w:rsid w:val="00BE7920"/>
    <w:rsid w:val="00BF1E46"/>
    <w:rsid w:val="00BF22CD"/>
    <w:rsid w:val="00BF2A3A"/>
    <w:rsid w:val="00BF2CD1"/>
    <w:rsid w:val="00BF4B6A"/>
    <w:rsid w:val="00BF50E3"/>
    <w:rsid w:val="00BF5135"/>
    <w:rsid w:val="00BF5AB0"/>
    <w:rsid w:val="00BF78C1"/>
    <w:rsid w:val="00BF7DD0"/>
    <w:rsid w:val="00C00312"/>
    <w:rsid w:val="00C00828"/>
    <w:rsid w:val="00C009F5"/>
    <w:rsid w:val="00C00C09"/>
    <w:rsid w:val="00C01129"/>
    <w:rsid w:val="00C015E8"/>
    <w:rsid w:val="00C019FA"/>
    <w:rsid w:val="00C02239"/>
    <w:rsid w:val="00C022E1"/>
    <w:rsid w:val="00C0398D"/>
    <w:rsid w:val="00C03E65"/>
    <w:rsid w:val="00C03EA6"/>
    <w:rsid w:val="00C05C3D"/>
    <w:rsid w:val="00C06D49"/>
    <w:rsid w:val="00C071AC"/>
    <w:rsid w:val="00C07EF8"/>
    <w:rsid w:val="00C100F1"/>
    <w:rsid w:val="00C109A2"/>
    <w:rsid w:val="00C11E4C"/>
    <w:rsid w:val="00C12A1E"/>
    <w:rsid w:val="00C12CE4"/>
    <w:rsid w:val="00C145C8"/>
    <w:rsid w:val="00C14954"/>
    <w:rsid w:val="00C14E7E"/>
    <w:rsid w:val="00C1519B"/>
    <w:rsid w:val="00C16C78"/>
    <w:rsid w:val="00C179B0"/>
    <w:rsid w:val="00C2015D"/>
    <w:rsid w:val="00C20245"/>
    <w:rsid w:val="00C20CA6"/>
    <w:rsid w:val="00C21919"/>
    <w:rsid w:val="00C226F9"/>
    <w:rsid w:val="00C23398"/>
    <w:rsid w:val="00C233E9"/>
    <w:rsid w:val="00C23B23"/>
    <w:rsid w:val="00C2428B"/>
    <w:rsid w:val="00C24968"/>
    <w:rsid w:val="00C25BB2"/>
    <w:rsid w:val="00C25C33"/>
    <w:rsid w:val="00C26C22"/>
    <w:rsid w:val="00C27B03"/>
    <w:rsid w:val="00C3089B"/>
    <w:rsid w:val="00C34B40"/>
    <w:rsid w:val="00C35836"/>
    <w:rsid w:val="00C4015E"/>
    <w:rsid w:val="00C4116B"/>
    <w:rsid w:val="00C412AA"/>
    <w:rsid w:val="00C41CD3"/>
    <w:rsid w:val="00C43438"/>
    <w:rsid w:val="00C44264"/>
    <w:rsid w:val="00C44632"/>
    <w:rsid w:val="00C46251"/>
    <w:rsid w:val="00C46B49"/>
    <w:rsid w:val="00C4765B"/>
    <w:rsid w:val="00C4790F"/>
    <w:rsid w:val="00C47FC0"/>
    <w:rsid w:val="00C5189F"/>
    <w:rsid w:val="00C52357"/>
    <w:rsid w:val="00C528CC"/>
    <w:rsid w:val="00C53ABD"/>
    <w:rsid w:val="00C53AD3"/>
    <w:rsid w:val="00C53C94"/>
    <w:rsid w:val="00C5485D"/>
    <w:rsid w:val="00C56A1A"/>
    <w:rsid w:val="00C57741"/>
    <w:rsid w:val="00C57E3F"/>
    <w:rsid w:val="00C6074F"/>
    <w:rsid w:val="00C6111C"/>
    <w:rsid w:val="00C6152D"/>
    <w:rsid w:val="00C61E45"/>
    <w:rsid w:val="00C62568"/>
    <w:rsid w:val="00C64143"/>
    <w:rsid w:val="00C6434D"/>
    <w:rsid w:val="00C652E5"/>
    <w:rsid w:val="00C67446"/>
    <w:rsid w:val="00C701F5"/>
    <w:rsid w:val="00C702CC"/>
    <w:rsid w:val="00C70898"/>
    <w:rsid w:val="00C70962"/>
    <w:rsid w:val="00C71674"/>
    <w:rsid w:val="00C742D9"/>
    <w:rsid w:val="00C76238"/>
    <w:rsid w:val="00C7697F"/>
    <w:rsid w:val="00C77AB6"/>
    <w:rsid w:val="00C8136C"/>
    <w:rsid w:val="00C823C1"/>
    <w:rsid w:val="00C828FF"/>
    <w:rsid w:val="00C82FAC"/>
    <w:rsid w:val="00C82FFA"/>
    <w:rsid w:val="00C837DE"/>
    <w:rsid w:val="00C84A1B"/>
    <w:rsid w:val="00C85521"/>
    <w:rsid w:val="00C856C0"/>
    <w:rsid w:val="00C85ECE"/>
    <w:rsid w:val="00C863EE"/>
    <w:rsid w:val="00C92646"/>
    <w:rsid w:val="00C9316A"/>
    <w:rsid w:val="00C937E7"/>
    <w:rsid w:val="00C93B5E"/>
    <w:rsid w:val="00C93D7A"/>
    <w:rsid w:val="00C95D8D"/>
    <w:rsid w:val="00C97890"/>
    <w:rsid w:val="00C97C7F"/>
    <w:rsid w:val="00CA12AB"/>
    <w:rsid w:val="00CA1BEB"/>
    <w:rsid w:val="00CA2283"/>
    <w:rsid w:val="00CA2A7E"/>
    <w:rsid w:val="00CA2AEF"/>
    <w:rsid w:val="00CA2CA3"/>
    <w:rsid w:val="00CA325F"/>
    <w:rsid w:val="00CA33B8"/>
    <w:rsid w:val="00CA4D80"/>
    <w:rsid w:val="00CA666D"/>
    <w:rsid w:val="00CA6AF5"/>
    <w:rsid w:val="00CB02FA"/>
    <w:rsid w:val="00CB0721"/>
    <w:rsid w:val="00CB0AAA"/>
    <w:rsid w:val="00CB1582"/>
    <w:rsid w:val="00CB22B7"/>
    <w:rsid w:val="00CB31DA"/>
    <w:rsid w:val="00CB5032"/>
    <w:rsid w:val="00CB5F46"/>
    <w:rsid w:val="00CB69E2"/>
    <w:rsid w:val="00CB7DF6"/>
    <w:rsid w:val="00CC0E3B"/>
    <w:rsid w:val="00CC1229"/>
    <w:rsid w:val="00CC303F"/>
    <w:rsid w:val="00CC31C8"/>
    <w:rsid w:val="00CC3324"/>
    <w:rsid w:val="00CC3ADE"/>
    <w:rsid w:val="00CC3C96"/>
    <w:rsid w:val="00CC544E"/>
    <w:rsid w:val="00CC7943"/>
    <w:rsid w:val="00CD077C"/>
    <w:rsid w:val="00CD2B1A"/>
    <w:rsid w:val="00CD342A"/>
    <w:rsid w:val="00CD3940"/>
    <w:rsid w:val="00CD46E4"/>
    <w:rsid w:val="00CD7577"/>
    <w:rsid w:val="00CE2F14"/>
    <w:rsid w:val="00CE3703"/>
    <w:rsid w:val="00CE4239"/>
    <w:rsid w:val="00CE52B8"/>
    <w:rsid w:val="00CE6A0B"/>
    <w:rsid w:val="00CE7BF6"/>
    <w:rsid w:val="00CF0950"/>
    <w:rsid w:val="00CF3B07"/>
    <w:rsid w:val="00CF4C13"/>
    <w:rsid w:val="00CF4D03"/>
    <w:rsid w:val="00CF62E0"/>
    <w:rsid w:val="00CF6384"/>
    <w:rsid w:val="00CF6902"/>
    <w:rsid w:val="00D02B8F"/>
    <w:rsid w:val="00D03851"/>
    <w:rsid w:val="00D039E7"/>
    <w:rsid w:val="00D0401F"/>
    <w:rsid w:val="00D06E88"/>
    <w:rsid w:val="00D11F90"/>
    <w:rsid w:val="00D13527"/>
    <w:rsid w:val="00D15B0B"/>
    <w:rsid w:val="00D15E4E"/>
    <w:rsid w:val="00D16F06"/>
    <w:rsid w:val="00D17601"/>
    <w:rsid w:val="00D200D5"/>
    <w:rsid w:val="00D20D6E"/>
    <w:rsid w:val="00D2109D"/>
    <w:rsid w:val="00D21300"/>
    <w:rsid w:val="00D22F7B"/>
    <w:rsid w:val="00D230DC"/>
    <w:rsid w:val="00D25130"/>
    <w:rsid w:val="00D26B83"/>
    <w:rsid w:val="00D26C9A"/>
    <w:rsid w:val="00D303E8"/>
    <w:rsid w:val="00D31BA6"/>
    <w:rsid w:val="00D33373"/>
    <w:rsid w:val="00D335E1"/>
    <w:rsid w:val="00D33A7D"/>
    <w:rsid w:val="00D342B2"/>
    <w:rsid w:val="00D3545E"/>
    <w:rsid w:val="00D35FEA"/>
    <w:rsid w:val="00D3664B"/>
    <w:rsid w:val="00D366E4"/>
    <w:rsid w:val="00D374D5"/>
    <w:rsid w:val="00D40D80"/>
    <w:rsid w:val="00D411D5"/>
    <w:rsid w:val="00D41BAA"/>
    <w:rsid w:val="00D423AC"/>
    <w:rsid w:val="00D44B15"/>
    <w:rsid w:val="00D44DC6"/>
    <w:rsid w:val="00D476EA"/>
    <w:rsid w:val="00D50AA5"/>
    <w:rsid w:val="00D514E5"/>
    <w:rsid w:val="00D51507"/>
    <w:rsid w:val="00D5174E"/>
    <w:rsid w:val="00D53589"/>
    <w:rsid w:val="00D539D5"/>
    <w:rsid w:val="00D544D5"/>
    <w:rsid w:val="00D56795"/>
    <w:rsid w:val="00D57897"/>
    <w:rsid w:val="00D57EDB"/>
    <w:rsid w:val="00D602DE"/>
    <w:rsid w:val="00D6096A"/>
    <w:rsid w:val="00D60ABE"/>
    <w:rsid w:val="00D60CE5"/>
    <w:rsid w:val="00D60D9E"/>
    <w:rsid w:val="00D61811"/>
    <w:rsid w:val="00D6203B"/>
    <w:rsid w:val="00D62DDB"/>
    <w:rsid w:val="00D63F9F"/>
    <w:rsid w:val="00D646D3"/>
    <w:rsid w:val="00D662F2"/>
    <w:rsid w:val="00D665F1"/>
    <w:rsid w:val="00D6711E"/>
    <w:rsid w:val="00D72E79"/>
    <w:rsid w:val="00D73B08"/>
    <w:rsid w:val="00D740C3"/>
    <w:rsid w:val="00D75DF0"/>
    <w:rsid w:val="00D80127"/>
    <w:rsid w:val="00D804E2"/>
    <w:rsid w:val="00D805D1"/>
    <w:rsid w:val="00D80F13"/>
    <w:rsid w:val="00D81FB3"/>
    <w:rsid w:val="00D82FD7"/>
    <w:rsid w:val="00D84066"/>
    <w:rsid w:val="00D84FA6"/>
    <w:rsid w:val="00D85585"/>
    <w:rsid w:val="00D85C5F"/>
    <w:rsid w:val="00D85ECC"/>
    <w:rsid w:val="00D864C7"/>
    <w:rsid w:val="00D86EB7"/>
    <w:rsid w:val="00D87456"/>
    <w:rsid w:val="00D907A5"/>
    <w:rsid w:val="00D91136"/>
    <w:rsid w:val="00D91E9F"/>
    <w:rsid w:val="00D92B5E"/>
    <w:rsid w:val="00D93388"/>
    <w:rsid w:val="00D936F4"/>
    <w:rsid w:val="00D93CFF"/>
    <w:rsid w:val="00D93FDB"/>
    <w:rsid w:val="00D94571"/>
    <w:rsid w:val="00D95457"/>
    <w:rsid w:val="00D96760"/>
    <w:rsid w:val="00D97A7B"/>
    <w:rsid w:val="00DA1259"/>
    <w:rsid w:val="00DA1AAD"/>
    <w:rsid w:val="00DA1CFD"/>
    <w:rsid w:val="00DA1E08"/>
    <w:rsid w:val="00DA25D9"/>
    <w:rsid w:val="00DA3660"/>
    <w:rsid w:val="00DA4A52"/>
    <w:rsid w:val="00DA4FBC"/>
    <w:rsid w:val="00DA61B9"/>
    <w:rsid w:val="00DA7457"/>
    <w:rsid w:val="00DB1083"/>
    <w:rsid w:val="00DB1B31"/>
    <w:rsid w:val="00DB2995"/>
    <w:rsid w:val="00DB2ED0"/>
    <w:rsid w:val="00DB38F0"/>
    <w:rsid w:val="00DB3EE8"/>
    <w:rsid w:val="00DB4701"/>
    <w:rsid w:val="00DB4E76"/>
    <w:rsid w:val="00DB59C0"/>
    <w:rsid w:val="00DB7C0D"/>
    <w:rsid w:val="00DC011A"/>
    <w:rsid w:val="00DC0146"/>
    <w:rsid w:val="00DC03EE"/>
    <w:rsid w:val="00DC26FD"/>
    <w:rsid w:val="00DC36B8"/>
    <w:rsid w:val="00DC53F2"/>
    <w:rsid w:val="00DC6B01"/>
    <w:rsid w:val="00DC7797"/>
    <w:rsid w:val="00DC7E53"/>
    <w:rsid w:val="00DD078A"/>
    <w:rsid w:val="00DD1737"/>
    <w:rsid w:val="00DD18B5"/>
    <w:rsid w:val="00DD2490"/>
    <w:rsid w:val="00DD34E1"/>
    <w:rsid w:val="00DD45E7"/>
    <w:rsid w:val="00DD46D1"/>
    <w:rsid w:val="00DD4FF2"/>
    <w:rsid w:val="00DD66FA"/>
    <w:rsid w:val="00DD71F6"/>
    <w:rsid w:val="00DD7667"/>
    <w:rsid w:val="00DD777C"/>
    <w:rsid w:val="00DE0D2F"/>
    <w:rsid w:val="00DE0D75"/>
    <w:rsid w:val="00DE11BE"/>
    <w:rsid w:val="00DE1872"/>
    <w:rsid w:val="00DE19EB"/>
    <w:rsid w:val="00DE5B0F"/>
    <w:rsid w:val="00DE684D"/>
    <w:rsid w:val="00DE79FA"/>
    <w:rsid w:val="00DF0FE3"/>
    <w:rsid w:val="00DF2CB1"/>
    <w:rsid w:val="00DF3EAF"/>
    <w:rsid w:val="00DF641F"/>
    <w:rsid w:val="00DF69F9"/>
    <w:rsid w:val="00E020B8"/>
    <w:rsid w:val="00E02579"/>
    <w:rsid w:val="00E02B50"/>
    <w:rsid w:val="00E0478E"/>
    <w:rsid w:val="00E04B3F"/>
    <w:rsid w:val="00E053DD"/>
    <w:rsid w:val="00E060C1"/>
    <w:rsid w:val="00E06B1E"/>
    <w:rsid w:val="00E075C5"/>
    <w:rsid w:val="00E07787"/>
    <w:rsid w:val="00E109F8"/>
    <w:rsid w:val="00E10AAF"/>
    <w:rsid w:val="00E10F4D"/>
    <w:rsid w:val="00E11084"/>
    <w:rsid w:val="00E11D49"/>
    <w:rsid w:val="00E147D5"/>
    <w:rsid w:val="00E14C0E"/>
    <w:rsid w:val="00E16642"/>
    <w:rsid w:val="00E1787C"/>
    <w:rsid w:val="00E179B7"/>
    <w:rsid w:val="00E17B3D"/>
    <w:rsid w:val="00E202EC"/>
    <w:rsid w:val="00E2109D"/>
    <w:rsid w:val="00E2249E"/>
    <w:rsid w:val="00E22B76"/>
    <w:rsid w:val="00E234F1"/>
    <w:rsid w:val="00E241ED"/>
    <w:rsid w:val="00E24E24"/>
    <w:rsid w:val="00E24E3A"/>
    <w:rsid w:val="00E25AF8"/>
    <w:rsid w:val="00E25CE8"/>
    <w:rsid w:val="00E26C55"/>
    <w:rsid w:val="00E26F6C"/>
    <w:rsid w:val="00E30F1E"/>
    <w:rsid w:val="00E31BD0"/>
    <w:rsid w:val="00E34CA3"/>
    <w:rsid w:val="00E35C4A"/>
    <w:rsid w:val="00E37A0F"/>
    <w:rsid w:val="00E37DA6"/>
    <w:rsid w:val="00E37FE3"/>
    <w:rsid w:val="00E40EB7"/>
    <w:rsid w:val="00E43AAA"/>
    <w:rsid w:val="00E44B4A"/>
    <w:rsid w:val="00E44C62"/>
    <w:rsid w:val="00E45642"/>
    <w:rsid w:val="00E45B54"/>
    <w:rsid w:val="00E51141"/>
    <w:rsid w:val="00E51E9B"/>
    <w:rsid w:val="00E5387C"/>
    <w:rsid w:val="00E53E2C"/>
    <w:rsid w:val="00E54EF2"/>
    <w:rsid w:val="00E56AB2"/>
    <w:rsid w:val="00E60A5E"/>
    <w:rsid w:val="00E60D74"/>
    <w:rsid w:val="00E60DC5"/>
    <w:rsid w:val="00E61036"/>
    <w:rsid w:val="00E63559"/>
    <w:rsid w:val="00E646F4"/>
    <w:rsid w:val="00E64DCB"/>
    <w:rsid w:val="00E67180"/>
    <w:rsid w:val="00E676E2"/>
    <w:rsid w:val="00E72D27"/>
    <w:rsid w:val="00E74B53"/>
    <w:rsid w:val="00E74FA5"/>
    <w:rsid w:val="00E756A8"/>
    <w:rsid w:val="00E76032"/>
    <w:rsid w:val="00E768F2"/>
    <w:rsid w:val="00E77E9E"/>
    <w:rsid w:val="00E81DED"/>
    <w:rsid w:val="00E82316"/>
    <w:rsid w:val="00E825B3"/>
    <w:rsid w:val="00E849DE"/>
    <w:rsid w:val="00E85948"/>
    <w:rsid w:val="00E86536"/>
    <w:rsid w:val="00E87482"/>
    <w:rsid w:val="00E9167E"/>
    <w:rsid w:val="00E922A4"/>
    <w:rsid w:val="00E925CE"/>
    <w:rsid w:val="00E92672"/>
    <w:rsid w:val="00E93F3F"/>
    <w:rsid w:val="00E95403"/>
    <w:rsid w:val="00EA05D9"/>
    <w:rsid w:val="00EA1104"/>
    <w:rsid w:val="00EA1D72"/>
    <w:rsid w:val="00EA5257"/>
    <w:rsid w:val="00EA59B6"/>
    <w:rsid w:val="00EA7415"/>
    <w:rsid w:val="00EB0062"/>
    <w:rsid w:val="00EB0433"/>
    <w:rsid w:val="00EB1B8B"/>
    <w:rsid w:val="00EB24EC"/>
    <w:rsid w:val="00EB2D12"/>
    <w:rsid w:val="00EB3C54"/>
    <w:rsid w:val="00EB3F75"/>
    <w:rsid w:val="00EB4951"/>
    <w:rsid w:val="00EB566F"/>
    <w:rsid w:val="00EB595B"/>
    <w:rsid w:val="00EC098E"/>
    <w:rsid w:val="00EC0BCB"/>
    <w:rsid w:val="00EC0E71"/>
    <w:rsid w:val="00EC2AF7"/>
    <w:rsid w:val="00EC4094"/>
    <w:rsid w:val="00ED00E8"/>
    <w:rsid w:val="00ED0778"/>
    <w:rsid w:val="00ED1A18"/>
    <w:rsid w:val="00ED399C"/>
    <w:rsid w:val="00ED613A"/>
    <w:rsid w:val="00ED6CFA"/>
    <w:rsid w:val="00ED6D53"/>
    <w:rsid w:val="00EE0645"/>
    <w:rsid w:val="00EE1855"/>
    <w:rsid w:val="00EE266A"/>
    <w:rsid w:val="00EE2B68"/>
    <w:rsid w:val="00EE359F"/>
    <w:rsid w:val="00EE35A8"/>
    <w:rsid w:val="00EE3733"/>
    <w:rsid w:val="00EE395E"/>
    <w:rsid w:val="00EE4CD6"/>
    <w:rsid w:val="00EE6D70"/>
    <w:rsid w:val="00EE6E72"/>
    <w:rsid w:val="00EF04B4"/>
    <w:rsid w:val="00EF1386"/>
    <w:rsid w:val="00EF1485"/>
    <w:rsid w:val="00EF2491"/>
    <w:rsid w:val="00EF256B"/>
    <w:rsid w:val="00EF5277"/>
    <w:rsid w:val="00EF55AE"/>
    <w:rsid w:val="00EF5CAD"/>
    <w:rsid w:val="00EF611F"/>
    <w:rsid w:val="00EF76E1"/>
    <w:rsid w:val="00F029AF"/>
    <w:rsid w:val="00F03441"/>
    <w:rsid w:val="00F03E0D"/>
    <w:rsid w:val="00F04099"/>
    <w:rsid w:val="00F05B66"/>
    <w:rsid w:val="00F05FC8"/>
    <w:rsid w:val="00F07C09"/>
    <w:rsid w:val="00F1030E"/>
    <w:rsid w:val="00F10925"/>
    <w:rsid w:val="00F12063"/>
    <w:rsid w:val="00F12F6C"/>
    <w:rsid w:val="00F13DAE"/>
    <w:rsid w:val="00F13DCE"/>
    <w:rsid w:val="00F14BCA"/>
    <w:rsid w:val="00F157D8"/>
    <w:rsid w:val="00F201AD"/>
    <w:rsid w:val="00F21189"/>
    <w:rsid w:val="00F213FA"/>
    <w:rsid w:val="00F21481"/>
    <w:rsid w:val="00F215B1"/>
    <w:rsid w:val="00F21B21"/>
    <w:rsid w:val="00F222BB"/>
    <w:rsid w:val="00F2252E"/>
    <w:rsid w:val="00F24594"/>
    <w:rsid w:val="00F2491A"/>
    <w:rsid w:val="00F24EF6"/>
    <w:rsid w:val="00F254E4"/>
    <w:rsid w:val="00F25719"/>
    <w:rsid w:val="00F26AAB"/>
    <w:rsid w:val="00F26F5D"/>
    <w:rsid w:val="00F26FF8"/>
    <w:rsid w:val="00F274AA"/>
    <w:rsid w:val="00F277CD"/>
    <w:rsid w:val="00F34C92"/>
    <w:rsid w:val="00F3543E"/>
    <w:rsid w:val="00F35D19"/>
    <w:rsid w:val="00F377AE"/>
    <w:rsid w:val="00F40712"/>
    <w:rsid w:val="00F41269"/>
    <w:rsid w:val="00F41319"/>
    <w:rsid w:val="00F44A39"/>
    <w:rsid w:val="00F44B13"/>
    <w:rsid w:val="00F44D47"/>
    <w:rsid w:val="00F45BE7"/>
    <w:rsid w:val="00F4619E"/>
    <w:rsid w:val="00F463D7"/>
    <w:rsid w:val="00F46952"/>
    <w:rsid w:val="00F50163"/>
    <w:rsid w:val="00F510E2"/>
    <w:rsid w:val="00F515F1"/>
    <w:rsid w:val="00F5225C"/>
    <w:rsid w:val="00F5273A"/>
    <w:rsid w:val="00F52BB2"/>
    <w:rsid w:val="00F52D6B"/>
    <w:rsid w:val="00F52E18"/>
    <w:rsid w:val="00F535E2"/>
    <w:rsid w:val="00F542CD"/>
    <w:rsid w:val="00F546FB"/>
    <w:rsid w:val="00F55335"/>
    <w:rsid w:val="00F55CF7"/>
    <w:rsid w:val="00F56340"/>
    <w:rsid w:val="00F56FA8"/>
    <w:rsid w:val="00F57D1C"/>
    <w:rsid w:val="00F6086A"/>
    <w:rsid w:val="00F6169B"/>
    <w:rsid w:val="00F62824"/>
    <w:rsid w:val="00F62D7C"/>
    <w:rsid w:val="00F634C8"/>
    <w:rsid w:val="00F6428B"/>
    <w:rsid w:val="00F64B9B"/>
    <w:rsid w:val="00F64CD1"/>
    <w:rsid w:val="00F65618"/>
    <w:rsid w:val="00F658B9"/>
    <w:rsid w:val="00F66B4E"/>
    <w:rsid w:val="00F67155"/>
    <w:rsid w:val="00F672D0"/>
    <w:rsid w:val="00F6785E"/>
    <w:rsid w:val="00F7058F"/>
    <w:rsid w:val="00F70D21"/>
    <w:rsid w:val="00F70FEF"/>
    <w:rsid w:val="00F7105D"/>
    <w:rsid w:val="00F721FB"/>
    <w:rsid w:val="00F7290A"/>
    <w:rsid w:val="00F73F06"/>
    <w:rsid w:val="00F74F3A"/>
    <w:rsid w:val="00F7505D"/>
    <w:rsid w:val="00F750B4"/>
    <w:rsid w:val="00F75630"/>
    <w:rsid w:val="00F75C02"/>
    <w:rsid w:val="00F77ECB"/>
    <w:rsid w:val="00F81583"/>
    <w:rsid w:val="00F819E3"/>
    <w:rsid w:val="00F81BF8"/>
    <w:rsid w:val="00F81E47"/>
    <w:rsid w:val="00F824EF"/>
    <w:rsid w:val="00F8298B"/>
    <w:rsid w:val="00F84408"/>
    <w:rsid w:val="00F86474"/>
    <w:rsid w:val="00F868B4"/>
    <w:rsid w:val="00F86AF5"/>
    <w:rsid w:val="00F8730A"/>
    <w:rsid w:val="00F9016F"/>
    <w:rsid w:val="00F90601"/>
    <w:rsid w:val="00F90AC3"/>
    <w:rsid w:val="00F93703"/>
    <w:rsid w:val="00F95BB8"/>
    <w:rsid w:val="00F96447"/>
    <w:rsid w:val="00F97A0A"/>
    <w:rsid w:val="00FA0B78"/>
    <w:rsid w:val="00FA2A20"/>
    <w:rsid w:val="00FA3883"/>
    <w:rsid w:val="00FA5654"/>
    <w:rsid w:val="00FA74EB"/>
    <w:rsid w:val="00FA78FD"/>
    <w:rsid w:val="00FB11BE"/>
    <w:rsid w:val="00FB1357"/>
    <w:rsid w:val="00FB1799"/>
    <w:rsid w:val="00FB1B56"/>
    <w:rsid w:val="00FB27F1"/>
    <w:rsid w:val="00FB4C6F"/>
    <w:rsid w:val="00FB52A0"/>
    <w:rsid w:val="00FB76CC"/>
    <w:rsid w:val="00FC34DF"/>
    <w:rsid w:val="00FC5E76"/>
    <w:rsid w:val="00FC66A5"/>
    <w:rsid w:val="00FC69CF"/>
    <w:rsid w:val="00FC7214"/>
    <w:rsid w:val="00FD058F"/>
    <w:rsid w:val="00FD0B70"/>
    <w:rsid w:val="00FD11B8"/>
    <w:rsid w:val="00FD1440"/>
    <w:rsid w:val="00FD1489"/>
    <w:rsid w:val="00FD17D7"/>
    <w:rsid w:val="00FD2065"/>
    <w:rsid w:val="00FD2DA9"/>
    <w:rsid w:val="00FD35FA"/>
    <w:rsid w:val="00FD43AC"/>
    <w:rsid w:val="00FD4864"/>
    <w:rsid w:val="00FD4C02"/>
    <w:rsid w:val="00FD59F1"/>
    <w:rsid w:val="00FD6FE2"/>
    <w:rsid w:val="00FD74CB"/>
    <w:rsid w:val="00FD7543"/>
    <w:rsid w:val="00FD7BF5"/>
    <w:rsid w:val="00FE0148"/>
    <w:rsid w:val="00FE0E1A"/>
    <w:rsid w:val="00FE185C"/>
    <w:rsid w:val="00FE1C35"/>
    <w:rsid w:val="00FE3C5F"/>
    <w:rsid w:val="00FE401B"/>
    <w:rsid w:val="00FE4705"/>
    <w:rsid w:val="00FE4868"/>
    <w:rsid w:val="00FE557C"/>
    <w:rsid w:val="00FE6458"/>
    <w:rsid w:val="00FE7A03"/>
    <w:rsid w:val="00FF16CF"/>
    <w:rsid w:val="00FF2EC0"/>
    <w:rsid w:val="00FF4C3A"/>
    <w:rsid w:val="00FF62F4"/>
    <w:rsid w:val="00FF6519"/>
    <w:rsid w:val="00FF74FC"/>
  </w:rsids>
  <m:mathPr>
    <m:mathFont m:val="Cambria Math"/>
    <m:brkBin m:val="before"/>
    <m:brkBinSub m:val="--"/>
    <m:smallFrac m:val="0"/>
    <m:dispDef/>
    <m:lMargin m:val="0"/>
    <m:rMargin m:val="0"/>
    <m:defJc m:val="centerGroup"/>
    <m:wrapRight/>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C9F0EA6"/>
  <w15:docId w15:val="{32F79C97-E1D6-4168-AB29-0CA15F87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12D16"/>
    <w:pPr>
      <w:tabs>
        <w:tab w:val="left" w:pos="567"/>
      </w:tabs>
      <w:spacing w:line="260" w:lineRule="exact"/>
    </w:pPr>
    <w:rPr>
      <w:rFonts w:eastAsia="Times New Roman"/>
      <w:sz w:val="22"/>
      <w:lang w:val="sk-SK" w:eastAsia="sk-SK" w:bidi="sk-SK"/>
    </w:rPr>
  </w:style>
  <w:style w:type="paragraph" w:styleId="Nadpis2">
    <w:name w:val="heading 2"/>
    <w:basedOn w:val="Normlny"/>
    <w:next w:val="Normlny"/>
    <w:link w:val="Nadpis2Char"/>
    <w:qFormat/>
    <w:rsid w:val="0097628E"/>
    <w:pPr>
      <w:keepNext/>
      <w:tabs>
        <w:tab w:val="clear" w:pos="567"/>
      </w:tabs>
      <w:spacing w:line="240" w:lineRule="auto"/>
      <w:outlineLvl w:val="1"/>
    </w:pPr>
    <w:rPr>
      <w:rFonts w:ascii="Arial" w:hAnsi="Arial"/>
      <w:i/>
      <w:sz w:val="20"/>
      <w:lang w:bidi="ar-SA"/>
    </w:rPr>
  </w:style>
  <w:style w:type="paragraph" w:styleId="Nadpis5">
    <w:name w:val="heading 5"/>
    <w:basedOn w:val="Normlny"/>
    <w:next w:val="Normlny"/>
    <w:link w:val="Nadpis5Char"/>
    <w:semiHidden/>
    <w:unhideWhenUsed/>
    <w:qFormat/>
    <w:rsid w:val="0097628E"/>
    <w:pPr>
      <w:keepNext/>
      <w:keepLines/>
      <w:spacing w:before="4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link w:val="Nadpis1Char"/>
    <w:uiPriority w:val="9"/>
    <w:qFormat/>
    <w:rsid w:val="00340C09"/>
    <w:pPr>
      <w:tabs>
        <w:tab w:val="clear" w:pos="567"/>
      </w:tabs>
      <w:spacing w:before="100" w:beforeAutospacing="1" w:after="100" w:afterAutospacing="1" w:line="240" w:lineRule="auto"/>
      <w:outlineLvl w:val="0"/>
    </w:pPr>
    <w:rPr>
      <w:b/>
      <w:bCs/>
      <w:kern w:val="36"/>
      <w:sz w:val="48"/>
      <w:szCs w:val="48"/>
      <w:lang w:bidi="ar-SA"/>
    </w:rPr>
  </w:style>
  <w:style w:type="numbering" w:customStyle="1" w:styleId="Bezzoznamu1">
    <w:name w:val="Bez zoznamu1"/>
    <w:uiPriority w:val="99"/>
    <w:semiHidden/>
    <w:unhideWhenUsed/>
    <w:rsid w:val="001645AE"/>
  </w:style>
  <w:style w:type="paragraph" w:customStyle="1" w:styleId="Pta1">
    <w:name w:val="Päta1"/>
    <w:basedOn w:val="Normlny"/>
    <w:link w:val="PtaChar"/>
    <w:uiPriority w:val="99"/>
    <w:rsid w:val="00B328C1"/>
    <w:pPr>
      <w:tabs>
        <w:tab w:val="center" w:pos="4536"/>
        <w:tab w:val="right" w:pos="8306"/>
      </w:tabs>
    </w:pPr>
    <w:rPr>
      <w:rFonts w:ascii="Arial" w:hAnsi="Arial"/>
      <w:noProof/>
      <w:sz w:val="16"/>
    </w:rPr>
  </w:style>
  <w:style w:type="paragraph" w:customStyle="1" w:styleId="Hlavika1">
    <w:name w:val="Hlavička1"/>
    <w:basedOn w:val="Normlny"/>
    <w:link w:val="HlavikaChar"/>
    <w:uiPriority w:val="99"/>
    <w:rsid w:val="00B328C1"/>
    <w:pPr>
      <w:tabs>
        <w:tab w:val="center" w:pos="4153"/>
        <w:tab w:val="right" w:pos="8306"/>
      </w:tabs>
    </w:pPr>
    <w:rPr>
      <w:rFonts w:ascii="Arial" w:hAnsi="Arial"/>
      <w:sz w:val="20"/>
    </w:rPr>
  </w:style>
  <w:style w:type="paragraph" w:customStyle="1" w:styleId="MemoHeaderStyle">
    <w:name w:val="MemoHeaderStyle"/>
    <w:basedOn w:val="Normlny"/>
    <w:next w:val="Normlny"/>
    <w:rsid w:val="001645AE"/>
    <w:pPr>
      <w:spacing w:line="120" w:lineRule="atLeast"/>
      <w:ind w:left="1418"/>
      <w:jc w:val="both"/>
    </w:pPr>
    <w:rPr>
      <w:rFonts w:ascii="Arial" w:hAnsi="Arial"/>
      <w:b/>
      <w:smallCaps/>
    </w:rPr>
  </w:style>
  <w:style w:type="character" w:customStyle="1" w:styleId="slostrany1">
    <w:name w:val="Číslo strany1"/>
    <w:basedOn w:val="Predvolenpsmoodseku"/>
    <w:uiPriority w:val="99"/>
    <w:rsid w:val="00812D16"/>
  </w:style>
  <w:style w:type="paragraph" w:customStyle="1" w:styleId="Zkladntext1">
    <w:name w:val="Základný text1"/>
    <w:basedOn w:val="Normlny"/>
    <w:rsid w:val="00812D16"/>
    <w:pPr>
      <w:tabs>
        <w:tab w:val="clear" w:pos="567"/>
      </w:tabs>
      <w:spacing w:line="240" w:lineRule="auto"/>
    </w:pPr>
    <w:rPr>
      <w:i/>
      <w:color w:val="008000"/>
    </w:rPr>
  </w:style>
  <w:style w:type="paragraph" w:customStyle="1" w:styleId="Textkomentra1">
    <w:name w:val="Text komentára1"/>
    <w:basedOn w:val="Normlny"/>
    <w:link w:val="TextkomentraChar"/>
    <w:uiPriority w:val="99"/>
    <w:unhideWhenUsed/>
    <w:rsid w:val="00B328C1"/>
    <w:pPr>
      <w:spacing w:line="240" w:lineRule="auto"/>
    </w:pPr>
    <w:rPr>
      <w:sz w:val="20"/>
    </w:rPr>
  </w:style>
  <w:style w:type="character" w:customStyle="1" w:styleId="Hypertextovprepojenie1">
    <w:name w:val="Hypertextové prepojenie1"/>
    <w:uiPriority w:val="99"/>
    <w:rsid w:val="00812D16"/>
    <w:rPr>
      <w:color w:val="0000FF"/>
      <w:u w:val="single"/>
    </w:rPr>
  </w:style>
  <w:style w:type="paragraph" w:customStyle="1" w:styleId="EMEAEnBodyText">
    <w:name w:val="EMEA En Body Text"/>
    <w:basedOn w:val="Normlny"/>
    <w:uiPriority w:val="99"/>
    <w:rsid w:val="00812D16"/>
    <w:pPr>
      <w:tabs>
        <w:tab w:val="clear" w:pos="567"/>
      </w:tabs>
      <w:spacing w:before="120" w:after="120" w:line="240" w:lineRule="auto"/>
      <w:jc w:val="both"/>
    </w:pPr>
  </w:style>
  <w:style w:type="paragraph" w:customStyle="1" w:styleId="Textbubliny1">
    <w:name w:val="Text bubliny1"/>
    <w:basedOn w:val="Normlny"/>
    <w:link w:val="TextbublinyChar"/>
    <w:uiPriority w:val="99"/>
    <w:rsid w:val="00B328C1"/>
    <w:rPr>
      <w:rFonts w:ascii="Tahoma" w:hAnsi="Tahoma" w:cs="Tahoma"/>
      <w:sz w:val="16"/>
      <w:szCs w:val="16"/>
    </w:rPr>
  </w:style>
  <w:style w:type="paragraph" w:customStyle="1" w:styleId="BodytextAgency">
    <w:name w:val="Body text (Agency)"/>
    <w:basedOn w:val="Normlny"/>
    <w:link w:val="BodytextAgencyChar"/>
    <w:uiPriority w:val="99"/>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345F9C"/>
    <w:rPr>
      <w:rFonts w:ascii="Verdana" w:eastAsia="Verdana" w:hAnsi="Verdana" w:cs="Verdana"/>
      <w:sz w:val="18"/>
      <w:szCs w:val="18"/>
      <w:lang w:val="sk-SK" w:eastAsia="sk-SK" w:bidi="sk-SK"/>
    </w:rPr>
  </w:style>
  <w:style w:type="paragraph" w:customStyle="1" w:styleId="DraftingNotesAgency">
    <w:name w:val="Drafting Notes (Agency)"/>
    <w:basedOn w:val="Normlny"/>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k-SK" w:eastAsia="sk-SK" w:bidi="sk-SK"/>
    </w:rPr>
  </w:style>
  <w:style w:type="paragraph" w:customStyle="1" w:styleId="NormalAgency">
    <w:name w:val="Normal (Agency)"/>
    <w:link w:val="NormalAgencyChar"/>
    <w:uiPriority w:val="99"/>
    <w:rsid w:val="00C179B0"/>
    <w:rPr>
      <w:rFonts w:ascii="Verdana" w:eastAsia="Verdana" w:hAnsi="Verdana" w:cs="Verdana"/>
      <w:sz w:val="18"/>
      <w:szCs w:val="18"/>
      <w:lang w:val="sk-SK" w:eastAsia="sk-SK" w:bidi="sk-SK"/>
    </w:rPr>
  </w:style>
  <w:style w:type="table" w:customStyle="1" w:styleId="TablegridAgencyblack">
    <w:name w:val="Table grid (Agency) black"/>
    <w:basedOn w:val="Normlnatabuka"/>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lny"/>
    <w:uiPriority w:val="99"/>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sk-SK" w:eastAsia="sk-SK" w:bidi="sk-SK"/>
    </w:rPr>
  </w:style>
  <w:style w:type="character" w:customStyle="1" w:styleId="Odkaznakomentr1">
    <w:name w:val="Odkaz na komentár1"/>
    <w:uiPriority w:val="99"/>
    <w:unhideWhenUsed/>
    <w:rsid w:val="00B328C1"/>
    <w:rPr>
      <w:sz w:val="16"/>
      <w:szCs w:val="16"/>
    </w:rPr>
  </w:style>
  <w:style w:type="paragraph" w:customStyle="1" w:styleId="Predmetkomentra1">
    <w:name w:val="Predmet komentára1"/>
    <w:basedOn w:val="Textkomentra1"/>
    <w:next w:val="Textkomentra1"/>
    <w:link w:val="PredmetkomentraChar"/>
    <w:uiPriority w:val="99"/>
    <w:rsid w:val="00B328C1"/>
    <w:rPr>
      <w:b/>
      <w:bCs/>
    </w:rPr>
  </w:style>
  <w:style w:type="character" w:customStyle="1" w:styleId="TextkomentraChar">
    <w:name w:val="Text komentára Char"/>
    <w:link w:val="Textkomentra1"/>
    <w:uiPriority w:val="99"/>
    <w:rsid w:val="00BC6DC2"/>
    <w:rPr>
      <w:rFonts w:eastAsia="Times New Roman"/>
      <w:lang w:val="sk-SK" w:eastAsia="sk-SK" w:bidi="sk-SK"/>
    </w:rPr>
  </w:style>
  <w:style w:type="character" w:customStyle="1" w:styleId="PredmetkomentraChar">
    <w:name w:val="Predmet komentára Char"/>
    <w:link w:val="Predmetkomentra1"/>
    <w:uiPriority w:val="99"/>
    <w:rsid w:val="00BC6DC2"/>
    <w:rPr>
      <w:rFonts w:eastAsia="Times New Roman"/>
      <w:b/>
      <w:bCs/>
      <w:lang w:val="sk-SK" w:eastAsia="sk-SK" w:bidi="sk-SK"/>
    </w:rPr>
  </w:style>
  <w:style w:type="character" w:customStyle="1" w:styleId="DoNotTranslateExternal1">
    <w:name w:val="DoNotTranslateExternal1"/>
    <w:qFormat/>
    <w:rsid w:val="00066F1A"/>
    <w:rPr>
      <w:b/>
      <w:noProof/>
      <w:szCs w:val="22"/>
    </w:rPr>
  </w:style>
  <w:style w:type="paragraph" w:customStyle="1" w:styleId="Odsekzoznamu1">
    <w:name w:val="Odsek zoznamu1"/>
    <w:basedOn w:val="Normlny"/>
    <w:uiPriority w:val="34"/>
    <w:qFormat/>
    <w:rsid w:val="002D52B9"/>
    <w:pPr>
      <w:ind w:left="720"/>
      <w:contextualSpacing/>
    </w:pPr>
  </w:style>
  <w:style w:type="character" w:customStyle="1" w:styleId="FooterChar">
    <w:name w:val="Footer Char"/>
    <w:uiPriority w:val="99"/>
    <w:rsid w:val="00B328C1"/>
    <w:rPr>
      <w:snapToGrid w:val="0"/>
      <w:sz w:val="22"/>
      <w:lang w:val="en-GB"/>
    </w:rPr>
  </w:style>
  <w:style w:type="character" w:customStyle="1" w:styleId="HeaderChar">
    <w:name w:val="Header Char"/>
    <w:uiPriority w:val="99"/>
    <w:rsid w:val="00B328C1"/>
    <w:rPr>
      <w:snapToGrid w:val="0"/>
      <w:sz w:val="22"/>
      <w:lang w:val="en-GB"/>
    </w:rPr>
  </w:style>
  <w:style w:type="character" w:customStyle="1" w:styleId="tw4winMark">
    <w:name w:val="tw4winMark"/>
    <w:uiPriority w:val="99"/>
    <w:rsid w:val="00B328C1"/>
    <w:rPr>
      <w:rFonts w:ascii="Courier New" w:hAnsi="Courier New"/>
      <w:vanish/>
      <w:color w:val="800080"/>
      <w:sz w:val="24"/>
      <w:vertAlign w:val="subscript"/>
    </w:rPr>
  </w:style>
  <w:style w:type="character" w:customStyle="1" w:styleId="tw4winError">
    <w:name w:val="tw4winError"/>
    <w:uiPriority w:val="99"/>
    <w:rsid w:val="00B328C1"/>
    <w:rPr>
      <w:rFonts w:ascii="Courier New" w:hAnsi="Courier New"/>
      <w:color w:val="00FF00"/>
      <w:sz w:val="40"/>
    </w:rPr>
  </w:style>
  <w:style w:type="character" w:customStyle="1" w:styleId="tw4winTerm">
    <w:name w:val="tw4winTerm"/>
    <w:uiPriority w:val="99"/>
    <w:rsid w:val="00B328C1"/>
    <w:rPr>
      <w:color w:val="0000FF"/>
    </w:rPr>
  </w:style>
  <w:style w:type="character" w:customStyle="1" w:styleId="tw4winPopup">
    <w:name w:val="tw4winPopup"/>
    <w:uiPriority w:val="99"/>
    <w:rsid w:val="00B328C1"/>
    <w:rPr>
      <w:rFonts w:ascii="Courier New" w:hAnsi="Courier New"/>
      <w:noProof/>
      <w:color w:val="008000"/>
    </w:rPr>
  </w:style>
  <w:style w:type="character" w:customStyle="1" w:styleId="tw4winJump">
    <w:name w:val="tw4winJump"/>
    <w:uiPriority w:val="99"/>
    <w:rsid w:val="00B328C1"/>
    <w:rPr>
      <w:rFonts w:ascii="Courier New" w:hAnsi="Courier New"/>
      <w:noProof/>
      <w:color w:val="008080"/>
    </w:rPr>
  </w:style>
  <w:style w:type="character" w:customStyle="1" w:styleId="tw4winExternal">
    <w:name w:val="tw4winExternal"/>
    <w:uiPriority w:val="99"/>
    <w:rsid w:val="00B328C1"/>
    <w:rPr>
      <w:rFonts w:ascii="Courier New" w:hAnsi="Courier New"/>
      <w:noProof/>
      <w:color w:val="808080"/>
    </w:rPr>
  </w:style>
  <w:style w:type="character" w:customStyle="1" w:styleId="tw4winInternal">
    <w:name w:val="tw4winInternal"/>
    <w:uiPriority w:val="99"/>
    <w:rsid w:val="00B328C1"/>
    <w:rPr>
      <w:rFonts w:ascii="Courier New" w:hAnsi="Courier New"/>
      <w:noProof/>
      <w:color w:val="FF0000"/>
    </w:rPr>
  </w:style>
  <w:style w:type="character" w:customStyle="1" w:styleId="DONOTTRANSLATE">
    <w:name w:val="DO_NOT_TRANSLATE"/>
    <w:uiPriority w:val="99"/>
    <w:rsid w:val="00B328C1"/>
    <w:rPr>
      <w:rFonts w:ascii="Courier New" w:hAnsi="Courier New"/>
      <w:noProof/>
      <w:color w:val="800000"/>
    </w:rPr>
  </w:style>
  <w:style w:type="character" w:customStyle="1" w:styleId="TextbublinyChar">
    <w:name w:val="Text bubliny Char"/>
    <w:link w:val="Textbubliny1"/>
    <w:uiPriority w:val="99"/>
    <w:locked/>
    <w:rsid w:val="00B328C1"/>
    <w:rPr>
      <w:rFonts w:ascii="Tahoma" w:eastAsia="Times New Roman" w:hAnsi="Tahoma" w:cs="Tahoma"/>
      <w:sz w:val="16"/>
      <w:szCs w:val="16"/>
      <w:lang w:val="sk-SK" w:eastAsia="sk-SK" w:bidi="sk-SK"/>
    </w:rPr>
  </w:style>
  <w:style w:type="character" w:customStyle="1" w:styleId="PouitHypertextovPrepojenie1">
    <w:name w:val="PoužitéHypertextovéPrepojenie1"/>
    <w:uiPriority w:val="99"/>
    <w:rsid w:val="00B328C1"/>
    <w:rPr>
      <w:rFonts w:cs="Times New Roman"/>
      <w:color w:val="800080"/>
      <w:u w:val="single"/>
    </w:rPr>
  </w:style>
  <w:style w:type="paragraph" w:customStyle="1" w:styleId="Revzia1">
    <w:name w:val="Revízia1"/>
    <w:hidden/>
    <w:uiPriority w:val="99"/>
    <w:semiHidden/>
    <w:rsid w:val="00B328C1"/>
    <w:rPr>
      <w:rFonts w:eastAsia="Times New Roman"/>
      <w:sz w:val="22"/>
      <w:lang w:eastAsia="en-US"/>
    </w:rPr>
  </w:style>
  <w:style w:type="character" w:customStyle="1" w:styleId="HlavikaChar">
    <w:name w:val="Hlavička Char"/>
    <w:link w:val="Hlavika1"/>
    <w:uiPriority w:val="99"/>
    <w:locked/>
    <w:rsid w:val="00B328C1"/>
    <w:rPr>
      <w:rFonts w:ascii="Arial" w:eastAsia="Times New Roman" w:hAnsi="Arial"/>
      <w:lang w:val="sk-SK" w:eastAsia="sk-SK" w:bidi="sk-SK"/>
    </w:rPr>
  </w:style>
  <w:style w:type="character" w:customStyle="1" w:styleId="PtaChar">
    <w:name w:val="Päta Char"/>
    <w:link w:val="Pta1"/>
    <w:uiPriority w:val="99"/>
    <w:locked/>
    <w:rsid w:val="00B328C1"/>
    <w:rPr>
      <w:rFonts w:ascii="Arial" w:eastAsia="Times New Roman" w:hAnsi="Arial"/>
      <w:noProof/>
      <w:sz w:val="16"/>
      <w:lang w:val="sk-SK" w:eastAsia="sk-SK" w:bidi="sk-SK"/>
    </w:rPr>
  </w:style>
  <w:style w:type="character" w:customStyle="1" w:styleId="tlid-translation">
    <w:name w:val="tlid-translation"/>
    <w:rsid w:val="00F07C09"/>
  </w:style>
  <w:style w:type="character" w:customStyle="1" w:styleId="Nadpis1Char">
    <w:name w:val="Nadpis 1 Char"/>
    <w:link w:val="Nadpis11"/>
    <w:uiPriority w:val="9"/>
    <w:rsid w:val="00340C09"/>
    <w:rPr>
      <w:rFonts w:eastAsia="Times New Roman"/>
      <w:b/>
      <w:bCs/>
      <w:kern w:val="36"/>
      <w:sz w:val="48"/>
      <w:szCs w:val="48"/>
    </w:rPr>
  </w:style>
  <w:style w:type="paragraph" w:styleId="Pta">
    <w:name w:val="footer"/>
    <w:basedOn w:val="Normlny"/>
    <w:link w:val="PtaChar1"/>
    <w:uiPriority w:val="99"/>
    <w:rsid w:val="001719FA"/>
    <w:pPr>
      <w:tabs>
        <w:tab w:val="clear" w:pos="567"/>
        <w:tab w:val="center" w:pos="4320"/>
        <w:tab w:val="right" w:pos="8640"/>
      </w:tabs>
      <w:spacing w:line="240" w:lineRule="auto"/>
    </w:pPr>
    <w:rPr>
      <w:rFonts w:ascii="Times" w:hAnsi="Times"/>
      <w:sz w:val="20"/>
      <w:lang w:bidi="ar-SA"/>
    </w:rPr>
  </w:style>
  <w:style w:type="character" w:customStyle="1" w:styleId="PtaChar1">
    <w:name w:val="Päta Char1"/>
    <w:basedOn w:val="Predvolenpsmoodseku"/>
    <w:link w:val="Pta"/>
    <w:uiPriority w:val="99"/>
    <w:rsid w:val="001719FA"/>
    <w:rPr>
      <w:rFonts w:ascii="Times" w:eastAsia="Times New Roman" w:hAnsi="Times"/>
    </w:rPr>
  </w:style>
  <w:style w:type="paragraph" w:styleId="Zkladntext3">
    <w:name w:val="Body Text 3"/>
    <w:basedOn w:val="Normlny"/>
    <w:link w:val="Zkladntext3Char"/>
    <w:rsid w:val="00322DE9"/>
    <w:pPr>
      <w:tabs>
        <w:tab w:val="clear" w:pos="567"/>
      </w:tabs>
      <w:spacing w:line="240" w:lineRule="auto"/>
    </w:pPr>
    <w:rPr>
      <w:rFonts w:ascii="Arial" w:hAnsi="Arial"/>
      <w:color w:val="00FF00"/>
      <w:sz w:val="20"/>
      <w:lang w:bidi="ar-SA"/>
    </w:rPr>
  </w:style>
  <w:style w:type="character" w:customStyle="1" w:styleId="Zkladntext3Char">
    <w:name w:val="Základný text 3 Char"/>
    <w:basedOn w:val="Predvolenpsmoodseku"/>
    <w:link w:val="Zkladntext3"/>
    <w:rsid w:val="00322DE9"/>
    <w:rPr>
      <w:rFonts w:ascii="Arial" w:eastAsia="Times New Roman" w:hAnsi="Arial"/>
      <w:color w:val="00FF00"/>
      <w:lang w:val="sk-SK" w:eastAsia="sk-SK"/>
    </w:rPr>
  </w:style>
  <w:style w:type="paragraph" w:styleId="Zkladntext2">
    <w:name w:val="Body Text 2"/>
    <w:basedOn w:val="Normlny"/>
    <w:link w:val="Zkladntext2Char"/>
    <w:unhideWhenUsed/>
    <w:rsid w:val="00322DE9"/>
    <w:pPr>
      <w:spacing w:after="120" w:line="480" w:lineRule="auto"/>
    </w:pPr>
  </w:style>
  <w:style w:type="character" w:customStyle="1" w:styleId="Zkladntext2Char">
    <w:name w:val="Základný text 2 Char"/>
    <w:basedOn w:val="Predvolenpsmoodseku"/>
    <w:link w:val="Zkladntext2"/>
    <w:rsid w:val="00322DE9"/>
    <w:rPr>
      <w:rFonts w:eastAsia="Times New Roman"/>
      <w:sz w:val="22"/>
      <w:lang w:val="sk-SK" w:eastAsia="sk-SK" w:bidi="sk-SK"/>
    </w:rPr>
  </w:style>
  <w:style w:type="character" w:customStyle="1" w:styleId="Nadpis2Char">
    <w:name w:val="Nadpis 2 Char"/>
    <w:basedOn w:val="Predvolenpsmoodseku"/>
    <w:link w:val="Nadpis2"/>
    <w:rsid w:val="0097628E"/>
    <w:rPr>
      <w:rFonts w:ascii="Arial" w:eastAsia="Times New Roman" w:hAnsi="Arial"/>
      <w:i/>
      <w:lang w:val="sk-SK" w:eastAsia="sk-SK"/>
    </w:rPr>
  </w:style>
  <w:style w:type="character" w:customStyle="1" w:styleId="Nadpis5Char">
    <w:name w:val="Nadpis 5 Char"/>
    <w:basedOn w:val="Predvolenpsmoodseku"/>
    <w:link w:val="Nadpis5"/>
    <w:semiHidden/>
    <w:rsid w:val="0097628E"/>
    <w:rPr>
      <w:rFonts w:asciiTheme="majorHAnsi" w:eastAsiaTheme="majorEastAsia" w:hAnsiTheme="majorHAnsi" w:cstheme="majorBidi"/>
      <w:color w:val="365F91" w:themeColor="accent1" w:themeShade="BF"/>
      <w:sz w:val="22"/>
      <w:lang w:val="sk-SK" w:eastAsia="sk-SK" w:bidi="sk-SK"/>
    </w:rPr>
  </w:style>
  <w:style w:type="paragraph" w:styleId="Zkladntext">
    <w:name w:val="Body Text"/>
    <w:basedOn w:val="Normlny"/>
    <w:link w:val="ZkladntextChar"/>
    <w:semiHidden/>
    <w:unhideWhenUsed/>
    <w:rsid w:val="009D1236"/>
    <w:pPr>
      <w:spacing w:after="120"/>
    </w:pPr>
  </w:style>
  <w:style w:type="character" w:customStyle="1" w:styleId="ZkladntextChar">
    <w:name w:val="Základný text Char"/>
    <w:basedOn w:val="Predvolenpsmoodseku"/>
    <w:link w:val="Zkladntext"/>
    <w:semiHidden/>
    <w:rsid w:val="009D1236"/>
    <w:rPr>
      <w:rFonts w:eastAsia="Times New Roman"/>
      <w:sz w:val="22"/>
      <w:lang w:val="sk-SK" w:eastAsia="sk-SK" w:bidi="sk-SK"/>
    </w:rPr>
  </w:style>
  <w:style w:type="character" w:styleId="Zvraznenie">
    <w:name w:val="Emphasis"/>
    <w:uiPriority w:val="20"/>
    <w:qFormat/>
    <w:rsid w:val="009D1236"/>
    <w:rPr>
      <w:b/>
      <w:bCs/>
      <w:i w:val="0"/>
      <w:iCs w:val="0"/>
    </w:rPr>
  </w:style>
  <w:style w:type="paragraph" w:customStyle="1" w:styleId="Normln1">
    <w:name w:val="Normální1"/>
    <w:qFormat/>
    <w:rsid w:val="005B7759"/>
    <w:pPr>
      <w:tabs>
        <w:tab w:val="left" w:pos="567"/>
      </w:tabs>
      <w:spacing w:line="260" w:lineRule="exact"/>
    </w:pPr>
    <w:rPr>
      <w:rFonts w:eastAsia="Times New Roman"/>
      <w:sz w:val="22"/>
      <w:lang w:val="cs-CZ" w:eastAsia="cs-CZ"/>
    </w:rPr>
  </w:style>
  <w:style w:type="character" w:styleId="Odkaznakomentr">
    <w:name w:val="annotation reference"/>
    <w:basedOn w:val="Predvolenpsmoodseku"/>
    <w:uiPriority w:val="99"/>
    <w:semiHidden/>
    <w:unhideWhenUsed/>
    <w:rsid w:val="00487B0F"/>
    <w:rPr>
      <w:sz w:val="16"/>
      <w:szCs w:val="16"/>
    </w:rPr>
  </w:style>
  <w:style w:type="paragraph" w:styleId="Textkomentra">
    <w:name w:val="annotation text"/>
    <w:basedOn w:val="Normlny"/>
    <w:link w:val="TextkomentraChar1"/>
    <w:uiPriority w:val="99"/>
    <w:semiHidden/>
    <w:unhideWhenUsed/>
    <w:rsid w:val="00487B0F"/>
    <w:pPr>
      <w:spacing w:line="240" w:lineRule="auto"/>
    </w:pPr>
    <w:rPr>
      <w:sz w:val="20"/>
    </w:rPr>
  </w:style>
  <w:style w:type="character" w:customStyle="1" w:styleId="TextkomentraChar1">
    <w:name w:val="Text komentára Char1"/>
    <w:basedOn w:val="Predvolenpsmoodseku"/>
    <w:link w:val="Textkomentra"/>
    <w:uiPriority w:val="99"/>
    <w:semiHidden/>
    <w:rsid w:val="00487B0F"/>
    <w:rPr>
      <w:rFonts w:eastAsia="Times New Roman"/>
      <w:lang w:val="sk-SK" w:eastAsia="sk-SK" w:bidi="sk-SK"/>
    </w:rPr>
  </w:style>
  <w:style w:type="paragraph" w:styleId="Predmetkomentra">
    <w:name w:val="annotation subject"/>
    <w:basedOn w:val="Textkomentra"/>
    <w:next w:val="Textkomentra"/>
    <w:link w:val="PredmetkomentraChar1"/>
    <w:uiPriority w:val="99"/>
    <w:semiHidden/>
    <w:unhideWhenUsed/>
    <w:rsid w:val="00487B0F"/>
    <w:rPr>
      <w:b/>
      <w:bCs/>
    </w:rPr>
  </w:style>
  <w:style w:type="character" w:customStyle="1" w:styleId="PredmetkomentraChar1">
    <w:name w:val="Predmet komentára Char1"/>
    <w:basedOn w:val="TextkomentraChar1"/>
    <w:link w:val="Predmetkomentra"/>
    <w:uiPriority w:val="99"/>
    <w:semiHidden/>
    <w:rsid w:val="00487B0F"/>
    <w:rPr>
      <w:rFonts w:eastAsia="Times New Roman"/>
      <w:b/>
      <w:bCs/>
      <w:lang w:val="sk-SK" w:eastAsia="sk-SK" w:bidi="sk-SK"/>
    </w:rPr>
  </w:style>
  <w:style w:type="paragraph" w:styleId="Textbubliny">
    <w:name w:val="Balloon Text"/>
    <w:basedOn w:val="Normlny"/>
    <w:link w:val="TextbublinyChar1"/>
    <w:uiPriority w:val="99"/>
    <w:rsid w:val="00487B0F"/>
    <w:pPr>
      <w:spacing w:line="240" w:lineRule="auto"/>
    </w:pPr>
    <w:rPr>
      <w:rFonts w:ascii="Segoe UI" w:hAnsi="Segoe UI" w:cs="Segoe UI"/>
      <w:sz w:val="18"/>
      <w:szCs w:val="18"/>
    </w:rPr>
  </w:style>
  <w:style w:type="character" w:customStyle="1" w:styleId="TextbublinyChar1">
    <w:name w:val="Text bubliny Char1"/>
    <w:basedOn w:val="Predvolenpsmoodseku"/>
    <w:link w:val="Textbubliny"/>
    <w:uiPriority w:val="99"/>
    <w:rsid w:val="00487B0F"/>
    <w:rPr>
      <w:rFonts w:ascii="Segoe UI" w:eastAsia="Times New Roman" w:hAnsi="Segoe UI" w:cs="Segoe UI"/>
      <w:sz w:val="18"/>
      <w:szCs w:val="18"/>
      <w:lang w:val="sk-SK" w:eastAsia="sk-SK" w:bidi="sk-SK"/>
    </w:rPr>
  </w:style>
  <w:style w:type="character" w:customStyle="1" w:styleId="hps">
    <w:name w:val="hps"/>
    <w:basedOn w:val="Predvolenpsmoodseku"/>
    <w:rsid w:val="008E682B"/>
  </w:style>
  <w:style w:type="paragraph" w:styleId="Hlavika">
    <w:name w:val="header"/>
    <w:basedOn w:val="Normlny"/>
    <w:link w:val="HlavikaChar1"/>
    <w:uiPriority w:val="99"/>
    <w:unhideWhenUsed/>
    <w:rsid w:val="007C65FB"/>
    <w:pPr>
      <w:tabs>
        <w:tab w:val="clear" w:pos="567"/>
        <w:tab w:val="center" w:pos="4680"/>
        <w:tab w:val="right" w:pos="9360"/>
      </w:tabs>
      <w:spacing w:line="240" w:lineRule="auto"/>
    </w:pPr>
    <w:rPr>
      <w:rFonts w:asciiTheme="minorHAnsi" w:eastAsiaTheme="minorEastAsia" w:hAnsiTheme="minorHAnsi" w:cstheme="minorBidi"/>
      <w:szCs w:val="22"/>
      <w:lang w:val="cs-CZ" w:eastAsia="en-US" w:bidi="ar-SA"/>
    </w:rPr>
  </w:style>
  <w:style w:type="character" w:customStyle="1" w:styleId="HlavikaChar1">
    <w:name w:val="Hlavička Char1"/>
    <w:basedOn w:val="Predvolenpsmoodseku"/>
    <w:link w:val="Hlavika"/>
    <w:uiPriority w:val="99"/>
    <w:rsid w:val="007C65FB"/>
    <w:rPr>
      <w:rFonts w:asciiTheme="minorHAnsi" w:eastAsiaTheme="minorEastAsia" w:hAnsiTheme="minorHAnsi" w:cstheme="minorBidi"/>
      <w:sz w:val="22"/>
      <w:szCs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4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C0BC6-A200-435E-80D3-4C6D2809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8252</Words>
  <Characters>47038</Characters>
  <Application>Microsoft Office Word</Application>
  <DocSecurity>0</DocSecurity>
  <Lines>391</Lines>
  <Paragraphs>110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Hqrdtemplateclean_sk</vt:lpstr>
      <vt:lpstr>Hqrdtemplateclean_sk</vt:lpstr>
      <vt:lpstr>SK Hqrdtemplatecleansk - track version</vt:lpstr>
    </vt:vector>
  </TitlesOfParts>
  <Company>Translation Centre</Company>
  <LinksUpToDate>false</LinksUpToDate>
  <CharactersWithSpaces>55180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Hqrdtemplateclean_sk</dc:title>
  <dc:creator>European Medicines Agency</dc:creator>
  <cp:lastModifiedBy>Kuziaková, Marianna</cp:lastModifiedBy>
  <cp:revision>2</cp:revision>
  <cp:lastPrinted>2019-06-11T20:08:00Z</cp:lastPrinted>
  <dcterms:created xsi:type="dcterms:W3CDTF">2021-01-21T09:56:00Z</dcterms:created>
  <dcterms:modified xsi:type="dcterms:W3CDTF">2021-01-21T09:56:00Z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11/06/2019 22:12:40</vt:lpwstr>
  </property>
  <property fmtid="{D5CDD505-2E9C-101B-9397-08002B2CF9AE}" pid="6" name="DM_Creator_Name">
    <vt:lpwstr>Akhtar Timea</vt:lpwstr>
  </property>
  <property fmtid="{D5CDD505-2E9C-101B-9397-08002B2CF9AE}" pid="7" name="DM_DocRefId">
    <vt:lpwstr>EMA/330169/2019</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423415</vt:lpwstr>
  </property>
  <property fmtid="{D5CDD505-2E9C-101B-9397-08002B2CF9AE}" pid="13" name="DM_emea_doc_ref_id">
    <vt:lpwstr>EMA/330169/2019</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11/06/2019 22:12:40</vt:lpwstr>
  </property>
  <property fmtid="{D5CDD505-2E9C-101B-9397-08002B2CF9AE}" pid="34" name="DM_Modifier_Name">
    <vt:lpwstr>Akhtar Timea</vt:lpwstr>
  </property>
  <property fmtid="{D5CDD505-2E9C-101B-9397-08002B2CF9AE}" pid="35" name="DM_Modify_Date">
    <vt:lpwstr>11/06/2019 22:12:40</vt:lpwstr>
  </property>
  <property fmtid="{D5CDD505-2E9C-101B-9397-08002B2CF9AE}" pid="36" name="DM_Name">
    <vt:lpwstr>Hqrdtemplateclean_sk</vt:lpwstr>
  </property>
  <property fmtid="{D5CDD505-2E9C-101B-9397-08002B2CF9AE}" pid="37" name="DM_Owner">
    <vt:lpwstr>Espinasse Claire</vt:lpwstr>
  </property>
  <property fmtid="{D5CDD505-2E9C-101B-9397-08002B2CF9AE}" pid="38" name="DM_Path">
    <vt:lpwstr>/02b. Administration of Scientific Meeting/WPs SAGs DGs and other WGs/CxMP - QRD/3. Other activities/02. Procedures/01. QRD PI templates/01 QRD Human Templates/07 H-qrd template v10.1/Translations FINAL versions for publication/Clean files</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_NewReviewCycle">
    <vt:lpwstr/>
  </property>
</Properties>
</file>