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69" w:rsidRDefault="00F41F69" w:rsidP="00F41F69">
      <w:pPr>
        <w:pStyle w:val="Hlavika"/>
        <w:rPr>
          <w:rFonts w:ascii="Times New Roman" w:hAnsi="Times New Roman"/>
          <w:sz w:val="18"/>
          <w:szCs w:val="18"/>
          <w:lang w:val="sk-SK"/>
        </w:rPr>
      </w:pPr>
    </w:p>
    <w:p w:rsidR="0035734E" w:rsidRPr="00521039" w:rsidRDefault="0035734E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:rsidR="0035734E" w:rsidRPr="00521039" w:rsidRDefault="0035734E" w:rsidP="00A17905">
      <w:pPr>
        <w:pStyle w:val="Zkladntext"/>
        <w:rPr>
          <w:rFonts w:ascii="Times New Roman" w:hAnsi="Times New Roman"/>
          <w:sz w:val="22"/>
          <w:szCs w:val="22"/>
        </w:rPr>
      </w:pPr>
      <w:r w:rsidRPr="00521039">
        <w:rPr>
          <w:rFonts w:ascii="Times New Roman" w:hAnsi="Times New Roman"/>
          <w:sz w:val="22"/>
          <w:szCs w:val="22"/>
        </w:rPr>
        <w:t>Písomná informácia p</w:t>
      </w:r>
      <w:r w:rsidR="006F77D2" w:rsidRPr="00521039">
        <w:rPr>
          <w:rFonts w:ascii="Times New Roman" w:hAnsi="Times New Roman"/>
          <w:sz w:val="22"/>
          <w:szCs w:val="22"/>
        </w:rPr>
        <w:t>re používateľa</w:t>
      </w:r>
    </w:p>
    <w:p w:rsidR="006F77D2" w:rsidRPr="00521039" w:rsidRDefault="006F77D2">
      <w:pPr>
        <w:pStyle w:val="Zkladntext"/>
        <w:jc w:val="both"/>
        <w:rPr>
          <w:rFonts w:ascii="Times New Roman" w:hAnsi="Times New Roman"/>
          <w:sz w:val="22"/>
          <w:szCs w:val="22"/>
          <w:u w:val="single"/>
        </w:rPr>
      </w:pPr>
    </w:p>
    <w:p w:rsidR="0035734E" w:rsidRPr="00521039" w:rsidRDefault="0035734E" w:rsidP="00CC2690">
      <w:pPr>
        <w:pStyle w:val="Zkladntext"/>
        <w:rPr>
          <w:rFonts w:ascii="Times New Roman" w:hAnsi="Times New Roman"/>
          <w:sz w:val="22"/>
          <w:szCs w:val="22"/>
        </w:rPr>
      </w:pPr>
      <w:r w:rsidRPr="00521039">
        <w:rPr>
          <w:rFonts w:ascii="Times New Roman" w:hAnsi="Times New Roman"/>
          <w:sz w:val="22"/>
          <w:szCs w:val="22"/>
        </w:rPr>
        <w:t xml:space="preserve">AMPICILIN </w:t>
      </w:r>
      <w:r w:rsidR="007D053C">
        <w:rPr>
          <w:rFonts w:ascii="Times New Roman" w:hAnsi="Times New Roman"/>
          <w:sz w:val="22"/>
          <w:szCs w:val="22"/>
        </w:rPr>
        <w:t>BBP 0,5 g</w:t>
      </w:r>
    </w:p>
    <w:p w:rsidR="0035734E" w:rsidRPr="00521039" w:rsidRDefault="0035734E" w:rsidP="00CC2690">
      <w:pPr>
        <w:pStyle w:val="Zkladntext"/>
        <w:rPr>
          <w:rFonts w:ascii="Times New Roman" w:hAnsi="Times New Roman"/>
          <w:sz w:val="22"/>
          <w:szCs w:val="22"/>
        </w:rPr>
      </w:pPr>
      <w:r w:rsidRPr="00521039">
        <w:rPr>
          <w:rFonts w:ascii="Times New Roman" w:hAnsi="Times New Roman"/>
          <w:sz w:val="22"/>
          <w:szCs w:val="22"/>
        </w:rPr>
        <w:t xml:space="preserve">AMPICILIN </w:t>
      </w:r>
      <w:r w:rsidR="007D053C">
        <w:rPr>
          <w:rFonts w:ascii="Times New Roman" w:hAnsi="Times New Roman"/>
          <w:sz w:val="22"/>
          <w:szCs w:val="22"/>
        </w:rPr>
        <w:t>BBP 1 g</w:t>
      </w:r>
    </w:p>
    <w:p w:rsidR="0035734E" w:rsidRPr="00521039" w:rsidRDefault="00B74470" w:rsidP="00CC2690">
      <w:pPr>
        <w:pStyle w:val="Zkladntext"/>
        <w:rPr>
          <w:rFonts w:ascii="Times New Roman" w:hAnsi="Times New Roman"/>
          <w:b w:val="0"/>
          <w:sz w:val="22"/>
          <w:szCs w:val="22"/>
        </w:rPr>
      </w:pPr>
      <w:r w:rsidRPr="00521039">
        <w:rPr>
          <w:rFonts w:ascii="Times New Roman" w:hAnsi="Times New Roman"/>
          <w:b w:val="0"/>
          <w:sz w:val="22"/>
          <w:szCs w:val="22"/>
        </w:rPr>
        <w:t>p</w:t>
      </w:r>
      <w:r w:rsidR="006F77D2" w:rsidRPr="00521039">
        <w:rPr>
          <w:rFonts w:ascii="Times New Roman" w:hAnsi="Times New Roman"/>
          <w:b w:val="0"/>
          <w:sz w:val="22"/>
          <w:szCs w:val="22"/>
        </w:rPr>
        <w:t>rášo</w:t>
      </w:r>
      <w:r w:rsidR="009F4CE5" w:rsidRPr="00521039">
        <w:rPr>
          <w:rFonts w:ascii="Times New Roman" w:hAnsi="Times New Roman"/>
          <w:b w:val="0"/>
          <w:sz w:val="22"/>
          <w:szCs w:val="22"/>
        </w:rPr>
        <w:t>k na injekčný</w:t>
      </w:r>
      <w:r w:rsidR="00081759">
        <w:rPr>
          <w:rFonts w:ascii="Times New Roman" w:hAnsi="Times New Roman"/>
          <w:b w:val="0"/>
          <w:sz w:val="22"/>
          <w:szCs w:val="22"/>
        </w:rPr>
        <w:t>/</w:t>
      </w:r>
      <w:r w:rsidR="009A1F30">
        <w:rPr>
          <w:rFonts w:ascii="Times New Roman" w:hAnsi="Times New Roman"/>
          <w:b w:val="0"/>
          <w:sz w:val="22"/>
          <w:szCs w:val="22"/>
        </w:rPr>
        <w:t xml:space="preserve">infúzny </w:t>
      </w:r>
      <w:r w:rsidR="009F4CE5" w:rsidRPr="00521039">
        <w:rPr>
          <w:rFonts w:ascii="Times New Roman" w:hAnsi="Times New Roman"/>
          <w:b w:val="0"/>
          <w:sz w:val="22"/>
          <w:szCs w:val="22"/>
        </w:rPr>
        <w:t>roztok</w:t>
      </w:r>
    </w:p>
    <w:p w:rsidR="0035734E" w:rsidRPr="00521039" w:rsidRDefault="00037500" w:rsidP="00CC2690">
      <w:pPr>
        <w:pStyle w:val="Zkladntext"/>
        <w:rPr>
          <w:rFonts w:ascii="Times New Roman" w:hAnsi="Times New Roman"/>
          <w:b w:val="0"/>
          <w:sz w:val="22"/>
          <w:szCs w:val="22"/>
        </w:rPr>
      </w:pP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ampicilín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>, sodná soľ</w:t>
      </w:r>
    </w:p>
    <w:p w:rsidR="00072F58" w:rsidRPr="00521039" w:rsidRDefault="00072F58" w:rsidP="00A159E7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A669B5" w:rsidRPr="00A669B5" w:rsidRDefault="00A669B5" w:rsidP="00A669B5">
      <w:p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</w:p>
    <w:p w:rsidR="00A669B5" w:rsidRPr="00A669B5" w:rsidRDefault="00A669B5" w:rsidP="00A669B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A669B5">
        <w:rPr>
          <w:rFonts w:ascii="Times New Roman" w:hAnsi="Times New Roman"/>
          <w:b/>
          <w:color w:val="000000"/>
          <w:sz w:val="22"/>
          <w:szCs w:val="22"/>
          <w:lang w:val="sk-SK"/>
        </w:rPr>
        <w:t>Pozorne si prečítajte celú písomnú informáciu predtým, ako začnete používať tento liek, pretože obsahuje pre vás dôležité informácie.</w:t>
      </w:r>
    </w:p>
    <w:p w:rsidR="00A669B5" w:rsidRPr="00A669B5" w:rsidRDefault="00A669B5" w:rsidP="00A669B5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hAnsi="Times New Roman"/>
          <w:sz w:val="22"/>
          <w:szCs w:val="22"/>
          <w:lang w:val="sk-SK"/>
        </w:rPr>
      </w:pPr>
      <w:r w:rsidRPr="00A669B5">
        <w:rPr>
          <w:rFonts w:ascii="Times New Roman" w:hAnsi="Times New Roman"/>
          <w:sz w:val="22"/>
          <w:szCs w:val="22"/>
          <w:lang w:val="sk-SK"/>
        </w:rPr>
        <w:t>–</w:t>
      </w:r>
      <w:r w:rsidRPr="00A669B5">
        <w:rPr>
          <w:rFonts w:ascii="Times New Roman" w:hAnsi="Times New Roman"/>
          <w:sz w:val="22"/>
          <w:szCs w:val="22"/>
          <w:lang w:val="sk-SK"/>
        </w:rPr>
        <w:tab/>
        <w:t>Túto písomnú informáciu si uschovajte. Možno bude potrebné, aby ste si ju znovu prečítali.</w:t>
      </w:r>
    </w:p>
    <w:p w:rsidR="00A669B5" w:rsidRPr="00A669B5" w:rsidRDefault="00A669B5" w:rsidP="00A669B5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hAnsi="Times New Roman"/>
          <w:sz w:val="22"/>
          <w:szCs w:val="22"/>
          <w:lang w:val="sk-SK"/>
        </w:rPr>
      </w:pPr>
      <w:r w:rsidRPr="00A669B5">
        <w:rPr>
          <w:rFonts w:ascii="Times New Roman" w:hAnsi="Times New Roman"/>
          <w:sz w:val="22"/>
          <w:szCs w:val="22"/>
          <w:lang w:val="sk-SK"/>
        </w:rPr>
        <w:t>–</w:t>
      </w:r>
      <w:r w:rsidRPr="00A669B5">
        <w:rPr>
          <w:rFonts w:ascii="Times New Roman" w:hAnsi="Times New Roman"/>
          <w:sz w:val="22"/>
          <w:szCs w:val="22"/>
          <w:lang w:val="sk-SK"/>
        </w:rPr>
        <w:tab/>
        <w:t>Ak máte akékoľvek ďalšie otázky, obráťte sa na svojho lekára, lekárnika alebo zdravotnú sestru.</w:t>
      </w:r>
    </w:p>
    <w:p w:rsidR="00A669B5" w:rsidRPr="00A669B5" w:rsidRDefault="00A669B5" w:rsidP="00A669B5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hAnsi="Times New Roman"/>
          <w:sz w:val="22"/>
          <w:szCs w:val="22"/>
          <w:lang w:val="sk-SK"/>
        </w:rPr>
      </w:pPr>
      <w:r w:rsidRPr="00A669B5">
        <w:rPr>
          <w:rFonts w:ascii="Times New Roman" w:hAnsi="Times New Roman"/>
          <w:sz w:val="22"/>
          <w:szCs w:val="22"/>
          <w:lang w:val="sk-SK"/>
        </w:rPr>
        <w:t>–</w:t>
      </w:r>
      <w:r w:rsidRPr="00A669B5">
        <w:rPr>
          <w:rFonts w:ascii="Times New Roman" w:hAnsi="Times New Roman"/>
          <w:sz w:val="22"/>
          <w:szCs w:val="22"/>
          <w:lang w:val="sk-SK"/>
        </w:rPr>
        <w:tab/>
        <w:t xml:space="preserve">Tento liek bol predpísaný iba vám. Nedávajte ho nikomu inému. Môže mu uškodiť, dokonca aj vtedy, ak má rovnaké </w:t>
      </w:r>
      <w:r w:rsidR="000614C9">
        <w:rPr>
          <w:rFonts w:ascii="Times New Roman" w:hAnsi="Times New Roman"/>
          <w:sz w:val="22"/>
          <w:szCs w:val="22"/>
          <w:lang w:val="sk-SK"/>
        </w:rPr>
        <w:t>prejavy</w:t>
      </w:r>
      <w:r w:rsidR="000614C9" w:rsidRPr="00A669B5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A669B5">
        <w:rPr>
          <w:rFonts w:ascii="Times New Roman" w:hAnsi="Times New Roman"/>
          <w:sz w:val="22"/>
          <w:szCs w:val="22"/>
          <w:lang w:val="sk-SK"/>
        </w:rPr>
        <w:t xml:space="preserve">ochorenia ako vy. </w:t>
      </w:r>
    </w:p>
    <w:p w:rsidR="00A669B5" w:rsidRPr="00A669B5" w:rsidRDefault="00A669B5" w:rsidP="00A669B5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hAnsi="Times New Roman"/>
          <w:sz w:val="22"/>
          <w:szCs w:val="22"/>
          <w:lang w:val="sk-SK"/>
        </w:rPr>
      </w:pPr>
      <w:r w:rsidRPr="00A669B5">
        <w:rPr>
          <w:rFonts w:ascii="Times New Roman" w:hAnsi="Times New Roman"/>
          <w:sz w:val="22"/>
          <w:szCs w:val="22"/>
          <w:lang w:val="sk-SK"/>
        </w:rPr>
        <w:t>–</w:t>
      </w:r>
      <w:r w:rsidRPr="00A669B5">
        <w:rPr>
          <w:rFonts w:ascii="Times New Roman" w:hAnsi="Times New Roman"/>
          <w:sz w:val="22"/>
          <w:szCs w:val="22"/>
          <w:lang w:val="sk-SK"/>
        </w:rPr>
        <w:tab/>
        <w:t>Ak sa u vás vyskytne akýkoľvek vedľajší účinok, obráťte sa na svojho lekára, lekárnika alebo zdravotnú sestru. To sa týka aj akýchkoľvek vedľajších účinkov, ktoré nie sú uvedené v tejto písomnej informácii. Pozri časť 4.</w:t>
      </w:r>
    </w:p>
    <w:p w:rsidR="00A669B5" w:rsidRPr="00A669B5" w:rsidRDefault="00A669B5" w:rsidP="00A669B5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hAnsi="Times New Roman"/>
          <w:sz w:val="22"/>
          <w:szCs w:val="22"/>
          <w:lang w:val="sk-SK"/>
        </w:rPr>
      </w:pPr>
    </w:p>
    <w:p w:rsidR="00A669B5" w:rsidRPr="00A669B5" w:rsidRDefault="00A669B5" w:rsidP="00A669B5">
      <w:pPr>
        <w:widowControl w:val="0"/>
        <w:overflowPunct w:val="0"/>
        <w:autoSpaceDE w:val="0"/>
        <w:autoSpaceDN w:val="0"/>
        <w:adjustRightInd w:val="0"/>
        <w:textAlignment w:val="baseline"/>
        <w:outlineLvl w:val="1"/>
        <w:rPr>
          <w:rFonts w:ascii="Times New Roman" w:hAnsi="Times New Roman"/>
          <w:b/>
          <w:sz w:val="22"/>
          <w:szCs w:val="22"/>
          <w:lang w:val="sk-SK"/>
        </w:rPr>
      </w:pPr>
      <w:r w:rsidRPr="00A669B5">
        <w:rPr>
          <w:rFonts w:ascii="Times New Roman" w:hAnsi="Times New Roman"/>
          <w:b/>
          <w:sz w:val="22"/>
          <w:szCs w:val="22"/>
          <w:lang w:val="sk-SK"/>
        </w:rPr>
        <w:t>V tejto písomnej informácii pre používateľa sa dozviete:</w:t>
      </w:r>
    </w:p>
    <w:p w:rsidR="00A669B5" w:rsidRPr="00A669B5" w:rsidRDefault="00A669B5" w:rsidP="00A669B5">
      <w:pPr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  <w:r w:rsidRPr="00A669B5">
        <w:rPr>
          <w:rFonts w:ascii="Times New Roman" w:hAnsi="Times New Roman"/>
          <w:sz w:val="22"/>
          <w:szCs w:val="22"/>
          <w:lang w:val="sk-SK"/>
        </w:rPr>
        <w:t xml:space="preserve">Čo je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AMPICILIN </w:t>
      </w:r>
      <w:r w:rsidR="007D053C">
        <w:rPr>
          <w:rFonts w:ascii="Times New Roman" w:hAnsi="Times New Roman"/>
          <w:sz w:val="22"/>
          <w:szCs w:val="22"/>
          <w:lang w:val="sk-SK"/>
        </w:rPr>
        <w:t>BBP</w:t>
      </w:r>
      <w:r w:rsidRPr="00A669B5">
        <w:rPr>
          <w:rFonts w:ascii="Times New Roman" w:hAnsi="Times New Roman"/>
          <w:sz w:val="22"/>
          <w:szCs w:val="22"/>
          <w:lang w:val="sk-SK"/>
        </w:rPr>
        <w:t xml:space="preserve"> a na čo sa používa </w:t>
      </w:r>
    </w:p>
    <w:p w:rsidR="00A669B5" w:rsidRPr="00A669B5" w:rsidRDefault="00A669B5" w:rsidP="00A669B5">
      <w:pPr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  <w:r w:rsidRPr="00A669B5">
        <w:rPr>
          <w:rFonts w:ascii="Times New Roman" w:hAnsi="Times New Roman"/>
          <w:sz w:val="22"/>
          <w:szCs w:val="22"/>
          <w:lang w:val="sk-SK"/>
        </w:rPr>
        <w:t xml:space="preserve">Čo potrebujete vedieť predtým, ako použijete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AMPICILIN </w:t>
      </w:r>
      <w:r w:rsidR="007D053C">
        <w:rPr>
          <w:rFonts w:ascii="Times New Roman" w:hAnsi="Times New Roman"/>
          <w:sz w:val="22"/>
          <w:szCs w:val="22"/>
          <w:lang w:val="sk-SK"/>
        </w:rPr>
        <w:t>BBP</w:t>
      </w:r>
    </w:p>
    <w:p w:rsidR="00A669B5" w:rsidRPr="00A669B5" w:rsidRDefault="00A669B5" w:rsidP="00A669B5">
      <w:pPr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  <w:r w:rsidRPr="00A669B5">
        <w:rPr>
          <w:rFonts w:ascii="Times New Roman" w:hAnsi="Times New Roman"/>
          <w:sz w:val="22"/>
          <w:szCs w:val="22"/>
          <w:lang w:val="sk-SK"/>
        </w:rPr>
        <w:t xml:space="preserve">Ako používať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AMPICILIN </w:t>
      </w:r>
      <w:r w:rsidR="007D053C">
        <w:rPr>
          <w:rFonts w:ascii="Times New Roman" w:hAnsi="Times New Roman"/>
          <w:sz w:val="22"/>
          <w:szCs w:val="22"/>
          <w:lang w:val="sk-SK"/>
        </w:rPr>
        <w:t>BBP</w:t>
      </w:r>
    </w:p>
    <w:p w:rsidR="00A669B5" w:rsidRPr="00A669B5" w:rsidRDefault="00A669B5" w:rsidP="00A669B5">
      <w:pPr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  <w:r w:rsidRPr="00A669B5">
        <w:rPr>
          <w:rFonts w:ascii="Times New Roman" w:hAnsi="Times New Roman"/>
          <w:sz w:val="22"/>
          <w:szCs w:val="22"/>
          <w:lang w:val="sk-SK"/>
        </w:rPr>
        <w:t xml:space="preserve">Možné vedľajšie účinky </w:t>
      </w:r>
    </w:p>
    <w:p w:rsidR="00A669B5" w:rsidRPr="00A669B5" w:rsidRDefault="00A669B5" w:rsidP="00A669B5">
      <w:pPr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  <w:r w:rsidRPr="00A669B5">
        <w:rPr>
          <w:rFonts w:ascii="Times New Roman" w:hAnsi="Times New Roman"/>
          <w:sz w:val="22"/>
          <w:szCs w:val="22"/>
          <w:lang w:val="sk-SK"/>
        </w:rPr>
        <w:t xml:space="preserve">Ako uchovávať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AMPICILIN </w:t>
      </w:r>
      <w:r w:rsidR="007D053C">
        <w:rPr>
          <w:rFonts w:ascii="Times New Roman" w:hAnsi="Times New Roman"/>
          <w:sz w:val="22"/>
          <w:szCs w:val="22"/>
          <w:lang w:val="sk-SK"/>
        </w:rPr>
        <w:t>BBP</w:t>
      </w:r>
    </w:p>
    <w:p w:rsidR="00A669B5" w:rsidRPr="00A669B5" w:rsidRDefault="00A669B5" w:rsidP="00A669B5">
      <w:pPr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  <w:r w:rsidRPr="00A669B5">
        <w:rPr>
          <w:rFonts w:ascii="Times New Roman" w:hAnsi="Times New Roman"/>
          <w:sz w:val="22"/>
          <w:szCs w:val="22"/>
          <w:lang w:val="sk-SK"/>
        </w:rPr>
        <w:t>Obsah balenia a ďalšie informácie</w:t>
      </w:r>
    </w:p>
    <w:p w:rsidR="00A669B5" w:rsidRPr="00A669B5" w:rsidRDefault="00A669B5" w:rsidP="00A669B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</w:p>
    <w:p w:rsidR="00A669B5" w:rsidRPr="00A669B5" w:rsidRDefault="00A669B5" w:rsidP="00A669B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</w:p>
    <w:p w:rsidR="00A669B5" w:rsidRPr="00A669B5" w:rsidRDefault="00A669B5" w:rsidP="00A669B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hAnsi="Times New Roman"/>
          <w:b/>
          <w:sz w:val="22"/>
          <w:szCs w:val="22"/>
          <w:lang w:val="sk-SK"/>
        </w:rPr>
      </w:pPr>
      <w:r w:rsidRPr="00A669B5">
        <w:rPr>
          <w:rFonts w:ascii="Times New Roman" w:hAnsi="Times New Roman"/>
          <w:b/>
          <w:sz w:val="22"/>
          <w:szCs w:val="22"/>
          <w:lang w:val="sk-SK"/>
        </w:rPr>
        <w:t xml:space="preserve">Čo je </w:t>
      </w:r>
      <w:r w:rsidRPr="00521039">
        <w:rPr>
          <w:rFonts w:ascii="Times New Roman" w:hAnsi="Times New Roman"/>
          <w:b/>
          <w:sz w:val="22"/>
          <w:szCs w:val="22"/>
          <w:lang w:val="sk-SK"/>
        </w:rPr>
        <w:t xml:space="preserve">AMPICILIN </w:t>
      </w:r>
      <w:r w:rsidR="007D053C">
        <w:rPr>
          <w:rFonts w:ascii="Times New Roman" w:hAnsi="Times New Roman"/>
          <w:b/>
          <w:sz w:val="22"/>
          <w:szCs w:val="22"/>
          <w:lang w:val="sk-SK"/>
        </w:rPr>
        <w:t>BBP</w:t>
      </w:r>
      <w:r w:rsidRPr="00A669B5">
        <w:rPr>
          <w:rFonts w:ascii="Times New Roman" w:hAnsi="Times New Roman"/>
          <w:b/>
          <w:sz w:val="22"/>
          <w:szCs w:val="22"/>
          <w:lang w:val="sk-SK"/>
        </w:rPr>
        <w:t xml:space="preserve"> a na čo sa používa</w:t>
      </w:r>
    </w:p>
    <w:p w:rsidR="00A669B5" w:rsidRPr="00A669B5" w:rsidRDefault="00A669B5" w:rsidP="00A669B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</w:p>
    <w:p w:rsidR="00037500" w:rsidRPr="00521039" w:rsidRDefault="00037500" w:rsidP="00037500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Penicilínové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polosyntetické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baktericídne širokospektrálne antibiotikum, citlivé na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betalaktamázu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zlatých stafylokokov. Mechanizmus baktericídneho účinku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spočíva v blokáde syntézy bunkovej steny baktérie s následnou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bakteriolýzou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>.</w:t>
      </w:r>
    </w:p>
    <w:p w:rsidR="00037500" w:rsidRPr="00521039" w:rsidRDefault="00037500" w:rsidP="00037500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Antimikrobiálne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spektrum: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pôsobí na všetky kmene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hemolytických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streptokokov (vrátane streptokokov skupiny 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B), na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viridujúce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streptokoky,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pneumokoky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enterokoky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(80 - 98 %), ďalej na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korynebaktérie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listérie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521039">
        <w:rPr>
          <w:rFonts w:ascii="Times New Roman" w:hAnsi="Times New Roman"/>
          <w:i/>
          <w:sz w:val="22"/>
          <w:szCs w:val="22"/>
          <w:lang w:val="sk-SK"/>
        </w:rPr>
        <w:t>Erysipelothrix</w:t>
      </w:r>
      <w:proofErr w:type="spellEnd"/>
      <w:r w:rsidRPr="0052103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521039">
        <w:rPr>
          <w:rFonts w:ascii="Times New Roman" w:hAnsi="Times New Roman"/>
          <w:i/>
          <w:sz w:val="22"/>
          <w:szCs w:val="22"/>
          <w:lang w:val="sk-SK"/>
        </w:rPr>
        <w:t>insidiosa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bacil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antraxu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a tiež na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aktinomycéty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menej na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klostrídie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. Zo stafylokokov pôsobí len na kmene, ktoré netvoria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betalaktamázu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t.j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>. asi na 10 - 20 % kmeňov.</w:t>
      </w:r>
    </w:p>
    <w:p w:rsidR="00037500" w:rsidRPr="00521039" w:rsidRDefault="00037500" w:rsidP="00037500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Z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gramnegatívnych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baktérií účinkuje dobre na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gonokoky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meningokoky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na salmonely (asi na 90 % kmeňov). Menej citlivé sú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hemofily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bordetely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(asi 60 - 70 % kmeňov), </w:t>
      </w:r>
      <w:proofErr w:type="spellStart"/>
      <w:r w:rsidRPr="00521039">
        <w:rPr>
          <w:rFonts w:ascii="Times New Roman" w:hAnsi="Times New Roman"/>
          <w:i/>
          <w:sz w:val="22"/>
          <w:szCs w:val="22"/>
          <w:lang w:val="sk-SK"/>
        </w:rPr>
        <w:t>Escherichia</w:t>
      </w:r>
      <w:proofErr w:type="spellEnd"/>
      <w:r w:rsidRPr="0052103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521039">
        <w:rPr>
          <w:rFonts w:ascii="Times New Roman" w:hAnsi="Times New Roman"/>
          <w:i/>
          <w:sz w:val="22"/>
          <w:szCs w:val="22"/>
          <w:lang w:val="sk-SK"/>
        </w:rPr>
        <w:t>coli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(60 %),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shigely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(40 - 90 %),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klebsiely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enterobaktery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(15 %),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providencie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citrobaktery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(30 %); z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proteov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pôsobí asi na 60 % kmeňov </w:t>
      </w:r>
      <w:proofErr w:type="spellStart"/>
      <w:r w:rsidRPr="00521039">
        <w:rPr>
          <w:rFonts w:ascii="Times New Roman" w:hAnsi="Times New Roman"/>
          <w:i/>
          <w:sz w:val="22"/>
          <w:szCs w:val="22"/>
          <w:lang w:val="sk-SK"/>
        </w:rPr>
        <w:t>Proteus</w:t>
      </w:r>
      <w:proofErr w:type="spellEnd"/>
      <w:r w:rsidRPr="0052103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521039">
        <w:rPr>
          <w:rFonts w:ascii="Times New Roman" w:hAnsi="Times New Roman"/>
          <w:i/>
          <w:sz w:val="22"/>
          <w:szCs w:val="22"/>
          <w:lang w:val="sk-SK"/>
        </w:rPr>
        <w:t>mirabilis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>, ale len na 5 - 20 % kmeňov iných biotypov (</w:t>
      </w:r>
      <w:proofErr w:type="spellStart"/>
      <w:r w:rsidRPr="00521039">
        <w:rPr>
          <w:rFonts w:ascii="Times New Roman" w:hAnsi="Times New Roman"/>
          <w:i/>
          <w:sz w:val="22"/>
          <w:szCs w:val="22"/>
          <w:lang w:val="sk-SK"/>
        </w:rPr>
        <w:t>Proteus</w:t>
      </w:r>
      <w:proofErr w:type="spellEnd"/>
      <w:r w:rsidRPr="0052103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521039">
        <w:rPr>
          <w:rFonts w:ascii="Times New Roman" w:hAnsi="Times New Roman"/>
          <w:i/>
          <w:sz w:val="22"/>
          <w:szCs w:val="22"/>
          <w:lang w:val="sk-SK"/>
        </w:rPr>
        <w:t>vulgaris</w:t>
      </w:r>
      <w:proofErr w:type="spellEnd"/>
      <w:r w:rsidRPr="00521039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521039">
        <w:rPr>
          <w:rFonts w:ascii="Times New Roman" w:hAnsi="Times New Roman"/>
          <w:i/>
          <w:sz w:val="22"/>
          <w:szCs w:val="22"/>
          <w:lang w:val="sk-SK"/>
        </w:rPr>
        <w:t>morgani</w:t>
      </w:r>
      <w:proofErr w:type="spellEnd"/>
      <w:r w:rsidRPr="00521039">
        <w:rPr>
          <w:rFonts w:ascii="Times New Roman" w:hAnsi="Times New Roman"/>
          <w:i/>
          <w:sz w:val="22"/>
          <w:szCs w:val="22"/>
          <w:lang w:val="sk-SK"/>
        </w:rPr>
        <w:t xml:space="preserve"> a </w:t>
      </w:r>
      <w:proofErr w:type="spellStart"/>
      <w:r w:rsidRPr="00521039">
        <w:rPr>
          <w:rFonts w:ascii="Times New Roman" w:hAnsi="Times New Roman"/>
          <w:i/>
          <w:sz w:val="22"/>
          <w:szCs w:val="22"/>
          <w:lang w:val="sk-SK"/>
        </w:rPr>
        <w:t>rettgeri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). Z ostatných kmeňov sú citlivé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brucely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leptospiry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treponémy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:rsidR="00037500" w:rsidRPr="00521039" w:rsidRDefault="00037500" w:rsidP="00037500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Z anaeróbov je citlivá väčšina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grampozitívnych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kokov a baktérií s výnimkou </w:t>
      </w:r>
      <w:r w:rsidRPr="00521039">
        <w:rPr>
          <w:rFonts w:ascii="Times New Roman" w:hAnsi="Times New Roman"/>
          <w:i/>
          <w:sz w:val="22"/>
          <w:szCs w:val="22"/>
          <w:lang w:val="sk-SK"/>
        </w:rPr>
        <w:t xml:space="preserve">B. </w:t>
      </w:r>
      <w:proofErr w:type="spellStart"/>
      <w:r w:rsidRPr="00521039">
        <w:rPr>
          <w:rFonts w:ascii="Times New Roman" w:hAnsi="Times New Roman"/>
          <w:i/>
          <w:sz w:val="22"/>
          <w:szCs w:val="22"/>
          <w:lang w:val="sk-SK"/>
        </w:rPr>
        <w:t>fragilis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. Nepôsobí na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yersínie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francisely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pseudomonády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mykobaktérie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mykoplazmy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rickettsie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bedsonie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huby a prvoky. </w:t>
      </w:r>
    </w:p>
    <w:p w:rsidR="00037500" w:rsidRPr="00521039" w:rsidRDefault="00037500" w:rsidP="00037500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Po </w:t>
      </w:r>
      <w:proofErr w:type="spellStart"/>
      <w:r w:rsidR="00B71B4D">
        <w:rPr>
          <w:rFonts w:ascii="Times New Roman" w:hAnsi="Times New Roman"/>
          <w:sz w:val="22"/>
          <w:szCs w:val="22"/>
          <w:lang w:val="sk-SK"/>
        </w:rPr>
        <w:t>vnútrosvalovom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ale predovšetkým po </w:t>
      </w:r>
      <w:proofErr w:type="spellStart"/>
      <w:r w:rsidR="00B71B4D">
        <w:rPr>
          <w:rFonts w:ascii="Times New Roman" w:hAnsi="Times New Roman"/>
          <w:sz w:val="22"/>
          <w:szCs w:val="22"/>
          <w:lang w:val="sk-SK"/>
        </w:rPr>
        <w:t>vnútrožilovom</w:t>
      </w:r>
      <w:proofErr w:type="spellEnd"/>
      <w:r w:rsidR="00B71B4D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podaní sa dosiahne maximálna plazmatická koncentrácia o ½ - 1 hodinu a je 2 až 4 krát vyššia ako pri perorálnom podaní rovnakej dávky.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preniká dobre do väčšiny tkanív a telesných dutín; minimálne preniká do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cerebrospinálneho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likvoru</w:t>
      </w:r>
      <w:proofErr w:type="spellEnd"/>
      <w:r w:rsidR="00632C8F">
        <w:rPr>
          <w:rFonts w:ascii="Times New Roman" w:hAnsi="Times New Roman"/>
          <w:sz w:val="22"/>
          <w:szCs w:val="22"/>
          <w:lang w:val="sk-SK"/>
        </w:rPr>
        <w:t xml:space="preserve"> (</w:t>
      </w:r>
      <w:proofErr w:type="spellStart"/>
      <w:r w:rsidR="00632C8F">
        <w:rPr>
          <w:rFonts w:ascii="Times New Roman" w:hAnsi="Times New Roman"/>
          <w:sz w:val="22"/>
          <w:szCs w:val="22"/>
          <w:lang w:val="sk-SK"/>
        </w:rPr>
        <w:t>mozgo</w:t>
      </w:r>
      <w:r w:rsidR="00DF5F14">
        <w:rPr>
          <w:rFonts w:ascii="Times New Roman" w:hAnsi="Times New Roman"/>
          <w:sz w:val="22"/>
          <w:szCs w:val="22"/>
          <w:lang w:val="sk-SK"/>
        </w:rPr>
        <w:t>vo</w:t>
      </w:r>
      <w:r w:rsidR="00632C8F">
        <w:rPr>
          <w:rFonts w:ascii="Times New Roman" w:hAnsi="Times New Roman"/>
          <w:sz w:val="22"/>
          <w:szCs w:val="22"/>
          <w:lang w:val="sk-SK"/>
        </w:rPr>
        <w:t>miešna</w:t>
      </w:r>
      <w:proofErr w:type="spellEnd"/>
      <w:r w:rsidR="00632C8F">
        <w:rPr>
          <w:rFonts w:ascii="Times New Roman" w:hAnsi="Times New Roman"/>
          <w:sz w:val="22"/>
          <w:szCs w:val="22"/>
          <w:lang w:val="sk-SK"/>
        </w:rPr>
        <w:t xml:space="preserve"> tekutina)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zdravých osôb, ale pri zápale mozgových blán je jeho hladina v</w:t>
      </w:r>
      <w:r w:rsidR="00632C8F">
        <w:rPr>
          <w:rFonts w:ascii="Times New Roman" w:hAnsi="Times New Roman"/>
          <w:sz w:val="22"/>
          <w:szCs w:val="22"/>
          <w:lang w:val="sk-SK"/>
        </w:rPr>
        <w:t> 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likvore</w:t>
      </w:r>
      <w:proofErr w:type="spellEnd"/>
      <w:r w:rsidR="00632C8F">
        <w:rPr>
          <w:rFonts w:ascii="Times New Roman" w:hAnsi="Times New Roman"/>
          <w:sz w:val="22"/>
          <w:szCs w:val="22"/>
          <w:lang w:val="sk-SK"/>
        </w:rPr>
        <w:t xml:space="preserve"> (</w:t>
      </w:r>
      <w:proofErr w:type="spellStart"/>
      <w:r w:rsidR="00632C8F">
        <w:rPr>
          <w:rFonts w:ascii="Times New Roman" w:hAnsi="Times New Roman"/>
          <w:sz w:val="22"/>
          <w:szCs w:val="22"/>
          <w:lang w:val="sk-SK"/>
        </w:rPr>
        <w:t>mozgo</w:t>
      </w:r>
      <w:r w:rsidR="00DF5F14">
        <w:rPr>
          <w:rFonts w:ascii="Times New Roman" w:hAnsi="Times New Roman"/>
          <w:sz w:val="22"/>
          <w:szCs w:val="22"/>
          <w:lang w:val="sk-SK"/>
        </w:rPr>
        <w:t>vo</w:t>
      </w:r>
      <w:r w:rsidR="00632C8F">
        <w:rPr>
          <w:rFonts w:ascii="Times New Roman" w:hAnsi="Times New Roman"/>
          <w:sz w:val="22"/>
          <w:szCs w:val="22"/>
          <w:lang w:val="sk-SK"/>
        </w:rPr>
        <w:t>miešnej</w:t>
      </w:r>
      <w:proofErr w:type="spellEnd"/>
      <w:r w:rsidR="00632C8F">
        <w:rPr>
          <w:rFonts w:ascii="Times New Roman" w:hAnsi="Times New Roman"/>
          <w:sz w:val="22"/>
          <w:szCs w:val="22"/>
          <w:lang w:val="sk-SK"/>
        </w:rPr>
        <w:t xml:space="preserve"> tekutine)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podstatne vyššia. Koncentrácie porovnateľné s plazmatickými dosahuje v pečeni a v obličkách. Prechádza placentárnou bariérou a v nízkych koncentráciách sa vylučuje do materského mlieka.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sa dobre vylučuje do žlče, kde vytvára terapeuticky účinné koncentrácie.</w:t>
      </w:r>
    </w:p>
    <w:p w:rsidR="00037500" w:rsidRPr="00521039" w:rsidRDefault="00C42D1E" w:rsidP="00037500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lastRenderedPageBreak/>
        <w:t>Vylučuje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37500" w:rsidRPr="00521039">
        <w:rPr>
          <w:rFonts w:ascii="Times New Roman" w:hAnsi="Times New Roman"/>
          <w:sz w:val="22"/>
          <w:szCs w:val="22"/>
          <w:lang w:val="sk-SK"/>
        </w:rPr>
        <w:t xml:space="preserve">sa obličkami, hlavne </w:t>
      </w:r>
      <w:proofErr w:type="spellStart"/>
      <w:r w:rsidR="00037500" w:rsidRPr="00521039">
        <w:rPr>
          <w:rFonts w:ascii="Times New Roman" w:hAnsi="Times New Roman"/>
          <w:sz w:val="22"/>
          <w:szCs w:val="22"/>
          <w:lang w:val="sk-SK"/>
        </w:rPr>
        <w:t>tubulárnou</w:t>
      </w:r>
      <w:proofErr w:type="spellEnd"/>
      <w:r w:rsidR="00037500" w:rsidRPr="00521039">
        <w:rPr>
          <w:rFonts w:ascii="Times New Roman" w:hAnsi="Times New Roman"/>
          <w:sz w:val="22"/>
          <w:szCs w:val="22"/>
          <w:lang w:val="sk-SK"/>
        </w:rPr>
        <w:t xml:space="preserve"> sekréciou, len veľmi málo </w:t>
      </w:r>
      <w:proofErr w:type="spellStart"/>
      <w:r w:rsidR="00037500" w:rsidRPr="00521039">
        <w:rPr>
          <w:rFonts w:ascii="Times New Roman" w:hAnsi="Times New Roman"/>
          <w:sz w:val="22"/>
          <w:szCs w:val="22"/>
          <w:lang w:val="sk-SK"/>
        </w:rPr>
        <w:t>glomerulárnou</w:t>
      </w:r>
      <w:proofErr w:type="spellEnd"/>
      <w:r w:rsidR="00037500" w:rsidRPr="00521039">
        <w:rPr>
          <w:rFonts w:ascii="Times New Roman" w:hAnsi="Times New Roman"/>
          <w:sz w:val="22"/>
          <w:szCs w:val="22"/>
          <w:lang w:val="sk-SK"/>
        </w:rPr>
        <w:t xml:space="preserve"> filtráciou. Inhibítor </w:t>
      </w:r>
      <w:proofErr w:type="spellStart"/>
      <w:r w:rsidR="00037500" w:rsidRPr="00521039">
        <w:rPr>
          <w:rFonts w:ascii="Times New Roman" w:hAnsi="Times New Roman"/>
          <w:sz w:val="22"/>
          <w:szCs w:val="22"/>
          <w:lang w:val="sk-SK"/>
        </w:rPr>
        <w:t>tubulárnej</w:t>
      </w:r>
      <w:proofErr w:type="spellEnd"/>
      <w:r w:rsidR="00037500" w:rsidRPr="00521039">
        <w:rPr>
          <w:rFonts w:ascii="Times New Roman" w:hAnsi="Times New Roman"/>
          <w:sz w:val="22"/>
          <w:szCs w:val="22"/>
          <w:lang w:val="sk-SK"/>
        </w:rPr>
        <w:t xml:space="preserve"> sekrécie – </w:t>
      </w:r>
      <w:proofErr w:type="spellStart"/>
      <w:r w:rsidR="00037500" w:rsidRPr="00521039">
        <w:rPr>
          <w:rFonts w:ascii="Times New Roman" w:hAnsi="Times New Roman"/>
          <w:sz w:val="22"/>
          <w:szCs w:val="22"/>
          <w:lang w:val="sk-SK"/>
        </w:rPr>
        <w:t>probenecid</w:t>
      </w:r>
      <w:proofErr w:type="spellEnd"/>
      <w:r w:rsidR="00037500" w:rsidRPr="00521039">
        <w:rPr>
          <w:rFonts w:ascii="Times New Roman" w:hAnsi="Times New Roman"/>
          <w:sz w:val="22"/>
          <w:szCs w:val="22"/>
          <w:lang w:val="sk-SK"/>
        </w:rPr>
        <w:t xml:space="preserve"> predlžuje polčas </w:t>
      </w:r>
      <w:proofErr w:type="spellStart"/>
      <w:r w:rsidR="00037500" w:rsidRPr="00521039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="00037500" w:rsidRPr="00521039">
        <w:rPr>
          <w:rFonts w:ascii="Times New Roman" w:hAnsi="Times New Roman"/>
          <w:sz w:val="22"/>
          <w:szCs w:val="22"/>
          <w:lang w:val="sk-SK"/>
        </w:rPr>
        <w:t xml:space="preserve"> v organizme a zvyšuje jeho plazmatickú koncentráciu. Do 24 hodín sa vylúči močom po </w:t>
      </w:r>
      <w:proofErr w:type="spellStart"/>
      <w:r w:rsidR="00AC64F2">
        <w:rPr>
          <w:rFonts w:ascii="Times New Roman" w:hAnsi="Times New Roman"/>
          <w:sz w:val="22"/>
          <w:szCs w:val="22"/>
          <w:lang w:val="sk-SK"/>
        </w:rPr>
        <w:t>vnútrosvalovom</w:t>
      </w:r>
      <w:proofErr w:type="spellEnd"/>
      <w:r w:rsidR="00AC64F2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37500" w:rsidRPr="00521039">
        <w:rPr>
          <w:rFonts w:ascii="Times New Roman" w:hAnsi="Times New Roman"/>
          <w:sz w:val="22"/>
          <w:szCs w:val="22"/>
          <w:lang w:val="sk-SK"/>
        </w:rPr>
        <w:t xml:space="preserve">podaní 64 %, po </w:t>
      </w:r>
      <w:proofErr w:type="spellStart"/>
      <w:r w:rsidR="00AC64F2">
        <w:rPr>
          <w:rFonts w:ascii="Times New Roman" w:hAnsi="Times New Roman"/>
          <w:sz w:val="22"/>
          <w:szCs w:val="22"/>
          <w:lang w:val="sk-SK"/>
        </w:rPr>
        <w:t>vnútrožilovom</w:t>
      </w:r>
      <w:proofErr w:type="spellEnd"/>
      <w:r w:rsidR="00AC64F2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37500" w:rsidRPr="00521039">
        <w:rPr>
          <w:rFonts w:ascii="Times New Roman" w:hAnsi="Times New Roman"/>
          <w:sz w:val="22"/>
          <w:szCs w:val="22"/>
          <w:lang w:val="sk-SK"/>
        </w:rPr>
        <w:t>70 % podanej dávky. Biologický polčas je asi 1 hodina. Pri obličkovom zlyhaní sa biologický polčas predlžuje na 12</w:t>
      </w:r>
      <w:r w:rsidR="00664568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37500" w:rsidRPr="00521039">
        <w:rPr>
          <w:rFonts w:ascii="Times New Roman" w:hAnsi="Times New Roman"/>
          <w:sz w:val="22"/>
          <w:szCs w:val="22"/>
          <w:lang w:val="sk-SK"/>
        </w:rPr>
        <w:t>-</w:t>
      </w:r>
      <w:r w:rsidR="00664568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37500" w:rsidRPr="00521039">
        <w:rPr>
          <w:rFonts w:ascii="Times New Roman" w:hAnsi="Times New Roman"/>
          <w:sz w:val="22"/>
          <w:szCs w:val="22"/>
          <w:lang w:val="sk-SK"/>
        </w:rPr>
        <w:t xml:space="preserve">20 hodín. </w:t>
      </w:r>
      <w:proofErr w:type="spellStart"/>
      <w:r w:rsidR="00037500" w:rsidRPr="00521039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="00037500" w:rsidRPr="00521039">
        <w:rPr>
          <w:rFonts w:ascii="Times New Roman" w:hAnsi="Times New Roman"/>
          <w:sz w:val="22"/>
          <w:szCs w:val="22"/>
          <w:lang w:val="sk-SK"/>
        </w:rPr>
        <w:t xml:space="preserve"> je možné odstrániť hemodialýzou</w:t>
      </w:r>
      <w:r w:rsidR="00AB6B82">
        <w:rPr>
          <w:rFonts w:ascii="Times New Roman" w:hAnsi="Times New Roman"/>
          <w:sz w:val="22"/>
          <w:szCs w:val="22"/>
          <w:lang w:val="sk-SK"/>
        </w:rPr>
        <w:t xml:space="preserve"> (čistenie krvi v mimotelovom obehu)</w:t>
      </w:r>
      <w:r w:rsidR="00037500" w:rsidRPr="00521039">
        <w:rPr>
          <w:rFonts w:ascii="Times New Roman" w:hAnsi="Times New Roman"/>
          <w:sz w:val="22"/>
          <w:szCs w:val="22"/>
          <w:lang w:val="sk-SK"/>
        </w:rPr>
        <w:t>.</w:t>
      </w:r>
    </w:p>
    <w:p w:rsidR="00037500" w:rsidRPr="00521039" w:rsidRDefault="00037500" w:rsidP="00B70A3F">
      <w:pPr>
        <w:widowControl w:val="0"/>
        <w:tabs>
          <w:tab w:val="left" w:pos="5414"/>
        </w:tabs>
        <w:rPr>
          <w:rFonts w:ascii="Times New Roman" w:hAnsi="Times New Roman"/>
          <w:sz w:val="22"/>
          <w:szCs w:val="22"/>
          <w:lang w:val="sk-SK"/>
        </w:rPr>
      </w:pPr>
    </w:p>
    <w:p w:rsidR="00037500" w:rsidRPr="00521039" w:rsidRDefault="00037500" w:rsidP="00037500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Ampicilín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je antibiotikum prvej voľby u infekcií dolných dýchacích ciest s hnisavou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expektoráciou</w:t>
      </w:r>
      <w:proofErr w:type="spellEnd"/>
      <w:r w:rsidR="00AC64F2">
        <w:rPr>
          <w:rFonts w:ascii="Times New Roman" w:hAnsi="Times New Roman"/>
          <w:b w:val="0"/>
          <w:sz w:val="22"/>
          <w:szCs w:val="22"/>
        </w:rPr>
        <w:t xml:space="preserve"> </w:t>
      </w:r>
      <w:r w:rsidR="00234362">
        <w:rPr>
          <w:rFonts w:ascii="Times New Roman" w:hAnsi="Times New Roman"/>
          <w:b w:val="0"/>
          <w:sz w:val="22"/>
          <w:szCs w:val="22"/>
        </w:rPr>
        <w:t>(</w:t>
      </w:r>
      <w:r w:rsidR="00AC64F2">
        <w:rPr>
          <w:rFonts w:ascii="Times New Roman" w:hAnsi="Times New Roman"/>
          <w:b w:val="0"/>
          <w:sz w:val="22"/>
          <w:szCs w:val="22"/>
        </w:rPr>
        <w:t>vykašliavaním)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, vyvolaných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pneumokokmi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hemofilmi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alebo zmiešanou mikroflórou; pri akútnej bronchitíde</w:t>
      </w:r>
      <w:r w:rsidR="006A2328">
        <w:rPr>
          <w:rFonts w:ascii="Times New Roman" w:hAnsi="Times New Roman"/>
          <w:b w:val="0"/>
          <w:sz w:val="22"/>
          <w:szCs w:val="22"/>
        </w:rPr>
        <w:t xml:space="preserve"> (</w:t>
      </w:r>
      <w:r w:rsidR="00311BAF">
        <w:rPr>
          <w:rFonts w:ascii="Times New Roman" w:hAnsi="Times New Roman"/>
          <w:b w:val="0"/>
          <w:sz w:val="22"/>
          <w:szCs w:val="22"/>
        </w:rPr>
        <w:t xml:space="preserve">zápal priedušiek s </w:t>
      </w:r>
      <w:r w:rsidR="006A2328">
        <w:rPr>
          <w:rFonts w:ascii="Times New Roman" w:hAnsi="Times New Roman"/>
          <w:b w:val="0"/>
          <w:sz w:val="22"/>
          <w:szCs w:val="22"/>
        </w:rPr>
        <w:t>čast</w:t>
      </w:r>
      <w:r w:rsidR="00311BAF">
        <w:rPr>
          <w:rFonts w:ascii="Times New Roman" w:hAnsi="Times New Roman"/>
          <w:b w:val="0"/>
          <w:sz w:val="22"/>
          <w:szCs w:val="22"/>
        </w:rPr>
        <w:t>ými</w:t>
      </w:r>
      <w:r w:rsidR="006A2328">
        <w:rPr>
          <w:rFonts w:ascii="Times New Roman" w:hAnsi="Times New Roman"/>
          <w:b w:val="0"/>
          <w:sz w:val="22"/>
          <w:szCs w:val="22"/>
        </w:rPr>
        <w:t xml:space="preserve"> záchvat</w:t>
      </w:r>
      <w:r w:rsidR="00311BAF">
        <w:rPr>
          <w:rFonts w:ascii="Times New Roman" w:hAnsi="Times New Roman"/>
          <w:b w:val="0"/>
          <w:sz w:val="22"/>
          <w:szCs w:val="22"/>
        </w:rPr>
        <w:t>mi</w:t>
      </w:r>
      <w:r w:rsidR="006A2328">
        <w:rPr>
          <w:rFonts w:ascii="Times New Roman" w:hAnsi="Times New Roman"/>
          <w:b w:val="0"/>
          <w:sz w:val="22"/>
          <w:szCs w:val="22"/>
        </w:rPr>
        <w:t xml:space="preserve"> kašľa s tvorbou hlienu)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bronchiolitíde</w:t>
      </w:r>
      <w:proofErr w:type="spellEnd"/>
      <w:r w:rsidR="002D1894">
        <w:rPr>
          <w:rFonts w:ascii="Times New Roman" w:hAnsi="Times New Roman"/>
          <w:b w:val="0"/>
          <w:sz w:val="22"/>
          <w:szCs w:val="22"/>
        </w:rPr>
        <w:t xml:space="preserve"> (zápal priedušničiek)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 a pri zápaloch pľúc u detí (pokiaľ nie je dôkaz samostatn</w:t>
      </w:r>
      <w:r w:rsidR="0040790C">
        <w:rPr>
          <w:rFonts w:ascii="Times New Roman" w:hAnsi="Times New Roman"/>
          <w:b w:val="0"/>
          <w:sz w:val="22"/>
          <w:szCs w:val="22"/>
        </w:rPr>
        <w:t>ého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 stafylokokov</w:t>
      </w:r>
      <w:r w:rsidR="002D1894">
        <w:rPr>
          <w:rFonts w:ascii="Times New Roman" w:hAnsi="Times New Roman"/>
          <w:b w:val="0"/>
          <w:sz w:val="22"/>
          <w:szCs w:val="22"/>
        </w:rPr>
        <w:t>ého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 </w:t>
      </w:r>
      <w:r w:rsidR="002D1894">
        <w:rPr>
          <w:rFonts w:ascii="Times New Roman" w:hAnsi="Times New Roman"/>
          <w:b w:val="0"/>
          <w:sz w:val="22"/>
          <w:szCs w:val="22"/>
        </w:rPr>
        <w:t>pôvodu</w:t>
      </w:r>
      <w:r w:rsidRPr="00521039">
        <w:rPr>
          <w:rFonts w:ascii="Times New Roman" w:hAnsi="Times New Roman"/>
          <w:b w:val="0"/>
          <w:sz w:val="22"/>
          <w:szCs w:val="22"/>
        </w:rPr>
        <w:t>, prípadne v kombinácii s 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oxacilínom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>), pri akútnej</w:t>
      </w:r>
      <w:r w:rsidR="006A22A5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epiglotitíde</w:t>
      </w:r>
      <w:proofErr w:type="spellEnd"/>
      <w:r w:rsidR="002D1894">
        <w:rPr>
          <w:rFonts w:ascii="Times New Roman" w:hAnsi="Times New Roman"/>
          <w:b w:val="0"/>
          <w:sz w:val="22"/>
          <w:szCs w:val="22"/>
        </w:rPr>
        <w:t xml:space="preserve"> (zápal hrtanovej príchlopky)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, pri zápaloch stredného ucha novorodencov a detí predškolského veku; pri zápaloch vedľajších nosových dutín. Pri liečbe akútnych </w:t>
      </w:r>
      <w:r w:rsidR="002D1894">
        <w:rPr>
          <w:rFonts w:ascii="Times New Roman" w:hAnsi="Times New Roman"/>
          <w:b w:val="0"/>
          <w:sz w:val="22"/>
          <w:szCs w:val="22"/>
        </w:rPr>
        <w:t>zhoršen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í chronickej bronchitídy </w:t>
      </w:r>
      <w:r w:rsidR="00D2547E">
        <w:rPr>
          <w:rFonts w:ascii="Times New Roman" w:hAnsi="Times New Roman"/>
          <w:b w:val="0"/>
          <w:sz w:val="22"/>
          <w:szCs w:val="22"/>
        </w:rPr>
        <w:t>(</w:t>
      </w:r>
      <w:r w:rsidR="00F20EF1">
        <w:rPr>
          <w:rFonts w:ascii="Times New Roman" w:hAnsi="Times New Roman"/>
          <w:b w:val="0"/>
          <w:sz w:val="22"/>
          <w:szCs w:val="22"/>
        </w:rPr>
        <w:t xml:space="preserve">chronický </w:t>
      </w:r>
      <w:r w:rsidR="00D2547E">
        <w:rPr>
          <w:rFonts w:ascii="Times New Roman" w:hAnsi="Times New Roman"/>
          <w:b w:val="0"/>
          <w:sz w:val="22"/>
          <w:szCs w:val="22"/>
        </w:rPr>
        <w:t>zápal priedušiek</w:t>
      </w:r>
      <w:r w:rsidR="00F20EF1">
        <w:rPr>
          <w:rFonts w:ascii="Times New Roman" w:hAnsi="Times New Roman"/>
          <w:b w:val="0"/>
          <w:sz w:val="22"/>
          <w:szCs w:val="22"/>
        </w:rPr>
        <w:t>)</w:t>
      </w:r>
      <w:r w:rsidR="004B0200">
        <w:rPr>
          <w:rFonts w:ascii="Times New Roman" w:hAnsi="Times New Roman"/>
          <w:b w:val="0"/>
          <w:sz w:val="22"/>
          <w:szCs w:val="22"/>
        </w:rPr>
        <w:t xml:space="preserve"> 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je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ampicilín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</w:t>
      </w:r>
      <w:r w:rsidR="00D2547E">
        <w:rPr>
          <w:rFonts w:ascii="Times New Roman" w:hAnsi="Times New Roman"/>
          <w:b w:val="0"/>
          <w:sz w:val="22"/>
          <w:szCs w:val="22"/>
        </w:rPr>
        <w:t>podávaný</w:t>
      </w:r>
      <w:r w:rsidR="00AC43A3" w:rsidRPr="00521039">
        <w:rPr>
          <w:rFonts w:ascii="Times New Roman" w:hAnsi="Times New Roman"/>
          <w:b w:val="0"/>
          <w:sz w:val="22"/>
          <w:szCs w:val="22"/>
        </w:rPr>
        <w:t xml:space="preserve"> 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v prvom rade pri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monoinfekcii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pneumokokmi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>.</w:t>
      </w:r>
    </w:p>
    <w:p w:rsidR="00037500" w:rsidRPr="00521039" w:rsidRDefault="00037500" w:rsidP="00037500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521039">
        <w:rPr>
          <w:rFonts w:ascii="Times New Roman" w:hAnsi="Times New Roman"/>
          <w:b w:val="0"/>
          <w:sz w:val="22"/>
          <w:szCs w:val="22"/>
        </w:rPr>
        <w:t xml:space="preserve">Pri infekciách močových ciest sa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ampicilín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ordinuje až v druhom rade, pokiaľ nie je vhodnejšie použiť krátkodobé sulfónamidy,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kotrimoxazol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alebo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oxytetracyklín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. Ak je mikroorganizmus citlivý, </w:t>
      </w:r>
      <w:r w:rsidR="002D1894">
        <w:rPr>
          <w:rFonts w:ascii="Times New Roman" w:hAnsi="Times New Roman"/>
          <w:b w:val="0"/>
          <w:sz w:val="22"/>
          <w:szCs w:val="22"/>
        </w:rPr>
        <w:t>používa sa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ampicilín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pri infekciách žlčových ciest, zažívacieho traktu, pri hnisavých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meningitídach</w:t>
      </w:r>
      <w:proofErr w:type="spellEnd"/>
      <w:r w:rsidR="002D1894">
        <w:rPr>
          <w:rFonts w:ascii="Times New Roman" w:hAnsi="Times New Roman"/>
          <w:b w:val="0"/>
          <w:sz w:val="22"/>
          <w:szCs w:val="22"/>
        </w:rPr>
        <w:t xml:space="preserve"> (zápal mozgových</w:t>
      </w:r>
      <w:r w:rsidR="005A3DC1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5A3DC1">
        <w:rPr>
          <w:rFonts w:ascii="Times New Roman" w:hAnsi="Times New Roman"/>
          <w:b w:val="0"/>
          <w:sz w:val="22"/>
          <w:szCs w:val="22"/>
        </w:rPr>
        <w:t>plien</w:t>
      </w:r>
      <w:proofErr w:type="spellEnd"/>
      <w:r w:rsidR="004B0200">
        <w:rPr>
          <w:rFonts w:ascii="Times New Roman" w:hAnsi="Times New Roman"/>
          <w:b w:val="0"/>
          <w:sz w:val="22"/>
          <w:szCs w:val="22"/>
        </w:rPr>
        <w:t xml:space="preserve"> </w:t>
      </w:r>
      <w:r w:rsidR="002D0CEA">
        <w:rPr>
          <w:rFonts w:ascii="Times New Roman" w:hAnsi="Times New Roman"/>
          <w:b w:val="0"/>
          <w:sz w:val="22"/>
          <w:szCs w:val="22"/>
        </w:rPr>
        <w:t xml:space="preserve">- 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predovšetkým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hemofilov</w:t>
      </w:r>
      <w:r w:rsidR="005A3DC1">
        <w:rPr>
          <w:rFonts w:ascii="Times New Roman" w:hAnsi="Times New Roman"/>
          <w:b w:val="0"/>
          <w:sz w:val="22"/>
          <w:szCs w:val="22"/>
        </w:rPr>
        <w:t>ého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pneumokokov</w:t>
      </w:r>
      <w:r w:rsidR="005A3DC1">
        <w:rPr>
          <w:rFonts w:ascii="Times New Roman" w:hAnsi="Times New Roman"/>
          <w:b w:val="0"/>
          <w:sz w:val="22"/>
          <w:szCs w:val="22"/>
        </w:rPr>
        <w:t>ého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meningokokov</w:t>
      </w:r>
      <w:r w:rsidR="005A3DC1">
        <w:rPr>
          <w:rFonts w:ascii="Times New Roman" w:hAnsi="Times New Roman"/>
          <w:b w:val="0"/>
          <w:sz w:val="22"/>
          <w:szCs w:val="22"/>
        </w:rPr>
        <w:t>ého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>, streptokokov</w:t>
      </w:r>
      <w:r w:rsidR="005A3DC1">
        <w:rPr>
          <w:rFonts w:ascii="Times New Roman" w:hAnsi="Times New Roman"/>
          <w:b w:val="0"/>
          <w:sz w:val="22"/>
          <w:szCs w:val="22"/>
        </w:rPr>
        <w:t>ého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enterokokov</w:t>
      </w:r>
      <w:r w:rsidR="005A3DC1">
        <w:rPr>
          <w:rFonts w:ascii="Times New Roman" w:hAnsi="Times New Roman"/>
          <w:b w:val="0"/>
          <w:sz w:val="22"/>
          <w:szCs w:val="22"/>
        </w:rPr>
        <w:t>ého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</w:t>
      </w:r>
      <w:r w:rsidR="005A3DC1">
        <w:rPr>
          <w:rFonts w:ascii="Times New Roman" w:hAnsi="Times New Roman"/>
          <w:b w:val="0"/>
          <w:sz w:val="22"/>
          <w:szCs w:val="22"/>
        </w:rPr>
        <w:t>pôvodu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), pri bakteriálnych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endokarditídach</w:t>
      </w:r>
      <w:proofErr w:type="spellEnd"/>
      <w:r w:rsidR="005A3DC1">
        <w:rPr>
          <w:rFonts w:ascii="Times New Roman" w:hAnsi="Times New Roman"/>
          <w:b w:val="0"/>
          <w:sz w:val="22"/>
          <w:szCs w:val="22"/>
        </w:rPr>
        <w:t xml:space="preserve"> (zápal vnútornej srdcovej blany)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, pri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septikémiách</w:t>
      </w:r>
      <w:proofErr w:type="spellEnd"/>
      <w:r w:rsidR="005A3DC1">
        <w:rPr>
          <w:rFonts w:ascii="Times New Roman" w:hAnsi="Times New Roman"/>
          <w:b w:val="0"/>
          <w:sz w:val="22"/>
          <w:szCs w:val="22"/>
        </w:rPr>
        <w:t xml:space="preserve"> (prítomnosť baktér</w:t>
      </w:r>
      <w:r w:rsidR="002D518C">
        <w:rPr>
          <w:rFonts w:ascii="Times New Roman" w:hAnsi="Times New Roman"/>
          <w:b w:val="0"/>
          <w:sz w:val="22"/>
          <w:szCs w:val="22"/>
        </w:rPr>
        <w:t>ií</w:t>
      </w:r>
      <w:r w:rsidR="005A3DC1">
        <w:rPr>
          <w:rFonts w:ascii="Times New Roman" w:hAnsi="Times New Roman"/>
          <w:b w:val="0"/>
          <w:sz w:val="22"/>
          <w:szCs w:val="22"/>
        </w:rPr>
        <w:t xml:space="preserve"> v</w:t>
      </w:r>
      <w:r w:rsidR="002D518C">
        <w:rPr>
          <w:rFonts w:ascii="Times New Roman" w:hAnsi="Times New Roman"/>
          <w:b w:val="0"/>
          <w:sz w:val="22"/>
          <w:szCs w:val="22"/>
        </w:rPr>
        <w:t> </w:t>
      </w:r>
      <w:r w:rsidR="005A3DC1">
        <w:rPr>
          <w:rFonts w:ascii="Times New Roman" w:hAnsi="Times New Roman"/>
          <w:b w:val="0"/>
          <w:sz w:val="22"/>
          <w:szCs w:val="22"/>
        </w:rPr>
        <w:t>krv</w:t>
      </w:r>
      <w:r w:rsidR="002D518C">
        <w:rPr>
          <w:rFonts w:ascii="Times New Roman" w:hAnsi="Times New Roman"/>
          <w:b w:val="0"/>
          <w:sz w:val="22"/>
          <w:szCs w:val="22"/>
        </w:rPr>
        <w:t>i)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 prípadne tiež pri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peritonitídach</w:t>
      </w:r>
      <w:proofErr w:type="spellEnd"/>
      <w:r w:rsidR="002D518C">
        <w:rPr>
          <w:rFonts w:ascii="Times New Roman" w:hAnsi="Times New Roman"/>
          <w:b w:val="0"/>
          <w:sz w:val="22"/>
          <w:szCs w:val="22"/>
        </w:rPr>
        <w:t xml:space="preserve"> (zápal pobrušnice)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037500" w:rsidRPr="00521039" w:rsidRDefault="00037500" w:rsidP="00037500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Ampicilín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sa používa tiež na liečbu brušného týfusu alebo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paratýfusu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(pokiaľ nemožno použiť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chloramfenikol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) a na </w:t>
      </w:r>
      <w:r w:rsidR="00AC4D28">
        <w:rPr>
          <w:rFonts w:ascii="Times New Roman" w:hAnsi="Times New Roman"/>
          <w:b w:val="0"/>
          <w:sz w:val="22"/>
          <w:szCs w:val="22"/>
        </w:rPr>
        <w:t>liečbu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 nosičov salmonel v žlčníku a</w:t>
      </w:r>
      <w:r w:rsidR="00B21A8F">
        <w:rPr>
          <w:rFonts w:ascii="Times New Roman" w:hAnsi="Times New Roman"/>
          <w:b w:val="0"/>
          <w:sz w:val="22"/>
          <w:szCs w:val="22"/>
        </w:rPr>
        <w:t xml:space="preserve"> v </w:t>
      </w:r>
      <w:r w:rsidRPr="00521039">
        <w:rPr>
          <w:rFonts w:ascii="Times New Roman" w:hAnsi="Times New Roman"/>
          <w:b w:val="0"/>
          <w:sz w:val="22"/>
          <w:szCs w:val="22"/>
        </w:rPr>
        <w:t>žlčových cestách v rámci komplexnej antibioticko-chirurgickej liečby.</w:t>
      </w:r>
    </w:p>
    <w:p w:rsidR="00037500" w:rsidRPr="00521039" w:rsidRDefault="00037500" w:rsidP="00037500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521039">
        <w:rPr>
          <w:rFonts w:ascii="Times New Roman" w:hAnsi="Times New Roman"/>
          <w:b w:val="0"/>
          <w:sz w:val="22"/>
          <w:szCs w:val="22"/>
        </w:rPr>
        <w:t xml:space="preserve">Pri ťažkých zmiešaných infekciách (napríklad pri </w:t>
      </w:r>
      <w:r w:rsidR="00E87DB9">
        <w:rPr>
          <w:rFonts w:ascii="Times New Roman" w:hAnsi="Times New Roman"/>
          <w:b w:val="0"/>
          <w:sz w:val="22"/>
          <w:szCs w:val="22"/>
        </w:rPr>
        <w:t>zápaloch pobrušnice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) možno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ampicilín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výhodne kombinovať s 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aminoglykozidovými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antibiotikami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gentamycínového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typu.</w:t>
      </w:r>
    </w:p>
    <w:p w:rsidR="00A669B5" w:rsidRPr="00521039" w:rsidRDefault="00A669B5" w:rsidP="00A159E7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F86B1B" w:rsidRPr="00F86B1B" w:rsidRDefault="00F86B1B" w:rsidP="00F86B1B">
      <w:p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</w:p>
    <w:p w:rsidR="00F86B1B" w:rsidRPr="00F86B1B" w:rsidRDefault="00F86B1B" w:rsidP="00F86B1B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567"/>
        <w:contextualSpacing/>
        <w:textAlignment w:val="baseline"/>
        <w:rPr>
          <w:rFonts w:ascii="Times New Roman" w:hAnsi="Times New Roman"/>
          <w:b/>
          <w:sz w:val="22"/>
          <w:szCs w:val="22"/>
          <w:lang w:val="sk-SK"/>
        </w:rPr>
      </w:pPr>
      <w:r w:rsidRPr="00F86B1B">
        <w:rPr>
          <w:rFonts w:ascii="Times New Roman" w:hAnsi="Times New Roman"/>
          <w:b/>
          <w:sz w:val="22"/>
          <w:szCs w:val="22"/>
          <w:lang w:val="sk-SK"/>
        </w:rPr>
        <w:t xml:space="preserve">Čo potrebujete vedieť predtým, ako použijete </w:t>
      </w:r>
      <w:r w:rsidRPr="00521039">
        <w:rPr>
          <w:rFonts w:ascii="Times New Roman" w:hAnsi="Times New Roman"/>
          <w:b/>
          <w:sz w:val="22"/>
          <w:szCs w:val="22"/>
          <w:lang w:val="sk-SK"/>
        </w:rPr>
        <w:t xml:space="preserve">AMPICILIN </w:t>
      </w:r>
      <w:r w:rsidR="007D053C">
        <w:rPr>
          <w:rFonts w:ascii="Times New Roman" w:hAnsi="Times New Roman"/>
          <w:b/>
          <w:sz w:val="22"/>
          <w:szCs w:val="22"/>
          <w:lang w:val="sk-SK"/>
        </w:rPr>
        <w:t>BBP</w:t>
      </w:r>
    </w:p>
    <w:p w:rsidR="00F86B1B" w:rsidRPr="00F86B1B" w:rsidRDefault="00F86B1B" w:rsidP="00F86B1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</w:p>
    <w:p w:rsidR="00F86B1B" w:rsidRPr="00F86B1B" w:rsidRDefault="00F86B1B" w:rsidP="00F86B1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2"/>
          <w:lang w:val="sk-SK"/>
        </w:rPr>
      </w:pPr>
      <w:r w:rsidRPr="00F86B1B">
        <w:rPr>
          <w:rFonts w:ascii="Times New Roman" w:hAnsi="Times New Roman"/>
          <w:b/>
          <w:sz w:val="22"/>
          <w:szCs w:val="22"/>
          <w:lang w:val="sk-SK"/>
        </w:rPr>
        <w:t>Ne</w:t>
      </w:r>
      <w:r w:rsidR="00625DA4">
        <w:rPr>
          <w:rFonts w:ascii="Times New Roman" w:hAnsi="Times New Roman"/>
          <w:b/>
          <w:sz w:val="22"/>
          <w:szCs w:val="22"/>
          <w:lang w:val="sk-SK"/>
        </w:rPr>
        <w:t>po</w:t>
      </w:r>
      <w:r w:rsidRPr="00F86B1B">
        <w:rPr>
          <w:rFonts w:ascii="Times New Roman" w:hAnsi="Times New Roman"/>
          <w:b/>
          <w:sz w:val="22"/>
          <w:szCs w:val="22"/>
          <w:lang w:val="sk-SK"/>
        </w:rPr>
        <w:t xml:space="preserve">užívajte </w:t>
      </w:r>
      <w:r w:rsidRPr="00521039">
        <w:rPr>
          <w:rFonts w:ascii="Times New Roman" w:hAnsi="Times New Roman"/>
          <w:b/>
          <w:sz w:val="22"/>
          <w:szCs w:val="22"/>
          <w:lang w:val="sk-SK"/>
        </w:rPr>
        <w:t xml:space="preserve">AMPICILIN </w:t>
      </w:r>
      <w:r w:rsidR="007D053C">
        <w:rPr>
          <w:rFonts w:ascii="Times New Roman" w:hAnsi="Times New Roman"/>
          <w:b/>
          <w:sz w:val="22"/>
          <w:szCs w:val="22"/>
          <w:lang w:val="sk-SK"/>
        </w:rPr>
        <w:t>BBP</w:t>
      </w:r>
    </w:p>
    <w:p w:rsidR="00F86B1B" w:rsidRPr="00521039" w:rsidRDefault="00F86B1B" w:rsidP="00F86B1B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2"/>
          <w:lang w:val="sk-SK"/>
        </w:rPr>
      </w:pPr>
      <w:r w:rsidRPr="00F86B1B">
        <w:rPr>
          <w:rFonts w:ascii="Times New Roman" w:hAnsi="Times New Roman"/>
          <w:sz w:val="22"/>
          <w:szCs w:val="22"/>
          <w:lang w:val="sk-SK"/>
        </w:rPr>
        <w:t>ak ste alergický na penicilín</w:t>
      </w:r>
      <w:r w:rsidR="00660CB1" w:rsidRPr="00521039">
        <w:rPr>
          <w:rFonts w:ascii="Times New Roman" w:hAnsi="Times New Roman"/>
          <w:sz w:val="22"/>
          <w:szCs w:val="22"/>
          <w:lang w:val="sk-SK"/>
        </w:rPr>
        <w:t>y</w:t>
      </w:r>
      <w:r w:rsidRPr="00F86B1B">
        <w:rPr>
          <w:rFonts w:ascii="Times New Roman" w:hAnsi="Times New Roman"/>
          <w:sz w:val="22"/>
          <w:szCs w:val="22"/>
          <w:lang w:val="sk-SK"/>
        </w:rPr>
        <w:t xml:space="preserve"> alebo na ktorúkoľvek z ďalších zložiek tohto lieku (uvedených v časti 6),</w:t>
      </w:r>
    </w:p>
    <w:p w:rsidR="00465F7F" w:rsidRPr="00521039" w:rsidRDefault="002D518C" w:rsidP="00F86B1B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ak máte</w:t>
      </w:r>
      <w:r w:rsidR="00465F7F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závažnú poruchu</w:t>
      </w:r>
      <w:r w:rsidR="00465F7F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funkcie</w:t>
      </w:r>
      <w:r w:rsidR="00465F7F" w:rsidRPr="00521039">
        <w:rPr>
          <w:rFonts w:ascii="Times New Roman" w:hAnsi="Times New Roman"/>
          <w:sz w:val="22"/>
          <w:szCs w:val="22"/>
          <w:lang w:val="sk-SK"/>
        </w:rPr>
        <w:t xml:space="preserve"> pečene, </w:t>
      </w:r>
    </w:p>
    <w:p w:rsidR="00465F7F" w:rsidRPr="00F86B1B" w:rsidRDefault="00465F7F" w:rsidP="00F86B1B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pri infekčnom ochorení vyvolanom kmeňmi </w:t>
      </w:r>
      <w:r w:rsidR="002D518C">
        <w:rPr>
          <w:rFonts w:ascii="Times New Roman" w:hAnsi="Times New Roman"/>
          <w:sz w:val="22"/>
          <w:szCs w:val="22"/>
          <w:lang w:val="sk-SK"/>
        </w:rPr>
        <w:t>odolnými voči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ampicilín</w:t>
      </w:r>
      <w:r w:rsidR="002D518C">
        <w:rPr>
          <w:rFonts w:ascii="Times New Roman" w:hAnsi="Times New Roman"/>
          <w:sz w:val="22"/>
          <w:szCs w:val="22"/>
          <w:lang w:val="sk-SK"/>
        </w:rPr>
        <w:t>u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predovšetkým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pseudomonádami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a stafylokokmi.</w:t>
      </w:r>
    </w:p>
    <w:p w:rsidR="00660CB1" w:rsidRPr="00521039" w:rsidRDefault="00660CB1" w:rsidP="00660CB1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Pre možnosť vzniku precitlivenosti sú relatívnymi kontraindikáciami </w:t>
      </w:r>
      <w:r w:rsidR="002D518C">
        <w:rPr>
          <w:rFonts w:ascii="Times New Roman" w:hAnsi="Times New Roman"/>
          <w:sz w:val="22"/>
          <w:szCs w:val="22"/>
          <w:lang w:val="sk-SK"/>
        </w:rPr>
        <w:t>precitlivenosť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na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cefalosporíny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akákoľvek alergia v anamnéze, bronchiálna astma, senná nádcha alebo žihľavka, sekundárna infekcia pri infekčnej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mononukleóze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>, lymfatickej leukémii.</w:t>
      </w:r>
    </w:p>
    <w:p w:rsidR="00A669B5" w:rsidRPr="00521039" w:rsidRDefault="00A669B5" w:rsidP="00A159E7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98428C" w:rsidRPr="0098428C" w:rsidRDefault="0098428C" w:rsidP="0098428C">
      <w:pPr>
        <w:autoSpaceDE w:val="0"/>
        <w:autoSpaceDN w:val="0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98428C">
        <w:rPr>
          <w:rFonts w:ascii="Times New Roman" w:hAnsi="Times New Roman"/>
          <w:b/>
          <w:bCs/>
          <w:sz w:val="22"/>
          <w:szCs w:val="22"/>
          <w:lang w:val="sk-SK"/>
        </w:rPr>
        <w:t>Upozornenia a opatrenia</w:t>
      </w:r>
    </w:p>
    <w:p w:rsidR="00E2007E" w:rsidRPr="00521039" w:rsidRDefault="00E2007E" w:rsidP="00E2007E">
      <w:pPr>
        <w:pStyle w:val="Zarkazkladnhotextu"/>
        <w:jc w:val="left"/>
        <w:rPr>
          <w:rFonts w:ascii="Times New Roman" w:hAnsi="Times New Roman"/>
          <w:sz w:val="22"/>
          <w:szCs w:val="22"/>
        </w:rPr>
      </w:pPr>
      <w:r w:rsidRPr="00521039">
        <w:rPr>
          <w:rFonts w:ascii="Times New Roman" w:hAnsi="Times New Roman"/>
          <w:sz w:val="22"/>
          <w:szCs w:val="22"/>
        </w:rPr>
        <w:t xml:space="preserve">Vyžaduje sa, aby sa pred použitím lieku laboratórne dokázala citlivosť infekčného agens. Pri podávaní vysokých dávok </w:t>
      </w:r>
      <w:proofErr w:type="spellStart"/>
      <w:r w:rsidRPr="00521039">
        <w:rPr>
          <w:rFonts w:ascii="Times New Roman" w:hAnsi="Times New Roman"/>
          <w:sz w:val="22"/>
          <w:szCs w:val="22"/>
        </w:rPr>
        <w:t>ampicilínu</w:t>
      </w:r>
      <w:proofErr w:type="spellEnd"/>
      <w:r w:rsidRPr="00521039">
        <w:rPr>
          <w:rFonts w:ascii="Times New Roman" w:hAnsi="Times New Roman"/>
          <w:sz w:val="22"/>
          <w:szCs w:val="22"/>
        </w:rPr>
        <w:t xml:space="preserve">, najmä dlhšiu dobu je potrebné kontrolovať funkciu pečene, predovšetkým zmeny S-AST, krvný obraz a moč. </w:t>
      </w:r>
    </w:p>
    <w:p w:rsidR="00EC1403" w:rsidRDefault="00E2007E" w:rsidP="00E2007E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>A</w:t>
      </w:r>
      <w:r w:rsidR="005D3B22">
        <w:rPr>
          <w:rFonts w:ascii="Times New Roman" w:hAnsi="Times New Roman"/>
          <w:sz w:val="22"/>
          <w:szCs w:val="22"/>
          <w:lang w:val="sk-SK"/>
        </w:rPr>
        <w:t>k sa u vás vyskytne alergická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reakcia</w:t>
      </w:r>
      <w:r w:rsidR="00F16E55">
        <w:rPr>
          <w:rFonts w:ascii="Times New Roman" w:hAnsi="Times New Roman"/>
          <w:sz w:val="22"/>
          <w:szCs w:val="22"/>
          <w:lang w:val="sk-SK"/>
        </w:rPr>
        <w:t>,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5D3B22">
        <w:rPr>
          <w:rFonts w:ascii="Times New Roman" w:hAnsi="Times New Roman"/>
          <w:sz w:val="22"/>
          <w:szCs w:val="22"/>
          <w:lang w:val="sk-SK"/>
        </w:rPr>
        <w:t>lekár vám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preruš</w:t>
      </w:r>
      <w:r w:rsidR="005D3B22">
        <w:rPr>
          <w:rFonts w:ascii="Times New Roman" w:hAnsi="Times New Roman"/>
          <w:sz w:val="22"/>
          <w:szCs w:val="22"/>
          <w:lang w:val="sk-SK"/>
        </w:rPr>
        <w:t>í liečbu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. </w:t>
      </w:r>
      <w:r w:rsidR="00063A48" w:rsidRPr="00DF5F14">
        <w:rPr>
          <w:rFonts w:ascii="Times New Roman" w:hAnsi="Times New Roman"/>
          <w:sz w:val="22"/>
          <w:szCs w:val="22"/>
          <w:lang w:val="sk-SK"/>
        </w:rPr>
        <w:t xml:space="preserve">Pri </w:t>
      </w:r>
      <w:proofErr w:type="spellStart"/>
      <w:r w:rsidR="00063A48" w:rsidRPr="00DF5F14">
        <w:rPr>
          <w:rFonts w:ascii="Times New Roman" w:hAnsi="Times New Roman"/>
          <w:sz w:val="22"/>
          <w:szCs w:val="22"/>
          <w:lang w:val="sk-SK"/>
        </w:rPr>
        <w:t>anafylaktickom</w:t>
      </w:r>
      <w:proofErr w:type="spellEnd"/>
      <w:r w:rsidR="00063A48" w:rsidRPr="00DF5F14">
        <w:rPr>
          <w:rFonts w:ascii="Times New Roman" w:hAnsi="Times New Roman"/>
          <w:sz w:val="22"/>
          <w:szCs w:val="22"/>
          <w:lang w:val="sk-SK"/>
        </w:rPr>
        <w:t xml:space="preserve"> šoku </w:t>
      </w:r>
      <w:r w:rsidR="006524CC">
        <w:rPr>
          <w:rFonts w:ascii="Times New Roman" w:hAnsi="Times New Roman"/>
          <w:sz w:val="22"/>
          <w:szCs w:val="22"/>
          <w:lang w:val="sk-SK"/>
        </w:rPr>
        <w:t xml:space="preserve">(náhlej alergickej reakcie) </w:t>
      </w:r>
      <w:r w:rsidR="00063A48" w:rsidRPr="00DF5F14">
        <w:rPr>
          <w:rFonts w:ascii="Times New Roman" w:hAnsi="Times New Roman"/>
          <w:sz w:val="22"/>
          <w:szCs w:val="22"/>
          <w:lang w:val="sk-SK"/>
        </w:rPr>
        <w:t xml:space="preserve">je potrebné predovšetkým zvládnuť zlyhanie obehu krvi a porúch dýchania adrenalínom, </w:t>
      </w:r>
      <w:proofErr w:type="spellStart"/>
      <w:r w:rsidR="00063A48" w:rsidRPr="00DF5F14">
        <w:rPr>
          <w:rFonts w:ascii="Times New Roman" w:hAnsi="Times New Roman"/>
          <w:sz w:val="22"/>
          <w:szCs w:val="22"/>
          <w:lang w:val="sk-SK"/>
        </w:rPr>
        <w:t>noradrenalínom</w:t>
      </w:r>
      <w:proofErr w:type="spellEnd"/>
      <w:r w:rsidR="00063A48" w:rsidRPr="00DF5F14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="00063A48" w:rsidRPr="00DF5F14">
        <w:rPr>
          <w:rFonts w:ascii="Times New Roman" w:hAnsi="Times New Roman"/>
          <w:sz w:val="22"/>
          <w:szCs w:val="22"/>
          <w:lang w:val="sk-SK"/>
        </w:rPr>
        <w:t>hydrokortizónom</w:t>
      </w:r>
      <w:proofErr w:type="spellEnd"/>
      <w:r w:rsidR="00063A48" w:rsidRPr="00DF5F14">
        <w:rPr>
          <w:rFonts w:ascii="Times New Roman" w:hAnsi="Times New Roman"/>
          <w:sz w:val="22"/>
          <w:szCs w:val="22"/>
          <w:lang w:val="sk-SK"/>
        </w:rPr>
        <w:t xml:space="preserve">, podať vápnik a </w:t>
      </w:r>
      <w:proofErr w:type="spellStart"/>
      <w:r w:rsidR="00063A48" w:rsidRPr="00DF5F14">
        <w:rPr>
          <w:rFonts w:ascii="Times New Roman" w:hAnsi="Times New Roman"/>
          <w:sz w:val="22"/>
          <w:szCs w:val="22"/>
          <w:lang w:val="sk-SK"/>
        </w:rPr>
        <w:t>antihistaminiká</w:t>
      </w:r>
      <w:proofErr w:type="spellEnd"/>
      <w:r w:rsidR="00063A48" w:rsidRPr="00DF5F14">
        <w:rPr>
          <w:rFonts w:ascii="Times New Roman" w:hAnsi="Times New Roman"/>
          <w:sz w:val="22"/>
          <w:szCs w:val="22"/>
          <w:lang w:val="sk-SK"/>
        </w:rPr>
        <w:t>. Postupuje sa podľa zásad na zvládnutie týchto reakcií.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E2007E" w:rsidRDefault="00E2007E" w:rsidP="00E2007E">
      <w:pPr>
        <w:rPr>
          <w:rFonts w:ascii="Times New Roman" w:hAnsi="Times New Roman"/>
          <w:sz w:val="22"/>
          <w:szCs w:val="22"/>
          <w:lang w:val="sk-SK"/>
        </w:rPr>
      </w:pPr>
      <w:r w:rsidRPr="00B515CD">
        <w:rPr>
          <w:rFonts w:ascii="Times New Roman" w:hAnsi="Times New Roman"/>
          <w:sz w:val="22"/>
          <w:szCs w:val="22"/>
          <w:lang w:val="sk-SK"/>
        </w:rPr>
        <w:t>Pacientky, ktoré užívajú perorálnu</w:t>
      </w:r>
      <w:r w:rsidR="00B515CD">
        <w:rPr>
          <w:rFonts w:ascii="Times New Roman" w:hAnsi="Times New Roman"/>
          <w:sz w:val="22"/>
          <w:szCs w:val="22"/>
          <w:lang w:val="sk-SK"/>
        </w:rPr>
        <w:t xml:space="preserve"> (</w:t>
      </w:r>
      <w:r w:rsidR="009C64FC">
        <w:rPr>
          <w:rFonts w:ascii="Times New Roman" w:hAnsi="Times New Roman"/>
          <w:sz w:val="22"/>
          <w:szCs w:val="22"/>
          <w:lang w:val="sk-SK"/>
        </w:rPr>
        <w:t>ústami</w:t>
      </w:r>
      <w:r w:rsidR="00D82BB2">
        <w:rPr>
          <w:rFonts w:ascii="Times New Roman" w:hAnsi="Times New Roman"/>
          <w:sz w:val="22"/>
          <w:szCs w:val="22"/>
          <w:lang w:val="sk-SK"/>
        </w:rPr>
        <w:t xml:space="preserve"> užívanú</w:t>
      </w:r>
      <w:r w:rsidR="00B515CD" w:rsidRPr="009C64FC">
        <w:rPr>
          <w:rFonts w:ascii="Times New Roman" w:hAnsi="Times New Roman"/>
          <w:sz w:val="22"/>
          <w:szCs w:val="22"/>
          <w:lang w:val="sk-SK"/>
        </w:rPr>
        <w:t>)</w:t>
      </w:r>
      <w:r w:rsidRPr="00B515CD">
        <w:rPr>
          <w:rFonts w:ascii="Times New Roman" w:hAnsi="Times New Roman"/>
          <w:sz w:val="22"/>
          <w:szCs w:val="22"/>
          <w:lang w:val="sk-SK"/>
        </w:rPr>
        <w:t xml:space="preserve"> hormonálnu antikoncepciu, by mali byť upozornené na nutnosť </w:t>
      </w:r>
      <w:r w:rsidR="00F87C65">
        <w:rPr>
          <w:rFonts w:ascii="Times New Roman" w:hAnsi="Times New Roman"/>
          <w:sz w:val="22"/>
          <w:szCs w:val="22"/>
          <w:lang w:val="sk-SK"/>
        </w:rPr>
        <w:t>náhradnej antikoncepcie</w:t>
      </w:r>
      <w:r w:rsidRPr="00B515CD">
        <w:rPr>
          <w:rFonts w:ascii="Times New Roman" w:hAnsi="Times New Roman"/>
          <w:sz w:val="22"/>
          <w:szCs w:val="22"/>
          <w:lang w:val="sk-SK"/>
        </w:rPr>
        <w:t>.</w:t>
      </w:r>
    </w:p>
    <w:p w:rsidR="003D3E49" w:rsidRPr="00521039" w:rsidRDefault="003D3E49" w:rsidP="00E2007E">
      <w:pPr>
        <w:rPr>
          <w:rFonts w:ascii="Times New Roman" w:hAnsi="Times New Roman"/>
          <w:sz w:val="22"/>
          <w:szCs w:val="22"/>
          <w:lang w:val="sk-SK"/>
        </w:rPr>
      </w:pPr>
    </w:p>
    <w:p w:rsidR="00020EFF" w:rsidRPr="00020EFF" w:rsidRDefault="00020EFF" w:rsidP="00020EF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2"/>
          <w:lang w:val="sk-SK"/>
        </w:rPr>
      </w:pPr>
      <w:r w:rsidRPr="00020EFF">
        <w:rPr>
          <w:rFonts w:ascii="Times New Roman" w:hAnsi="Times New Roman"/>
          <w:b/>
          <w:sz w:val="22"/>
          <w:szCs w:val="22"/>
          <w:lang w:val="sk-SK"/>
        </w:rPr>
        <w:t>Iné lieky a</w:t>
      </w:r>
      <w:r w:rsidRPr="00521039">
        <w:rPr>
          <w:rFonts w:ascii="Times New Roman" w:hAnsi="Times New Roman"/>
          <w:b/>
          <w:sz w:val="22"/>
          <w:szCs w:val="22"/>
          <w:lang w:val="sk-SK"/>
        </w:rPr>
        <w:t xml:space="preserve"> AMPICILIN </w:t>
      </w:r>
      <w:r w:rsidR="007D053C">
        <w:rPr>
          <w:rFonts w:ascii="Times New Roman" w:hAnsi="Times New Roman"/>
          <w:b/>
          <w:sz w:val="22"/>
          <w:szCs w:val="22"/>
          <w:lang w:val="sk-SK"/>
        </w:rPr>
        <w:t>BBP</w:t>
      </w:r>
    </w:p>
    <w:p w:rsidR="00020EFF" w:rsidRPr="00020EFF" w:rsidRDefault="00020EFF" w:rsidP="00020EF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</w:p>
    <w:p w:rsidR="00020EFF" w:rsidRPr="00020EFF" w:rsidRDefault="00020EFF" w:rsidP="00020EFF">
      <w:pPr>
        <w:rPr>
          <w:rFonts w:ascii="Times New Roman" w:hAnsi="Times New Roman"/>
          <w:sz w:val="22"/>
          <w:szCs w:val="22"/>
          <w:lang w:val="sk-SK"/>
        </w:rPr>
      </w:pPr>
      <w:r w:rsidRPr="00020EFF">
        <w:rPr>
          <w:rFonts w:ascii="Times New Roman" w:hAnsi="Times New Roman"/>
          <w:sz w:val="22"/>
          <w:szCs w:val="22"/>
          <w:lang w:val="sk-SK"/>
        </w:rPr>
        <w:t>Ak teraz používate alebo ste v poslednom čase používali, či práve budete používať ďalšie lieky, povedzte to svojmu lekárovi alebo lekárnikovi.</w:t>
      </w:r>
    </w:p>
    <w:p w:rsidR="00EE3F98" w:rsidRPr="00521039" w:rsidRDefault="00EE3F98" w:rsidP="00EE3F98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lastRenderedPageBreak/>
        <w:t xml:space="preserve">Skrížená </w:t>
      </w:r>
      <w:r w:rsidR="00875D57">
        <w:rPr>
          <w:rFonts w:ascii="Times New Roman" w:hAnsi="Times New Roman"/>
          <w:sz w:val="22"/>
          <w:szCs w:val="22"/>
          <w:lang w:val="sk-SK"/>
        </w:rPr>
        <w:t>citlivosť</w:t>
      </w:r>
      <w:r w:rsidR="00875D57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>penicilínov a 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cefalosporínov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. Pri súčasnom podávaní s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bakteriostatickými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antibiotikami (tetracyklínmi,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chloramfenikolom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erytromycínom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a ďalšími) dochádza k</w:t>
      </w:r>
      <w:r w:rsidR="00B9610E">
        <w:rPr>
          <w:rFonts w:ascii="Times New Roman" w:hAnsi="Times New Roman"/>
          <w:sz w:val="22"/>
          <w:szCs w:val="22"/>
          <w:lang w:val="sk-SK"/>
        </w:rPr>
        <w:t> </w:t>
      </w:r>
      <w:r w:rsidRPr="00521039">
        <w:rPr>
          <w:rFonts w:ascii="Times New Roman" w:hAnsi="Times New Roman"/>
          <w:sz w:val="22"/>
          <w:szCs w:val="22"/>
          <w:lang w:val="sk-SK"/>
        </w:rPr>
        <w:t>antagonizmu</w:t>
      </w:r>
      <w:r w:rsidR="00B9610E">
        <w:rPr>
          <w:rFonts w:ascii="Times New Roman" w:hAnsi="Times New Roman"/>
          <w:sz w:val="22"/>
          <w:szCs w:val="22"/>
          <w:lang w:val="sk-SK"/>
        </w:rPr>
        <w:t xml:space="preserve"> (protichodné pôsobenie)</w:t>
      </w:r>
      <w:r w:rsidRPr="00521039">
        <w:rPr>
          <w:rFonts w:ascii="Times New Roman" w:hAnsi="Times New Roman"/>
          <w:sz w:val="22"/>
          <w:szCs w:val="22"/>
          <w:lang w:val="sk-SK"/>
        </w:rPr>
        <w:t>. Kombinácia s 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aminoglykozidmi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naopak </w:t>
      </w:r>
      <w:r w:rsidR="00F87C65">
        <w:rPr>
          <w:rFonts w:ascii="Times New Roman" w:hAnsi="Times New Roman"/>
          <w:sz w:val="22"/>
          <w:szCs w:val="22"/>
          <w:lang w:val="sk-SK"/>
        </w:rPr>
        <w:t>zosilňuje účinok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a rozširuje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antimikrobiálne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spektrum, čo sa využíva v </w:t>
      </w:r>
      <w:r w:rsidR="00F87C65">
        <w:rPr>
          <w:rFonts w:ascii="Times New Roman" w:hAnsi="Times New Roman"/>
          <w:sz w:val="22"/>
          <w:szCs w:val="22"/>
          <w:lang w:val="sk-SK"/>
        </w:rPr>
        <w:t>liečbe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. Súčasné podávanie diuretík </w:t>
      </w:r>
      <w:r w:rsidR="00EC1403">
        <w:rPr>
          <w:rFonts w:ascii="Times New Roman" w:hAnsi="Times New Roman"/>
          <w:sz w:val="22"/>
          <w:szCs w:val="22"/>
          <w:lang w:val="sk-SK"/>
        </w:rPr>
        <w:t xml:space="preserve">(lieky na odvodenie)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znižuje plazmatickú koncentráciu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:rsidR="00EE3F98" w:rsidRPr="00521039" w:rsidRDefault="00EE3F98" w:rsidP="00EE3F98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môže znižovať účinok </w:t>
      </w:r>
      <w:r w:rsidR="00B9610E">
        <w:rPr>
          <w:rFonts w:ascii="Times New Roman" w:hAnsi="Times New Roman"/>
          <w:sz w:val="22"/>
          <w:szCs w:val="22"/>
          <w:lang w:val="sk-SK"/>
        </w:rPr>
        <w:t>ústami</w:t>
      </w:r>
      <w:r w:rsidR="005A08B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9610E">
        <w:rPr>
          <w:rFonts w:ascii="Times New Roman" w:hAnsi="Times New Roman"/>
          <w:sz w:val="22"/>
          <w:szCs w:val="22"/>
          <w:lang w:val="sk-SK"/>
        </w:rPr>
        <w:t>užívanej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antikoncepcie obsahujúcej estrogén vzhľadom k svojmu vplyvu na bakteriálnu flóru </w:t>
      </w:r>
      <w:r w:rsidRPr="002851D6">
        <w:rPr>
          <w:rFonts w:ascii="Times New Roman" w:hAnsi="Times New Roman"/>
          <w:sz w:val="22"/>
          <w:szCs w:val="22"/>
          <w:lang w:val="sk-SK"/>
        </w:rPr>
        <w:t>zažívacie</w:t>
      </w:r>
      <w:r w:rsidR="002851D6">
        <w:rPr>
          <w:rFonts w:ascii="Times New Roman" w:hAnsi="Times New Roman"/>
          <w:sz w:val="22"/>
          <w:szCs w:val="22"/>
          <w:lang w:val="sk-SK"/>
        </w:rPr>
        <w:t>ho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traktu.</w:t>
      </w:r>
    </w:p>
    <w:p w:rsidR="00EE3F98" w:rsidRPr="00521039" w:rsidRDefault="00EE3F98" w:rsidP="00EE3F98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Pri podávaní s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allopurinolom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vzrastá frekvencia výskytu alergických kožných reakcií.</w:t>
      </w:r>
    </w:p>
    <w:p w:rsidR="00EE3F98" w:rsidRDefault="00EE3F98" w:rsidP="00EE3F98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Súčasné podávanie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probenecidu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spomaľuje vylučovanie; u detí do 2 rokov je však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probenecid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kontraindikovaný. U pacientov liečených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antikoagulanciami</w:t>
      </w:r>
      <w:proofErr w:type="spellEnd"/>
      <w:r w:rsidR="00EC1403">
        <w:rPr>
          <w:rFonts w:ascii="Times New Roman" w:hAnsi="Times New Roman"/>
          <w:sz w:val="22"/>
          <w:szCs w:val="22"/>
          <w:lang w:val="sk-SK"/>
        </w:rPr>
        <w:t xml:space="preserve"> (lieky proti zrážaniu krvi)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je možnosť predĺženia krvácavosti.</w:t>
      </w:r>
    </w:p>
    <w:p w:rsidR="00A07F9E" w:rsidRDefault="00A07F9E" w:rsidP="00EE3F98">
      <w:pPr>
        <w:rPr>
          <w:rFonts w:ascii="Times New Roman" w:hAnsi="Times New Roman"/>
          <w:sz w:val="22"/>
          <w:szCs w:val="22"/>
          <w:lang w:val="sk-SK"/>
        </w:rPr>
      </w:pPr>
    </w:p>
    <w:p w:rsidR="00A07F9E" w:rsidRPr="00521039" w:rsidRDefault="00A07F9E" w:rsidP="00A07F9E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521039">
        <w:rPr>
          <w:rFonts w:ascii="Times New Roman" w:hAnsi="Times New Roman"/>
          <w:b w:val="0"/>
          <w:sz w:val="22"/>
          <w:szCs w:val="22"/>
        </w:rPr>
        <w:t xml:space="preserve">Pri súčasnom </w:t>
      </w:r>
      <w:proofErr w:type="spellStart"/>
      <w:r w:rsidR="00183837">
        <w:rPr>
          <w:rFonts w:ascii="Times New Roman" w:hAnsi="Times New Roman"/>
          <w:b w:val="0"/>
          <w:sz w:val="22"/>
          <w:szCs w:val="22"/>
        </w:rPr>
        <w:t>vnútrožilovom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podaní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betalaktámových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antibiotík a 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aminoglykozidov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môže </w:t>
      </w:r>
      <w:r w:rsidR="00183837">
        <w:rPr>
          <w:rFonts w:ascii="Times New Roman" w:hAnsi="Times New Roman"/>
          <w:b w:val="0"/>
          <w:sz w:val="22"/>
          <w:szCs w:val="22"/>
        </w:rPr>
        <w:t>dôjsť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 k vzájomn</w:t>
      </w:r>
      <w:r w:rsidR="00183837">
        <w:rPr>
          <w:rFonts w:ascii="Times New Roman" w:hAnsi="Times New Roman"/>
          <w:b w:val="0"/>
          <w:sz w:val="22"/>
          <w:szCs w:val="22"/>
        </w:rPr>
        <w:t>ému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 </w:t>
      </w:r>
      <w:r w:rsidR="00183837">
        <w:rPr>
          <w:rFonts w:ascii="Times New Roman" w:hAnsi="Times New Roman"/>
          <w:b w:val="0"/>
          <w:sz w:val="22"/>
          <w:szCs w:val="22"/>
        </w:rPr>
        <w:t xml:space="preserve">rušeniu ich </w:t>
      </w:r>
      <w:r w:rsidR="000F2870">
        <w:rPr>
          <w:rFonts w:ascii="Times New Roman" w:hAnsi="Times New Roman"/>
          <w:b w:val="0"/>
          <w:sz w:val="22"/>
          <w:szCs w:val="22"/>
        </w:rPr>
        <w:t>účinku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. Pokiaľ sú tieto antibakteriálne látky </w:t>
      </w:r>
      <w:r w:rsidR="00183837">
        <w:rPr>
          <w:rFonts w:ascii="Times New Roman" w:hAnsi="Times New Roman"/>
          <w:b w:val="0"/>
          <w:sz w:val="22"/>
          <w:szCs w:val="22"/>
        </w:rPr>
        <w:t>podané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 následne po sebe, mali by byť </w:t>
      </w:r>
      <w:r w:rsidR="00183837">
        <w:rPr>
          <w:rFonts w:ascii="Times New Roman" w:hAnsi="Times New Roman"/>
          <w:b w:val="0"/>
          <w:sz w:val="22"/>
          <w:szCs w:val="22"/>
        </w:rPr>
        <w:t>podané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 na rôzne miesta v odstupe aspoň 1 hodiny. Tieto skupiny antibiotík by sa nemali miešať v rovnakej infúznej fľaši či podávať rovnakou infúznou hadičkou. </w:t>
      </w:r>
      <w:proofErr w:type="spellStart"/>
      <w:r w:rsidRPr="00521039">
        <w:rPr>
          <w:rFonts w:ascii="Times New Roman" w:hAnsi="Times New Roman"/>
          <w:b w:val="0"/>
          <w:sz w:val="22"/>
          <w:szCs w:val="22"/>
        </w:rPr>
        <w:t>Ampicilín</w:t>
      </w:r>
      <w:proofErr w:type="spellEnd"/>
      <w:r w:rsidRPr="00521039">
        <w:rPr>
          <w:rFonts w:ascii="Times New Roman" w:hAnsi="Times New Roman"/>
          <w:b w:val="0"/>
          <w:sz w:val="22"/>
          <w:szCs w:val="22"/>
        </w:rPr>
        <w:t xml:space="preserve"> by nemal byť pridávaný do infúznych roztokov, pretože je zásaditý a môže zvyšovať pH na hodnotu 8,0 a viac.</w:t>
      </w:r>
    </w:p>
    <w:p w:rsidR="00020EFF" w:rsidRPr="00020EFF" w:rsidRDefault="00020EFF" w:rsidP="00020EFF">
      <w:p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</w:p>
    <w:p w:rsidR="0098428C" w:rsidRPr="002851D6" w:rsidRDefault="00BE544E" w:rsidP="00A159E7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521039">
        <w:rPr>
          <w:rFonts w:ascii="Times New Roman" w:hAnsi="Times New Roman"/>
          <w:sz w:val="22"/>
          <w:szCs w:val="22"/>
        </w:rPr>
        <w:t xml:space="preserve">AMPICILIN </w:t>
      </w:r>
      <w:r w:rsidR="007D053C">
        <w:rPr>
          <w:rFonts w:ascii="Times New Roman" w:hAnsi="Times New Roman"/>
          <w:sz w:val="22"/>
          <w:szCs w:val="22"/>
        </w:rPr>
        <w:t>BBP</w:t>
      </w:r>
      <w:r w:rsidRPr="00521039">
        <w:rPr>
          <w:rFonts w:ascii="Times New Roman" w:hAnsi="Times New Roman"/>
          <w:sz w:val="22"/>
          <w:szCs w:val="22"/>
        </w:rPr>
        <w:t xml:space="preserve"> a jedlo, nápoje a alkohol</w:t>
      </w:r>
    </w:p>
    <w:p w:rsidR="00BE544E" w:rsidRPr="00521039" w:rsidRDefault="00BE544E" w:rsidP="00BE544E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>Po dobu podávania lieku sa nesmú konzumovať alkoholické nápoje.</w:t>
      </w:r>
    </w:p>
    <w:p w:rsidR="0098428C" w:rsidRPr="00521039" w:rsidRDefault="0098428C" w:rsidP="00A159E7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F37FB0" w:rsidRPr="00F37FB0" w:rsidRDefault="00F37FB0" w:rsidP="00F37FB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2"/>
          <w:lang w:val="sk-SK"/>
        </w:rPr>
      </w:pPr>
      <w:r w:rsidRPr="00F37FB0">
        <w:rPr>
          <w:rFonts w:ascii="Times New Roman" w:hAnsi="Times New Roman"/>
          <w:b/>
          <w:sz w:val="22"/>
          <w:szCs w:val="22"/>
          <w:lang w:val="sk-SK"/>
        </w:rPr>
        <w:t>Tehotenstvo, dojčenie a plodnosť</w:t>
      </w:r>
    </w:p>
    <w:p w:rsidR="00F37FB0" w:rsidRDefault="00F37FB0" w:rsidP="00F37FB0">
      <w:pPr>
        <w:rPr>
          <w:rFonts w:ascii="Times New Roman" w:hAnsi="Times New Roman"/>
          <w:sz w:val="22"/>
          <w:szCs w:val="22"/>
          <w:lang w:val="sk-SK"/>
        </w:rPr>
      </w:pPr>
      <w:r w:rsidRPr="00F37FB0">
        <w:rPr>
          <w:rFonts w:ascii="Times New Roman" w:hAnsi="Times New Roman"/>
          <w:sz w:val="22"/>
          <w:szCs w:val="22"/>
          <w:lang w:val="sk-SK"/>
        </w:rPr>
        <w:t>Ak ste tehotná alebo dojčíte, ak si myslíte, že ste tehotná, alebo ak plánujete otehotnieť, poraďte sa so svojím lekárom alebo lekárnikom predtým, ako začnete užívať tento liek.</w:t>
      </w:r>
    </w:p>
    <w:p w:rsidR="00183837" w:rsidRDefault="00183837" w:rsidP="00183837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 w:rsidDel="0066631C">
        <w:rPr>
          <w:rFonts w:ascii="Times New Roman" w:hAnsi="Times New Roman"/>
          <w:b w:val="0"/>
          <w:sz w:val="22"/>
          <w:szCs w:val="22"/>
        </w:rPr>
        <w:t xml:space="preserve">Penicilíny prechádzajú placentárnou bariérou a v malom množstve sa vylučujú do </w:t>
      </w:r>
      <w:r>
        <w:rPr>
          <w:rFonts w:ascii="Times New Roman" w:hAnsi="Times New Roman"/>
          <w:b w:val="0"/>
          <w:sz w:val="22"/>
          <w:szCs w:val="22"/>
        </w:rPr>
        <w:t>materského</w:t>
      </w:r>
      <w:r w:rsidRPr="008B38EC" w:rsidDel="0066631C">
        <w:rPr>
          <w:rFonts w:ascii="Times New Roman" w:hAnsi="Times New Roman"/>
          <w:b w:val="0"/>
          <w:sz w:val="22"/>
          <w:szCs w:val="22"/>
        </w:rPr>
        <w:t xml:space="preserve"> mlieka. 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Aj keď reprodukčné štúdie u cicavcov nepreukázali žiadne známky poruchy </w:t>
      </w:r>
      <w:r>
        <w:rPr>
          <w:rFonts w:ascii="Times New Roman" w:hAnsi="Times New Roman"/>
          <w:b w:val="0"/>
          <w:sz w:val="22"/>
          <w:szCs w:val="22"/>
        </w:rPr>
        <w:t>plodnosti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 alebo poškodenia plodu, mal by byť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ampicilín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používaný počas tehotenstva len keď je to nevyhnutné. </w:t>
      </w:r>
    </w:p>
    <w:p w:rsidR="00BE544E" w:rsidRPr="00521039" w:rsidRDefault="00BE544E" w:rsidP="00A159E7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455A3" w:rsidRPr="001455A3" w:rsidRDefault="001455A3" w:rsidP="001455A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2"/>
          <w:lang w:val="sk-SK"/>
        </w:rPr>
      </w:pPr>
      <w:r w:rsidRPr="001455A3">
        <w:rPr>
          <w:rFonts w:ascii="Times New Roman" w:hAnsi="Times New Roman"/>
          <w:b/>
          <w:sz w:val="22"/>
          <w:szCs w:val="22"/>
          <w:lang w:val="sk-SK"/>
        </w:rPr>
        <w:t>Vedenie vozidiel a obsluha strojov</w:t>
      </w:r>
    </w:p>
    <w:p w:rsidR="00474787" w:rsidRPr="00474787" w:rsidRDefault="002F58D5" w:rsidP="00474787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4"/>
          <w:lang w:val="sk-SK"/>
        </w:rPr>
      </w:pPr>
      <w:r w:rsidRPr="002F58D5">
        <w:rPr>
          <w:rFonts w:ascii="Times New Roman" w:hAnsi="Times New Roman"/>
          <w:color w:val="000000"/>
          <w:sz w:val="22"/>
          <w:szCs w:val="24"/>
          <w:lang w:val="sk-SK"/>
        </w:rPr>
        <w:t>Údaj</w:t>
      </w:r>
      <w:r w:rsidR="0023245B">
        <w:rPr>
          <w:rFonts w:ascii="Times New Roman" w:hAnsi="Times New Roman"/>
          <w:color w:val="000000"/>
          <w:sz w:val="22"/>
          <w:szCs w:val="24"/>
          <w:lang w:val="sk-SK"/>
        </w:rPr>
        <w:t>e</w:t>
      </w:r>
      <w:r w:rsidRPr="002F58D5">
        <w:rPr>
          <w:rFonts w:ascii="Times New Roman" w:hAnsi="Times New Roman"/>
          <w:color w:val="000000"/>
          <w:sz w:val="22"/>
          <w:szCs w:val="24"/>
          <w:lang w:val="sk-SK"/>
        </w:rPr>
        <w:t xml:space="preserve"> o vplyv</w:t>
      </w:r>
      <w:r w:rsidR="0023245B">
        <w:rPr>
          <w:rFonts w:ascii="Times New Roman" w:hAnsi="Times New Roman"/>
          <w:color w:val="000000"/>
          <w:sz w:val="22"/>
          <w:szCs w:val="24"/>
          <w:lang w:val="sk-SK"/>
        </w:rPr>
        <w:t>e</w:t>
      </w:r>
      <w:r w:rsidRPr="002F58D5">
        <w:rPr>
          <w:rFonts w:ascii="Times New Roman" w:hAnsi="Times New Roman"/>
          <w:color w:val="000000"/>
          <w:sz w:val="22"/>
          <w:szCs w:val="24"/>
          <w:lang w:val="sk-SK"/>
        </w:rPr>
        <w:t xml:space="preserve"> </w:t>
      </w:r>
      <w:proofErr w:type="spellStart"/>
      <w:r w:rsidRPr="002F58D5">
        <w:rPr>
          <w:rFonts w:ascii="Times New Roman" w:hAnsi="Times New Roman"/>
          <w:color w:val="000000"/>
          <w:sz w:val="22"/>
          <w:szCs w:val="24"/>
          <w:lang w:val="sk-SK"/>
        </w:rPr>
        <w:t>ampicilínu</w:t>
      </w:r>
      <w:proofErr w:type="spellEnd"/>
      <w:r w:rsidRPr="002F58D5">
        <w:rPr>
          <w:rFonts w:ascii="Times New Roman" w:hAnsi="Times New Roman"/>
          <w:color w:val="000000"/>
          <w:sz w:val="22"/>
          <w:szCs w:val="24"/>
          <w:lang w:val="sk-SK"/>
        </w:rPr>
        <w:t xml:space="preserve"> na schopnos</w:t>
      </w:r>
      <w:r w:rsidRPr="002F58D5">
        <w:rPr>
          <w:rFonts w:ascii="Times New Roman" w:hAnsi="Times New Roman" w:hint="eastAsia"/>
          <w:color w:val="000000"/>
          <w:sz w:val="22"/>
          <w:szCs w:val="24"/>
          <w:lang w:val="sk-SK"/>
        </w:rPr>
        <w:t>ť</w:t>
      </w:r>
      <w:r w:rsidRPr="002F58D5">
        <w:rPr>
          <w:rFonts w:ascii="Times New Roman" w:hAnsi="Times New Roman"/>
          <w:color w:val="000000"/>
          <w:sz w:val="22"/>
          <w:szCs w:val="24"/>
          <w:lang w:val="sk-SK"/>
        </w:rPr>
        <w:t xml:space="preserve"> vies</w:t>
      </w:r>
      <w:r w:rsidRPr="002F58D5">
        <w:rPr>
          <w:rFonts w:ascii="Times New Roman" w:hAnsi="Times New Roman" w:hint="eastAsia"/>
          <w:color w:val="000000"/>
          <w:sz w:val="22"/>
          <w:szCs w:val="24"/>
          <w:lang w:val="sk-SK"/>
        </w:rPr>
        <w:t>ť</w:t>
      </w:r>
      <w:r w:rsidRPr="002F58D5">
        <w:rPr>
          <w:rFonts w:ascii="Times New Roman" w:hAnsi="Times New Roman"/>
          <w:color w:val="000000"/>
          <w:sz w:val="22"/>
          <w:szCs w:val="24"/>
          <w:lang w:val="sk-SK"/>
        </w:rPr>
        <w:t xml:space="preserve"> vozidlá a obsluhova</w:t>
      </w:r>
      <w:r w:rsidRPr="002F58D5">
        <w:rPr>
          <w:rFonts w:ascii="Times New Roman" w:hAnsi="Times New Roman" w:hint="eastAsia"/>
          <w:color w:val="000000"/>
          <w:sz w:val="22"/>
          <w:szCs w:val="24"/>
          <w:lang w:val="sk-SK"/>
        </w:rPr>
        <w:t>ť</w:t>
      </w:r>
      <w:r w:rsidRPr="002F58D5">
        <w:rPr>
          <w:rFonts w:ascii="Times New Roman" w:hAnsi="Times New Roman"/>
          <w:color w:val="000000"/>
          <w:sz w:val="22"/>
          <w:szCs w:val="24"/>
          <w:lang w:val="sk-SK"/>
        </w:rPr>
        <w:t xml:space="preserve"> stroje nie sú k dispozícii.</w:t>
      </w:r>
    </w:p>
    <w:p w:rsidR="001455A3" w:rsidRDefault="001455A3" w:rsidP="00A159E7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A64164" w:rsidRPr="00A64164" w:rsidRDefault="00CD24DA" w:rsidP="00A159E7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CD24DA">
        <w:rPr>
          <w:rFonts w:ascii="Times New Roman" w:hAnsi="Times New Roman"/>
          <w:sz w:val="22"/>
          <w:szCs w:val="22"/>
        </w:rPr>
        <w:t xml:space="preserve">AMPICILIN </w:t>
      </w:r>
      <w:r w:rsidR="007D053C">
        <w:rPr>
          <w:rFonts w:ascii="Times New Roman" w:hAnsi="Times New Roman"/>
          <w:sz w:val="22"/>
          <w:szCs w:val="22"/>
        </w:rPr>
        <w:t>BBP</w:t>
      </w:r>
      <w:r w:rsidRPr="00CD24DA">
        <w:rPr>
          <w:rFonts w:ascii="Times New Roman" w:hAnsi="Times New Roman"/>
          <w:sz w:val="22"/>
          <w:szCs w:val="22"/>
        </w:rPr>
        <w:t xml:space="preserve"> obsahuje sodík</w:t>
      </w:r>
    </w:p>
    <w:p w:rsidR="00474787" w:rsidRPr="00474787" w:rsidRDefault="00474787" w:rsidP="0047478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474787">
        <w:rPr>
          <w:rFonts w:ascii="Times New Roman" w:hAnsi="Times New Roman"/>
          <w:color w:val="000000"/>
          <w:sz w:val="22"/>
          <w:szCs w:val="22"/>
          <w:lang w:val="sk-SK"/>
        </w:rPr>
        <w:t xml:space="preserve">Tento liek obsahuje </w:t>
      </w:r>
      <w:r w:rsidR="00CD24DA" w:rsidRPr="00CD24DA">
        <w:rPr>
          <w:rFonts w:ascii="Times New Roman" w:hAnsi="Times New Roman"/>
          <w:sz w:val="22"/>
          <w:szCs w:val="22"/>
          <w:lang w:val="sk-SK"/>
        </w:rPr>
        <w:t xml:space="preserve">2,7 mmol </w:t>
      </w:r>
      <w:r w:rsidRPr="00474787">
        <w:rPr>
          <w:rFonts w:ascii="Times New Roman" w:hAnsi="Times New Roman"/>
          <w:color w:val="000000"/>
          <w:sz w:val="22"/>
          <w:szCs w:val="22"/>
          <w:lang w:val="sk-SK"/>
        </w:rPr>
        <w:t xml:space="preserve">sodíka v dávke </w:t>
      </w:r>
      <w:smartTag w:uri="urn:schemas-microsoft-com:office:smarttags" w:element="metricconverter">
        <w:smartTagPr>
          <w:attr w:name="ProductID" w:val="1 g"/>
        </w:smartTagPr>
        <w:r w:rsidRPr="00474787">
          <w:rPr>
            <w:rFonts w:ascii="Times New Roman" w:hAnsi="Times New Roman"/>
            <w:color w:val="000000"/>
            <w:sz w:val="22"/>
            <w:szCs w:val="22"/>
            <w:lang w:val="sk-SK"/>
          </w:rPr>
          <w:t>1 g</w:t>
        </w:r>
      </w:smartTag>
      <w:r w:rsidRPr="00474787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093194">
        <w:rPr>
          <w:rFonts w:ascii="Times New Roman" w:hAnsi="Times New Roman"/>
          <w:color w:val="000000"/>
          <w:sz w:val="22"/>
          <w:szCs w:val="22"/>
          <w:lang w:val="sk-SK"/>
        </w:rPr>
        <w:t xml:space="preserve">AMPICILIN </w:t>
      </w:r>
      <w:r w:rsidR="007D053C">
        <w:rPr>
          <w:rFonts w:ascii="Times New Roman" w:hAnsi="Times New Roman"/>
          <w:color w:val="000000"/>
          <w:sz w:val="22"/>
          <w:szCs w:val="22"/>
          <w:lang w:val="sk-SK"/>
        </w:rPr>
        <w:t>BBP</w:t>
      </w:r>
      <w:r w:rsidRPr="00474787">
        <w:rPr>
          <w:rFonts w:ascii="Times New Roman" w:hAnsi="Times New Roman"/>
          <w:color w:val="000000"/>
          <w:sz w:val="22"/>
          <w:szCs w:val="22"/>
          <w:lang w:val="sk-SK"/>
        </w:rPr>
        <w:t>. Má sa vziať do úvahy u pacientov so zníženou funkciou obličiek alebo u pacientov na diéte s kontrolovaným obsahom sodíka.</w:t>
      </w:r>
    </w:p>
    <w:p w:rsidR="00474787" w:rsidRPr="00521039" w:rsidRDefault="00474787" w:rsidP="00A159E7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455A3" w:rsidRPr="00521039" w:rsidRDefault="001455A3" w:rsidP="00A159E7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AC6D9B" w:rsidRPr="00AC6D9B" w:rsidRDefault="00AC6D9B" w:rsidP="00AC6D9B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Times New Roman" w:hAnsi="Times New Roman"/>
          <w:b/>
          <w:sz w:val="22"/>
          <w:szCs w:val="22"/>
          <w:lang w:val="sk-SK"/>
        </w:rPr>
      </w:pPr>
      <w:r w:rsidRPr="00AC6D9B">
        <w:rPr>
          <w:rFonts w:ascii="Times New Roman" w:hAnsi="Times New Roman"/>
          <w:b/>
          <w:sz w:val="22"/>
          <w:szCs w:val="22"/>
          <w:lang w:val="sk-SK"/>
        </w:rPr>
        <w:t xml:space="preserve">Ako používať </w:t>
      </w:r>
      <w:r w:rsidRPr="00521039">
        <w:rPr>
          <w:rFonts w:ascii="Times New Roman" w:hAnsi="Times New Roman"/>
          <w:b/>
          <w:sz w:val="22"/>
          <w:szCs w:val="22"/>
          <w:lang w:val="sk-SK"/>
        </w:rPr>
        <w:t xml:space="preserve">AMPICILIN </w:t>
      </w:r>
      <w:r w:rsidR="007D053C">
        <w:rPr>
          <w:rFonts w:ascii="Times New Roman" w:hAnsi="Times New Roman"/>
          <w:b/>
          <w:sz w:val="22"/>
          <w:szCs w:val="22"/>
          <w:lang w:val="sk-SK"/>
        </w:rPr>
        <w:t>BBP</w:t>
      </w:r>
    </w:p>
    <w:p w:rsidR="00AC6D9B" w:rsidRPr="00AC6D9B" w:rsidRDefault="00AC6D9B" w:rsidP="00AC6D9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</w:p>
    <w:p w:rsidR="00AC6D9B" w:rsidRPr="00AC6D9B" w:rsidRDefault="00AC6D9B" w:rsidP="00AC6D9B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  <w:lang w:val="sk-SK"/>
        </w:rPr>
      </w:pPr>
      <w:r w:rsidRPr="00AC6D9B">
        <w:rPr>
          <w:rFonts w:ascii="Times New Roman" w:hAnsi="Times New Roman"/>
          <w:noProof/>
          <w:sz w:val="22"/>
          <w:szCs w:val="22"/>
          <w:lang w:val="sk-SK"/>
        </w:rPr>
        <w:t>Vždy používajte tento liek presne tak, ako vám povedal váš lekár alebo lekárnik. Ak si nie ste niečím istý, overte si to u svojho lekára alebo lekárnika.</w:t>
      </w:r>
    </w:p>
    <w:p w:rsidR="001455A3" w:rsidRPr="00521039" w:rsidRDefault="001455A3" w:rsidP="00A159E7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AC6D9B" w:rsidRPr="00521039" w:rsidRDefault="002F58D5" w:rsidP="00AC6D9B">
      <w:pPr>
        <w:pStyle w:val="Zarkazkladnhotextu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Injekčne</w:t>
      </w:r>
      <w:r w:rsidRPr="00521039">
        <w:rPr>
          <w:rFonts w:ascii="Times New Roman" w:hAnsi="Times New Roman"/>
          <w:sz w:val="22"/>
          <w:szCs w:val="22"/>
        </w:rPr>
        <w:t xml:space="preserve"> </w:t>
      </w:r>
      <w:r w:rsidR="00AC6D9B" w:rsidRPr="00521039">
        <w:rPr>
          <w:rFonts w:ascii="Times New Roman" w:hAnsi="Times New Roman"/>
          <w:sz w:val="22"/>
          <w:szCs w:val="22"/>
        </w:rPr>
        <w:t xml:space="preserve">sa podáva </w:t>
      </w:r>
      <w:proofErr w:type="spellStart"/>
      <w:r w:rsidR="00AC6D9B" w:rsidRPr="00521039">
        <w:rPr>
          <w:rFonts w:ascii="Times New Roman" w:hAnsi="Times New Roman"/>
          <w:sz w:val="22"/>
          <w:szCs w:val="22"/>
        </w:rPr>
        <w:t>ampicilín</w:t>
      </w:r>
      <w:proofErr w:type="spellEnd"/>
      <w:r w:rsidR="00AC6D9B" w:rsidRPr="00521039">
        <w:rPr>
          <w:rFonts w:ascii="Times New Roman" w:hAnsi="Times New Roman"/>
          <w:sz w:val="22"/>
          <w:szCs w:val="22"/>
        </w:rPr>
        <w:t xml:space="preserve"> predovšetkým pri ťažkých infekciách, kedy sa musia použiť vysoké dávky, prípadne na začatie liečby, v ktorej sa pokračuje </w:t>
      </w:r>
      <w:r w:rsidR="00A24CF2">
        <w:rPr>
          <w:rFonts w:ascii="Times New Roman" w:hAnsi="Times New Roman"/>
          <w:sz w:val="22"/>
          <w:szCs w:val="22"/>
        </w:rPr>
        <w:t>ústnym</w:t>
      </w:r>
      <w:r w:rsidR="00A24CF2" w:rsidRPr="00521039">
        <w:rPr>
          <w:rFonts w:ascii="Times New Roman" w:hAnsi="Times New Roman"/>
          <w:sz w:val="22"/>
          <w:szCs w:val="22"/>
        </w:rPr>
        <w:t xml:space="preserve"> </w:t>
      </w:r>
      <w:r w:rsidR="00AC6D9B" w:rsidRPr="00521039">
        <w:rPr>
          <w:rFonts w:ascii="Times New Roman" w:hAnsi="Times New Roman"/>
          <w:sz w:val="22"/>
          <w:szCs w:val="22"/>
        </w:rPr>
        <w:t xml:space="preserve">podávaním </w:t>
      </w:r>
      <w:proofErr w:type="spellStart"/>
      <w:r w:rsidR="00AC6D9B" w:rsidRPr="00521039">
        <w:rPr>
          <w:rFonts w:ascii="Times New Roman" w:hAnsi="Times New Roman"/>
          <w:sz w:val="22"/>
          <w:szCs w:val="22"/>
        </w:rPr>
        <w:t>ampicilínu</w:t>
      </w:r>
      <w:proofErr w:type="spellEnd"/>
      <w:r w:rsidR="00AC6D9B" w:rsidRPr="00521039">
        <w:rPr>
          <w:rFonts w:ascii="Times New Roman" w:hAnsi="Times New Roman"/>
          <w:sz w:val="22"/>
          <w:szCs w:val="22"/>
        </w:rPr>
        <w:t xml:space="preserve">. </w:t>
      </w:r>
    </w:p>
    <w:p w:rsidR="00AC6D9B" w:rsidRPr="00521039" w:rsidRDefault="00AC6D9B" w:rsidP="00AC6D9B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Denná dávka sa rozdeľuje na 4 dávky, ktoré sa aplikujú </w:t>
      </w:r>
      <w:r w:rsidR="00895521">
        <w:rPr>
          <w:rFonts w:ascii="Times New Roman" w:hAnsi="Times New Roman"/>
          <w:sz w:val="22"/>
          <w:szCs w:val="22"/>
          <w:lang w:val="sk-SK"/>
        </w:rPr>
        <w:t>do svalu</w:t>
      </w:r>
      <w:r w:rsidR="00117EC8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alebo </w:t>
      </w:r>
      <w:proofErr w:type="spellStart"/>
      <w:r w:rsidR="00117EC8" w:rsidRPr="00521039">
        <w:rPr>
          <w:rFonts w:ascii="Times New Roman" w:hAnsi="Times New Roman"/>
          <w:sz w:val="22"/>
          <w:szCs w:val="22"/>
          <w:lang w:val="sk-SK"/>
        </w:rPr>
        <w:t>vnútrožilovo</w:t>
      </w:r>
      <w:proofErr w:type="spellEnd"/>
      <w:r w:rsidR="00117EC8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v 6 hodinových intervaloch. Dávky do </w:t>
      </w:r>
      <w:smartTag w:uri="urn:schemas-microsoft-com:office:smarttags" w:element="metricconverter">
        <w:smartTagPr>
          <w:attr w:name="ProductID" w:val="6ﾠg"/>
        </w:smartTagPr>
        <w:r w:rsidRPr="00521039">
          <w:rPr>
            <w:rFonts w:ascii="Times New Roman" w:hAnsi="Times New Roman"/>
            <w:sz w:val="22"/>
            <w:szCs w:val="22"/>
            <w:lang w:val="sk-SK"/>
          </w:rPr>
          <w:t>6 g</w:t>
        </w:r>
      </w:smartTag>
      <w:r w:rsidRPr="00521039">
        <w:rPr>
          <w:rFonts w:ascii="Times New Roman" w:hAnsi="Times New Roman"/>
          <w:sz w:val="22"/>
          <w:szCs w:val="22"/>
          <w:lang w:val="sk-SK"/>
        </w:rPr>
        <w:t xml:space="preserve"> denne po 1</w:t>
      </w:r>
      <w:r w:rsidR="00E50A46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>-</w:t>
      </w:r>
      <w:r w:rsidR="00E50A46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>1,5 v</w:t>
      </w:r>
      <w:r w:rsidR="00E50A46">
        <w:rPr>
          <w:rFonts w:ascii="Times New Roman" w:hAnsi="Times New Roman"/>
          <w:sz w:val="22"/>
          <w:szCs w:val="22"/>
          <w:lang w:val="sk-SK"/>
        </w:rPr>
        <w:t> </w:t>
      </w:r>
      <w:r w:rsidRPr="00521039">
        <w:rPr>
          <w:rFonts w:ascii="Times New Roman" w:hAnsi="Times New Roman"/>
          <w:sz w:val="22"/>
          <w:szCs w:val="22"/>
          <w:lang w:val="sk-SK"/>
        </w:rPr>
        <w:t>4</w:t>
      </w:r>
      <w:r w:rsidR="00E50A46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>-</w:t>
      </w:r>
      <w:r w:rsidR="00E50A46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6 čiastkových dávkach, vyššie dávky nad </w:t>
      </w:r>
      <w:smartTag w:uri="urn:schemas-microsoft-com:office:smarttags" w:element="metricconverter">
        <w:smartTagPr>
          <w:attr w:name="ProductID" w:val="6ﾠg"/>
        </w:smartTagPr>
        <w:r w:rsidRPr="00521039">
          <w:rPr>
            <w:rFonts w:ascii="Times New Roman" w:hAnsi="Times New Roman"/>
            <w:sz w:val="22"/>
            <w:szCs w:val="22"/>
            <w:lang w:val="sk-SK"/>
          </w:rPr>
          <w:t>6 g</w:t>
        </w:r>
      </w:smartTag>
      <w:r w:rsidRPr="00521039">
        <w:rPr>
          <w:rFonts w:ascii="Times New Roman" w:hAnsi="Times New Roman"/>
          <w:sz w:val="22"/>
          <w:szCs w:val="22"/>
          <w:lang w:val="sk-SK"/>
        </w:rPr>
        <w:t xml:space="preserve"> denne sa podávajú </w:t>
      </w:r>
      <w:proofErr w:type="spellStart"/>
      <w:r w:rsidR="00117EC8" w:rsidRPr="00521039">
        <w:rPr>
          <w:rFonts w:ascii="Times New Roman" w:hAnsi="Times New Roman"/>
          <w:sz w:val="22"/>
          <w:szCs w:val="22"/>
          <w:lang w:val="sk-SK"/>
        </w:rPr>
        <w:t>vnútrožilovou</w:t>
      </w:r>
      <w:proofErr w:type="spellEnd"/>
      <w:r w:rsidR="00117EC8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>infúziou.</w:t>
      </w:r>
    </w:p>
    <w:p w:rsidR="00AC6D9B" w:rsidRPr="00521039" w:rsidRDefault="00AC6D9B" w:rsidP="00AC6D9B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Dospelým sa obyčajne podáva denná dávka 2 - </w:t>
      </w:r>
      <w:smartTag w:uri="urn:schemas-microsoft-com:office:smarttags" w:element="metricconverter">
        <w:smartTagPr>
          <w:attr w:name="ProductID" w:val="3ﾠg"/>
        </w:smartTagPr>
        <w:r w:rsidRPr="00521039">
          <w:rPr>
            <w:rFonts w:ascii="Times New Roman" w:hAnsi="Times New Roman"/>
            <w:sz w:val="22"/>
            <w:szCs w:val="22"/>
            <w:lang w:val="sk-SK"/>
          </w:rPr>
          <w:t>3 g</w:t>
        </w:r>
      </w:smartTag>
      <w:r w:rsidRPr="0052103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t.j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. 500 mg každých 4 až 6 hodín, pri ťažších infekciách až 200 mg/kg telesnej hmotnosti a deň. </w:t>
      </w:r>
    </w:p>
    <w:p w:rsidR="00233798" w:rsidRPr="00521039" w:rsidRDefault="00233798" w:rsidP="00AC6D9B">
      <w:pPr>
        <w:rPr>
          <w:rFonts w:ascii="Times New Roman" w:hAnsi="Times New Roman"/>
          <w:sz w:val="22"/>
          <w:szCs w:val="22"/>
          <w:lang w:val="sk-SK"/>
        </w:rPr>
      </w:pPr>
    </w:p>
    <w:p w:rsidR="00233798" w:rsidRPr="00521039" w:rsidRDefault="00CD24DA" w:rsidP="00AC6D9B">
      <w:pPr>
        <w:rPr>
          <w:rFonts w:ascii="Times New Roman" w:hAnsi="Times New Roman"/>
          <w:b/>
          <w:sz w:val="22"/>
          <w:szCs w:val="22"/>
          <w:lang w:val="sk-SK"/>
        </w:rPr>
      </w:pPr>
      <w:r w:rsidRPr="00CD24DA">
        <w:rPr>
          <w:rFonts w:ascii="Times New Roman" w:hAnsi="Times New Roman"/>
          <w:b/>
          <w:sz w:val="22"/>
          <w:szCs w:val="22"/>
          <w:lang w:val="sk-SK"/>
        </w:rPr>
        <w:t>Použitie u detí a dospievajúcich</w:t>
      </w:r>
    </w:p>
    <w:p w:rsidR="00AC6D9B" w:rsidRPr="00521039" w:rsidRDefault="00AC6D9B" w:rsidP="00AC6D9B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>Denná dávka pre deti je 1,7 - 2,3 g/m</w:t>
      </w:r>
      <w:r w:rsidRPr="00521039">
        <w:rPr>
          <w:rFonts w:ascii="Times New Roman" w:hAnsi="Times New Roman"/>
          <w:sz w:val="22"/>
          <w:szCs w:val="22"/>
          <w:vertAlign w:val="superscript"/>
          <w:lang w:val="sk-SK"/>
        </w:rPr>
        <w:t>2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telesného povrchu alebo 50 - 400 mg/kg telesnej hmotnosti, t. j.:  </w:t>
      </w:r>
    </w:p>
    <w:p w:rsidR="00AC6D9B" w:rsidRPr="00521039" w:rsidRDefault="00AC6D9B" w:rsidP="00AC6D9B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>deťom do 1 roku</w:t>
      </w:r>
      <w:r w:rsidRPr="00521039">
        <w:rPr>
          <w:rFonts w:ascii="Times New Roman" w:hAnsi="Times New Roman"/>
          <w:sz w:val="22"/>
          <w:szCs w:val="22"/>
          <w:lang w:val="sk-SK"/>
        </w:rPr>
        <w:tab/>
      </w:r>
      <w:r w:rsidRPr="00521039">
        <w:rPr>
          <w:rFonts w:ascii="Times New Roman" w:hAnsi="Times New Roman"/>
          <w:sz w:val="22"/>
          <w:szCs w:val="22"/>
          <w:lang w:val="sk-SK"/>
        </w:rPr>
        <w:tab/>
        <w:t>0,25 - 1,0 g</w:t>
      </w:r>
    </w:p>
    <w:p w:rsidR="00AC6D9B" w:rsidRPr="00521039" w:rsidRDefault="00AC6D9B" w:rsidP="00AC6D9B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>od 1 roku do 6 rokov</w:t>
      </w:r>
      <w:r w:rsidRPr="00521039">
        <w:rPr>
          <w:rFonts w:ascii="Times New Roman" w:hAnsi="Times New Roman"/>
          <w:sz w:val="22"/>
          <w:szCs w:val="22"/>
          <w:lang w:val="sk-SK"/>
        </w:rPr>
        <w:tab/>
      </w:r>
      <w:r w:rsidRPr="00521039">
        <w:rPr>
          <w:rFonts w:ascii="Times New Roman" w:hAnsi="Times New Roman"/>
          <w:sz w:val="22"/>
          <w:szCs w:val="22"/>
          <w:lang w:val="sk-SK"/>
        </w:rPr>
        <w:tab/>
        <w:t>1,0   - 2,0 g</w:t>
      </w:r>
    </w:p>
    <w:p w:rsidR="00AC6D9B" w:rsidRPr="00521039" w:rsidRDefault="00AC6D9B" w:rsidP="00521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80"/>
        </w:tabs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>od 6 do 15 rokov</w:t>
      </w:r>
      <w:r w:rsidRPr="00521039">
        <w:rPr>
          <w:rFonts w:ascii="Times New Roman" w:hAnsi="Times New Roman"/>
          <w:sz w:val="22"/>
          <w:szCs w:val="22"/>
          <w:lang w:val="sk-SK"/>
        </w:rPr>
        <w:tab/>
      </w:r>
      <w:r w:rsidRPr="00521039">
        <w:rPr>
          <w:rFonts w:ascii="Times New Roman" w:hAnsi="Times New Roman"/>
          <w:sz w:val="22"/>
          <w:szCs w:val="22"/>
          <w:lang w:val="sk-SK"/>
        </w:rPr>
        <w:tab/>
        <w:t>2,0   - 4,0 g</w:t>
      </w:r>
    </w:p>
    <w:p w:rsidR="00233798" w:rsidRPr="00521039" w:rsidRDefault="00233798" w:rsidP="00AC6D9B">
      <w:pPr>
        <w:rPr>
          <w:rFonts w:ascii="Times New Roman" w:hAnsi="Times New Roman"/>
          <w:sz w:val="22"/>
          <w:szCs w:val="22"/>
          <w:lang w:val="sk-SK"/>
        </w:rPr>
      </w:pPr>
    </w:p>
    <w:p w:rsidR="00AC6D9B" w:rsidRPr="00521039" w:rsidRDefault="00AC6D9B" w:rsidP="00AC6D9B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>Pri liečbe nosičov salmonel je denná dávka pre dospelých 6</w:t>
      </w:r>
      <w:r w:rsidR="00E50A46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>-</w:t>
      </w:r>
      <w:r w:rsidR="00E50A46">
        <w:rPr>
          <w:rFonts w:ascii="Times New Roman" w:hAnsi="Times New Roman"/>
          <w:sz w:val="22"/>
          <w:szCs w:val="22"/>
          <w:lang w:val="sk-SK"/>
        </w:rPr>
        <w:t xml:space="preserve"> </w:t>
      </w:r>
      <w:smartTag w:uri="urn:schemas-microsoft-com:office:smarttags" w:element="metricconverter">
        <w:smartTagPr>
          <w:attr w:name="ProductID" w:val="8ﾠg"/>
        </w:smartTagPr>
        <w:r w:rsidRPr="00521039">
          <w:rPr>
            <w:rFonts w:ascii="Times New Roman" w:hAnsi="Times New Roman"/>
            <w:sz w:val="22"/>
            <w:szCs w:val="22"/>
            <w:lang w:val="sk-SK"/>
          </w:rPr>
          <w:t>8 g</w:t>
        </w:r>
      </w:smartTag>
      <w:r w:rsidRPr="00521039">
        <w:rPr>
          <w:rFonts w:ascii="Times New Roman" w:hAnsi="Times New Roman"/>
          <w:sz w:val="22"/>
          <w:szCs w:val="22"/>
          <w:lang w:val="sk-SK"/>
        </w:rPr>
        <w:t xml:space="preserve"> v dávkach v 6 hodinových intervaloch, z toho 4 krát denne po 0,5 g </w:t>
      </w:r>
      <w:proofErr w:type="spellStart"/>
      <w:r w:rsidR="00E50A46">
        <w:rPr>
          <w:rFonts w:ascii="Times New Roman" w:hAnsi="Times New Roman"/>
          <w:sz w:val="22"/>
          <w:szCs w:val="22"/>
          <w:lang w:val="sk-SK"/>
        </w:rPr>
        <w:t>vnútrožilovo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v prvom týždni liečby a v ďalších týždňoch liečby </w:t>
      </w:r>
      <w:smartTag w:uri="urn:schemas-microsoft-com:office:smarttags" w:element="metricconverter">
        <w:smartTagPr>
          <w:attr w:name="ProductID" w:val="1ﾠg"/>
        </w:smartTagPr>
        <w:r w:rsidRPr="00521039">
          <w:rPr>
            <w:rFonts w:ascii="Times New Roman" w:hAnsi="Times New Roman"/>
            <w:sz w:val="22"/>
            <w:szCs w:val="22"/>
            <w:lang w:val="sk-SK"/>
          </w:rPr>
          <w:t>1 g</w:t>
        </w:r>
      </w:smartTag>
      <w:r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84547" w:rsidRPr="008977D8">
        <w:rPr>
          <w:rFonts w:ascii="Times New Roman" w:hAnsi="Times New Roman"/>
          <w:sz w:val="22"/>
          <w:szCs w:val="22"/>
          <w:lang w:val="sk-SK"/>
        </w:rPr>
        <w:t>úst</w:t>
      </w:r>
      <w:r w:rsidR="00A640AD">
        <w:rPr>
          <w:rFonts w:ascii="Times New Roman" w:hAnsi="Times New Roman"/>
          <w:sz w:val="22"/>
          <w:szCs w:val="22"/>
          <w:lang w:val="sk-SK"/>
        </w:rPr>
        <w:t>ami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v 8 hodinových intervaloch. Súčasne sa </w:t>
      </w:r>
      <w:r w:rsidR="00A24CF2">
        <w:rPr>
          <w:rFonts w:ascii="Times New Roman" w:hAnsi="Times New Roman"/>
          <w:sz w:val="22"/>
          <w:szCs w:val="22"/>
          <w:lang w:val="sk-SK"/>
        </w:rPr>
        <w:t>podáva</w:t>
      </w:r>
      <w:r w:rsidR="00A24CF2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2 krát denne po </w:t>
      </w:r>
      <w:smartTag w:uri="urn:schemas-microsoft-com:office:smarttags" w:element="metricconverter">
        <w:smartTagPr>
          <w:attr w:name="ProductID" w:val="1ﾠg"/>
        </w:smartTagPr>
        <w:r w:rsidRPr="00521039">
          <w:rPr>
            <w:rFonts w:ascii="Times New Roman" w:hAnsi="Times New Roman"/>
            <w:sz w:val="22"/>
            <w:szCs w:val="22"/>
            <w:lang w:val="sk-SK"/>
          </w:rPr>
          <w:t>1 g</w:t>
        </w:r>
      </w:smartTag>
      <w:r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probenecidu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na udržanie vysokých plazmatických hladín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>.</w:t>
      </w:r>
    </w:p>
    <w:p w:rsidR="00AC6D9B" w:rsidRPr="00521039" w:rsidRDefault="00AC6D9B" w:rsidP="00AC6D9B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Pri ťažkých bakteriálnych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meningitídach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sa denne podáva až 400 mg/kg telesnej hmotnosti </w:t>
      </w:r>
      <w:proofErr w:type="spellStart"/>
      <w:r w:rsidR="00484547">
        <w:rPr>
          <w:rFonts w:ascii="Times New Roman" w:hAnsi="Times New Roman"/>
          <w:sz w:val="22"/>
          <w:szCs w:val="22"/>
          <w:lang w:val="sk-SK"/>
        </w:rPr>
        <w:t>vnútrožilovou</w:t>
      </w:r>
      <w:proofErr w:type="spellEnd"/>
      <w:r w:rsidR="00484547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injekciou alebo infúziou. </w:t>
      </w:r>
      <w:r w:rsidR="00FF24C2" w:rsidRPr="00521039">
        <w:rPr>
          <w:rFonts w:ascii="Times New Roman" w:hAnsi="Times New Roman"/>
          <w:sz w:val="22"/>
          <w:szCs w:val="22"/>
          <w:lang w:val="sk-SK"/>
        </w:rPr>
        <w:t xml:space="preserve">AMPICILIN </w:t>
      </w:r>
      <w:r w:rsidR="007D053C">
        <w:rPr>
          <w:rFonts w:ascii="Times New Roman" w:hAnsi="Times New Roman"/>
          <w:sz w:val="22"/>
          <w:szCs w:val="22"/>
          <w:lang w:val="sk-SK"/>
        </w:rPr>
        <w:t>BBP</w:t>
      </w:r>
      <w:r w:rsidR="00FF24C2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je možno podať i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intratekálne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6455E7" w:rsidRPr="00521039">
        <w:rPr>
          <w:rFonts w:ascii="Times New Roman" w:hAnsi="Times New Roman"/>
          <w:sz w:val="22"/>
          <w:szCs w:val="22"/>
          <w:lang w:val="sk-SK"/>
        </w:rPr>
        <w:t>(</w:t>
      </w:r>
      <w:r w:rsidR="00750A68" w:rsidRPr="00521039">
        <w:rPr>
          <w:rFonts w:ascii="Times New Roman" w:hAnsi="Times New Roman"/>
          <w:sz w:val="22"/>
          <w:szCs w:val="22"/>
          <w:lang w:val="sk-SK"/>
        </w:rPr>
        <w:t xml:space="preserve">aplikácia do </w:t>
      </w:r>
      <w:r w:rsidR="006455E7" w:rsidRPr="00521039">
        <w:rPr>
          <w:rFonts w:ascii="Times New Roman" w:hAnsi="Times New Roman"/>
          <w:sz w:val="22"/>
          <w:szCs w:val="22"/>
          <w:lang w:val="sk-SK"/>
        </w:rPr>
        <w:t>priestor</w:t>
      </w:r>
      <w:r w:rsidR="00750A68" w:rsidRPr="00521039">
        <w:rPr>
          <w:rFonts w:ascii="Times New Roman" w:hAnsi="Times New Roman"/>
          <w:sz w:val="22"/>
          <w:szCs w:val="22"/>
          <w:lang w:val="sk-SK"/>
        </w:rPr>
        <w:t>u</w:t>
      </w:r>
      <w:r w:rsidR="006455E7" w:rsidRPr="00521039">
        <w:rPr>
          <w:rFonts w:ascii="Times New Roman" w:hAnsi="Times New Roman"/>
          <w:sz w:val="22"/>
          <w:szCs w:val="22"/>
          <w:lang w:val="sk-SK"/>
        </w:rPr>
        <w:t xml:space="preserve"> medzi </w:t>
      </w:r>
      <w:r w:rsidR="00521039" w:rsidRPr="00521039">
        <w:rPr>
          <w:rFonts w:ascii="Times New Roman" w:hAnsi="Times New Roman"/>
          <w:sz w:val="22"/>
          <w:szCs w:val="22"/>
          <w:lang w:val="sk-SK"/>
        </w:rPr>
        <w:t>mozgom a jemnou blanou mozgu</w:t>
      </w:r>
      <w:r w:rsidR="006455E7" w:rsidRPr="00521039">
        <w:rPr>
          <w:rFonts w:ascii="Times New Roman" w:hAnsi="Times New Roman"/>
          <w:sz w:val="22"/>
          <w:szCs w:val="22"/>
          <w:lang w:val="sk-SK"/>
        </w:rPr>
        <w:t xml:space="preserve">, </w:t>
      </w:r>
      <w:r w:rsidR="00521039" w:rsidRPr="00521039">
        <w:rPr>
          <w:rFonts w:ascii="Times New Roman" w:hAnsi="Times New Roman"/>
          <w:sz w:val="22"/>
          <w:szCs w:val="22"/>
          <w:lang w:val="sk-SK"/>
        </w:rPr>
        <w:t xml:space="preserve">alebo medzi miechou a jemnou blanou </w:t>
      </w:r>
      <w:r w:rsidR="006455E7" w:rsidRPr="00521039">
        <w:rPr>
          <w:rFonts w:ascii="Times New Roman" w:hAnsi="Times New Roman"/>
          <w:sz w:val="22"/>
          <w:szCs w:val="22"/>
          <w:lang w:val="sk-SK"/>
        </w:rPr>
        <w:t>miech</w:t>
      </w:r>
      <w:r w:rsidR="00521039" w:rsidRPr="00521039">
        <w:rPr>
          <w:rFonts w:ascii="Times New Roman" w:hAnsi="Times New Roman"/>
          <w:sz w:val="22"/>
          <w:szCs w:val="22"/>
          <w:lang w:val="sk-SK"/>
        </w:rPr>
        <w:t xml:space="preserve">y)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v jednej dennej dávke: deťom do dvoch rokov 5 - 10 mg, deťom od 2 do 12 rokov 10 - 20 mg, dospelým 20 - 40 mg. </w:t>
      </w:r>
    </w:p>
    <w:p w:rsidR="00AC6D9B" w:rsidRPr="00521039" w:rsidRDefault="00AC6D9B" w:rsidP="00AC6D9B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Pri výrazne zníženej funkcii obličiek sa udržiavacia dávka zníži na 2/3, prípadne až na 1/3 alebo sa dávkovací interval predĺži na 8 až 12 hodín. Pri </w:t>
      </w:r>
      <w:r w:rsidR="001247F8">
        <w:rPr>
          <w:rFonts w:ascii="Times New Roman" w:hAnsi="Times New Roman"/>
          <w:sz w:val="22"/>
          <w:szCs w:val="22"/>
          <w:lang w:val="sk-SK"/>
        </w:rPr>
        <w:t>poruche funkcie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pečene s predĺženým biologickým polčasom treba dávky primerane znížiť. Podávanie antibiotika pri bežných infekciách má trvať 7 - 14 dní, pri ťažkých aj dlhšie. </w:t>
      </w:r>
    </w:p>
    <w:p w:rsidR="00AC6D9B" w:rsidRPr="00521039" w:rsidRDefault="00AC6D9B" w:rsidP="00AC6D9B">
      <w:pPr>
        <w:rPr>
          <w:rFonts w:ascii="Times New Roman" w:hAnsi="Times New Roman"/>
          <w:sz w:val="22"/>
          <w:szCs w:val="22"/>
          <w:lang w:val="sk-SK"/>
        </w:rPr>
      </w:pPr>
    </w:p>
    <w:p w:rsidR="00AC6D9B" w:rsidRPr="00521039" w:rsidRDefault="00AC6D9B" w:rsidP="00AC6D9B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Injekčný roztok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sa pripravuje tesne pred použitím.</w:t>
      </w:r>
    </w:p>
    <w:p w:rsidR="00AC6D9B" w:rsidRPr="00521039" w:rsidRDefault="00AC6D9B" w:rsidP="00AC6D9B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>Na</w:t>
      </w:r>
      <w:r w:rsidR="001072C3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9C3F98">
        <w:rPr>
          <w:rFonts w:ascii="Times New Roman" w:hAnsi="Times New Roman"/>
          <w:sz w:val="22"/>
          <w:szCs w:val="22"/>
          <w:lang w:val="sk-SK"/>
        </w:rPr>
        <w:t>vnútrosvalovú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aplikáciu sa roztok pripraví rozpustením 0,5 g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v 2 až 3 ml (1,0 g v 4 až 6 ml) vody na injekciu a </w:t>
      </w:r>
      <w:r w:rsidR="004B061F">
        <w:rPr>
          <w:rFonts w:ascii="Times New Roman" w:hAnsi="Times New Roman"/>
          <w:sz w:val="22"/>
          <w:szCs w:val="22"/>
          <w:lang w:val="sk-SK"/>
        </w:rPr>
        <w:t>podáva</w:t>
      </w:r>
      <w:r w:rsidR="004B061F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sa hlboko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intragluteálne</w:t>
      </w:r>
      <w:proofErr w:type="spellEnd"/>
      <w:r w:rsidR="00F439D3">
        <w:rPr>
          <w:rFonts w:ascii="Times New Roman" w:hAnsi="Times New Roman"/>
          <w:sz w:val="22"/>
          <w:szCs w:val="22"/>
          <w:lang w:val="sk-SK"/>
        </w:rPr>
        <w:t xml:space="preserve"> (do sedacieho svalu)</w:t>
      </w:r>
      <w:r w:rsidRPr="00521039">
        <w:rPr>
          <w:rFonts w:ascii="Times New Roman" w:hAnsi="Times New Roman"/>
          <w:sz w:val="22"/>
          <w:szCs w:val="22"/>
          <w:lang w:val="sk-SK"/>
        </w:rPr>
        <w:t>.</w:t>
      </w:r>
    </w:p>
    <w:p w:rsidR="00AC6D9B" w:rsidRPr="00521039" w:rsidRDefault="00AC6D9B" w:rsidP="00AC6D9B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Injekčný roztok na pomalú </w:t>
      </w:r>
      <w:proofErr w:type="spellStart"/>
      <w:r w:rsidR="00F100FF">
        <w:rPr>
          <w:rFonts w:ascii="Times New Roman" w:hAnsi="Times New Roman"/>
          <w:sz w:val="22"/>
          <w:szCs w:val="22"/>
          <w:lang w:val="sk-SK"/>
        </w:rPr>
        <w:t>vnútrožilovú</w:t>
      </w:r>
      <w:proofErr w:type="spellEnd"/>
      <w:r w:rsidR="00F100FF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injekciu sa pripraví rozpustením 0,5 g v 10 až 30 ml (1,0 g v 20 až 60 ml)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izotonického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roztoku chloridu sodného. </w:t>
      </w:r>
    </w:p>
    <w:p w:rsidR="00AC6D9B" w:rsidRPr="00521039" w:rsidRDefault="00AC6D9B" w:rsidP="00AC6D9B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Roztok na </w:t>
      </w:r>
      <w:proofErr w:type="spellStart"/>
      <w:r w:rsidR="00F100FF">
        <w:rPr>
          <w:rFonts w:ascii="Times New Roman" w:hAnsi="Times New Roman"/>
          <w:sz w:val="22"/>
          <w:szCs w:val="22"/>
          <w:lang w:val="sk-SK"/>
        </w:rPr>
        <w:t>vnútrožilovú</w:t>
      </w:r>
      <w:proofErr w:type="spellEnd"/>
      <w:r w:rsidR="00F100FF" w:rsidRPr="0052103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infúziu sa pripraví v koncentrácii 0,2 až 3,0 % vo vhodnom infúznom roztoku. </w:t>
      </w:r>
    </w:p>
    <w:p w:rsidR="00AC6D9B" w:rsidRPr="00521039" w:rsidRDefault="00AC6D9B" w:rsidP="00AC6D9B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Roztok na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intratekálnu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aplikáciu </w:t>
      </w:r>
      <w:r w:rsidR="007401C4">
        <w:rPr>
          <w:rFonts w:ascii="Times New Roman" w:hAnsi="Times New Roman"/>
          <w:sz w:val="22"/>
          <w:szCs w:val="22"/>
          <w:lang w:val="sk-SK"/>
        </w:rPr>
        <w:t>(</w:t>
      </w:r>
      <w:r w:rsidR="007401C4" w:rsidRPr="00521039">
        <w:rPr>
          <w:rFonts w:ascii="Times New Roman" w:hAnsi="Times New Roman"/>
          <w:sz w:val="22"/>
          <w:szCs w:val="22"/>
          <w:lang w:val="sk-SK"/>
        </w:rPr>
        <w:t>aplikáci</w:t>
      </w:r>
      <w:r w:rsidR="007401C4">
        <w:rPr>
          <w:rFonts w:ascii="Times New Roman" w:hAnsi="Times New Roman"/>
          <w:sz w:val="22"/>
          <w:szCs w:val="22"/>
          <w:lang w:val="sk-SK"/>
        </w:rPr>
        <w:t>u</w:t>
      </w:r>
      <w:r w:rsidR="007401C4" w:rsidRPr="00521039">
        <w:rPr>
          <w:rFonts w:ascii="Times New Roman" w:hAnsi="Times New Roman"/>
          <w:sz w:val="22"/>
          <w:szCs w:val="22"/>
          <w:lang w:val="sk-SK"/>
        </w:rPr>
        <w:t xml:space="preserve"> do priestoru medzi mozgom a jemnou blanou mozgu, alebo medzi miechou a jemnou blanou miechy</w:t>
      </w:r>
      <w:r w:rsidR="007401C4">
        <w:rPr>
          <w:rFonts w:ascii="Times New Roman" w:hAnsi="Times New Roman"/>
          <w:sz w:val="22"/>
          <w:szCs w:val="22"/>
          <w:lang w:val="sk-SK"/>
        </w:rPr>
        <w:t xml:space="preserve">) 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sa pripraví v koncentrácii 1 až 2 % v 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izotonickom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roztoku chloridu sodného. </w:t>
      </w:r>
    </w:p>
    <w:p w:rsidR="00AC6D9B" w:rsidRPr="00521039" w:rsidRDefault="00AC6D9B" w:rsidP="00AC6D9B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>Deťom do 2 rokov sa podá 0,5 ml, od 2 do 12 rokov 1 ml a dospelým 2 ml 1</w:t>
      </w:r>
      <w:r w:rsidR="007F7236">
        <w:rPr>
          <w:rFonts w:ascii="Times New Roman" w:hAnsi="Times New Roman"/>
          <w:sz w:val="22"/>
          <w:szCs w:val="22"/>
          <w:lang w:val="sk-SK"/>
        </w:rPr>
        <w:t xml:space="preserve"> – </w:t>
      </w:r>
      <w:r w:rsidRPr="00521039">
        <w:rPr>
          <w:rFonts w:ascii="Times New Roman" w:hAnsi="Times New Roman"/>
          <w:sz w:val="22"/>
          <w:szCs w:val="22"/>
          <w:lang w:val="sk-SK"/>
        </w:rPr>
        <w:t>2</w:t>
      </w:r>
      <w:r w:rsidR="007F7236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sz w:val="22"/>
          <w:szCs w:val="22"/>
          <w:lang w:val="sk-SK"/>
        </w:rPr>
        <w:t>% roztoku antibiotika v </w:t>
      </w:r>
      <w:proofErr w:type="spellStart"/>
      <w:r w:rsidRPr="00521039">
        <w:rPr>
          <w:rFonts w:ascii="Times New Roman" w:hAnsi="Times New Roman"/>
          <w:sz w:val="22"/>
          <w:szCs w:val="22"/>
          <w:lang w:val="sk-SK"/>
        </w:rPr>
        <w:t>izotonickom</w:t>
      </w:r>
      <w:proofErr w:type="spellEnd"/>
      <w:r w:rsidRPr="00521039">
        <w:rPr>
          <w:rFonts w:ascii="Times New Roman" w:hAnsi="Times New Roman"/>
          <w:sz w:val="22"/>
          <w:szCs w:val="22"/>
          <w:lang w:val="sk-SK"/>
        </w:rPr>
        <w:t xml:space="preserve"> roztoku chloridu sodného.</w:t>
      </w:r>
    </w:p>
    <w:p w:rsidR="00AC6D9B" w:rsidRPr="00521039" w:rsidRDefault="00AC6D9B" w:rsidP="00A159E7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AC6D9B" w:rsidRPr="007401C4" w:rsidRDefault="00FA1CF1" w:rsidP="00A159E7">
      <w:pPr>
        <w:pStyle w:val="Zkladntext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Ak </w:t>
      </w:r>
      <w:r w:rsidR="002F6F1C">
        <w:rPr>
          <w:rFonts w:ascii="Times New Roman" w:hAnsi="Times New Roman"/>
          <w:sz w:val="22"/>
          <w:szCs w:val="22"/>
        </w:rPr>
        <w:t xml:space="preserve">dostanete </w:t>
      </w:r>
      <w:r>
        <w:rPr>
          <w:rFonts w:ascii="Times New Roman" w:hAnsi="Times New Roman"/>
          <w:sz w:val="22"/>
          <w:szCs w:val="22"/>
        </w:rPr>
        <w:t xml:space="preserve">viac AMPICILINU </w:t>
      </w:r>
      <w:r w:rsidR="007D053C">
        <w:rPr>
          <w:rFonts w:ascii="Times New Roman" w:hAnsi="Times New Roman"/>
          <w:sz w:val="22"/>
          <w:szCs w:val="22"/>
        </w:rPr>
        <w:t>BBP</w:t>
      </w:r>
      <w:r>
        <w:rPr>
          <w:rFonts w:ascii="Times New Roman" w:hAnsi="Times New Roman"/>
          <w:sz w:val="22"/>
          <w:szCs w:val="22"/>
        </w:rPr>
        <w:t>, ako máte</w:t>
      </w:r>
    </w:p>
    <w:p w:rsidR="00AA67AA" w:rsidRDefault="00991CE7" w:rsidP="00FA1CF1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Je nepravdepodobné, že vám mohli podať viac lieku</w:t>
      </w:r>
      <w:r w:rsidR="00033290">
        <w:rPr>
          <w:rFonts w:ascii="Times New Roman" w:hAnsi="Times New Roman"/>
          <w:sz w:val="22"/>
          <w:szCs w:val="22"/>
          <w:lang w:val="sk-SK"/>
        </w:rPr>
        <w:t>. Ak si ale myslíte, že ste dostali</w:t>
      </w:r>
      <w:r>
        <w:rPr>
          <w:rFonts w:ascii="Times New Roman" w:hAnsi="Times New Roman"/>
          <w:sz w:val="22"/>
          <w:szCs w:val="22"/>
          <w:lang w:val="sk-SK"/>
        </w:rPr>
        <w:t xml:space="preserve"> príliš veľa lieku</w:t>
      </w:r>
      <w:r w:rsidR="00CD24DA" w:rsidRPr="00CD24DA">
        <w:rPr>
          <w:rFonts w:ascii="Times New Roman" w:hAnsi="Times New Roman"/>
          <w:sz w:val="22"/>
          <w:szCs w:val="22"/>
          <w:lang w:val="sk-SK"/>
        </w:rPr>
        <w:t xml:space="preserve"> AMPICILINU </w:t>
      </w:r>
      <w:r w:rsidR="007D053C">
        <w:rPr>
          <w:rFonts w:ascii="Times New Roman" w:hAnsi="Times New Roman"/>
          <w:sz w:val="22"/>
          <w:szCs w:val="22"/>
          <w:lang w:val="sk-SK"/>
        </w:rPr>
        <w:t>BBP</w:t>
      </w:r>
      <w:r w:rsidR="00CD24DA" w:rsidRPr="00CD24DA">
        <w:rPr>
          <w:rFonts w:ascii="Times New Roman" w:hAnsi="Times New Roman"/>
          <w:sz w:val="22"/>
          <w:szCs w:val="22"/>
          <w:lang w:val="sk-SK"/>
        </w:rPr>
        <w:t>, povedzte to okamžite svojmu lekárovi alebo zdravotnej sestre.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FA1CF1" w:rsidRPr="00521039">
        <w:rPr>
          <w:rFonts w:ascii="Times New Roman" w:hAnsi="Times New Roman"/>
          <w:sz w:val="22"/>
          <w:szCs w:val="22"/>
          <w:lang w:val="sk-SK"/>
        </w:rPr>
        <w:t xml:space="preserve">Vzhľadom na veľkú terapeutickú šírku nebolo predávkovanie </w:t>
      </w:r>
      <w:proofErr w:type="spellStart"/>
      <w:r w:rsidR="00FA1CF1" w:rsidRPr="00521039">
        <w:rPr>
          <w:rFonts w:ascii="Times New Roman" w:hAnsi="Times New Roman"/>
          <w:sz w:val="22"/>
          <w:szCs w:val="22"/>
          <w:lang w:val="sk-SK"/>
        </w:rPr>
        <w:t>ampicilínom</w:t>
      </w:r>
      <w:proofErr w:type="spellEnd"/>
      <w:r w:rsidR="00FA1CF1" w:rsidRPr="00521039">
        <w:rPr>
          <w:rFonts w:ascii="Times New Roman" w:hAnsi="Times New Roman"/>
          <w:sz w:val="22"/>
          <w:szCs w:val="22"/>
          <w:lang w:val="sk-SK"/>
        </w:rPr>
        <w:t xml:space="preserve"> popísané. </w:t>
      </w:r>
    </w:p>
    <w:p w:rsidR="00AA67AA" w:rsidRPr="00521039" w:rsidRDefault="00FA1CF1" w:rsidP="00FA1CF1">
      <w:pPr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>Pri prípadnom predávkovaní by bol terapeutický postup symptomatický, prípadne by bola indikovaná hemodialýza.</w:t>
      </w:r>
    </w:p>
    <w:p w:rsidR="00AC6D9B" w:rsidRDefault="00AC6D9B" w:rsidP="00A159E7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FF639D" w:rsidRDefault="00FF639D" w:rsidP="00FF639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2"/>
          <w:lang w:val="sk-SK"/>
        </w:rPr>
      </w:pPr>
      <w:r w:rsidRPr="00FF639D">
        <w:rPr>
          <w:rFonts w:ascii="Times New Roman" w:hAnsi="Times New Roman"/>
          <w:b/>
          <w:sz w:val="22"/>
          <w:szCs w:val="22"/>
          <w:lang w:val="sk-SK"/>
        </w:rPr>
        <w:t xml:space="preserve">Ak </w:t>
      </w:r>
      <w:r w:rsidR="002F6F1C">
        <w:rPr>
          <w:rFonts w:ascii="Times New Roman" w:hAnsi="Times New Roman"/>
          <w:b/>
          <w:sz w:val="22"/>
          <w:szCs w:val="22"/>
          <w:lang w:val="sk-SK"/>
        </w:rPr>
        <w:t xml:space="preserve">vám </w:t>
      </w:r>
      <w:r w:rsidRPr="00FF639D">
        <w:rPr>
          <w:rFonts w:ascii="Times New Roman" w:hAnsi="Times New Roman"/>
          <w:b/>
          <w:sz w:val="22"/>
          <w:szCs w:val="22"/>
          <w:lang w:val="sk-SK"/>
        </w:rPr>
        <w:t>zabudn</w:t>
      </w:r>
      <w:r w:rsidR="002F6F1C">
        <w:rPr>
          <w:rFonts w:ascii="Times New Roman" w:hAnsi="Times New Roman"/>
          <w:b/>
          <w:sz w:val="22"/>
          <w:szCs w:val="22"/>
          <w:lang w:val="sk-SK"/>
        </w:rPr>
        <w:t>ú</w:t>
      </w:r>
      <w:r w:rsidRPr="00FF639D">
        <w:rPr>
          <w:rFonts w:ascii="Times New Roman" w:hAnsi="Times New Roman"/>
          <w:b/>
          <w:sz w:val="22"/>
          <w:szCs w:val="22"/>
          <w:lang w:val="sk-SK"/>
        </w:rPr>
        <w:t xml:space="preserve"> po</w:t>
      </w:r>
      <w:r w:rsidR="002F6F1C">
        <w:rPr>
          <w:rFonts w:ascii="Times New Roman" w:hAnsi="Times New Roman"/>
          <w:b/>
          <w:sz w:val="22"/>
          <w:szCs w:val="22"/>
          <w:lang w:val="sk-SK"/>
        </w:rPr>
        <w:t>dať</w:t>
      </w:r>
      <w:r w:rsidRPr="00FF639D">
        <w:rPr>
          <w:rFonts w:ascii="Times New Roman" w:hAnsi="Times New Roman"/>
          <w:b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k-SK"/>
        </w:rPr>
        <w:t xml:space="preserve">AMPICILIN </w:t>
      </w:r>
      <w:r w:rsidR="007D053C">
        <w:rPr>
          <w:rFonts w:ascii="Times New Roman" w:hAnsi="Times New Roman"/>
          <w:b/>
          <w:sz w:val="22"/>
          <w:szCs w:val="22"/>
          <w:lang w:val="sk-SK"/>
        </w:rPr>
        <w:t>BBP</w:t>
      </w:r>
    </w:p>
    <w:p w:rsidR="00AA67AA" w:rsidRPr="00AA67AA" w:rsidRDefault="00CD24DA" w:rsidP="00AA67AA">
      <w:pPr>
        <w:rPr>
          <w:rFonts w:ascii="Times New Roman" w:hAnsi="Times New Roman"/>
          <w:sz w:val="22"/>
          <w:szCs w:val="22"/>
          <w:lang w:val="sk-SK"/>
        </w:rPr>
      </w:pPr>
      <w:r w:rsidRPr="00CD24DA">
        <w:rPr>
          <w:rFonts w:ascii="Times New Roman" w:hAnsi="Times New Roman"/>
          <w:sz w:val="22"/>
          <w:szCs w:val="22"/>
          <w:lang w:val="sk-SK"/>
        </w:rPr>
        <w:t>Ke</w:t>
      </w:r>
      <w:r w:rsidRPr="00CD24DA">
        <w:rPr>
          <w:rFonts w:ascii="Times New Roman" w:hAnsi="Times New Roman" w:hint="eastAsia"/>
          <w:sz w:val="22"/>
          <w:szCs w:val="22"/>
          <w:lang w:val="sk-SK"/>
        </w:rPr>
        <w:t>ďž</w:t>
      </w:r>
      <w:r w:rsidRPr="00CD24DA">
        <w:rPr>
          <w:rFonts w:ascii="Times New Roman" w:hAnsi="Times New Roman"/>
          <w:sz w:val="22"/>
          <w:szCs w:val="22"/>
          <w:lang w:val="sk-SK"/>
        </w:rPr>
        <w:t>e tento liek v</w:t>
      </w:r>
      <w:r w:rsidR="00C34BA8">
        <w:rPr>
          <w:rFonts w:ascii="Times New Roman" w:hAnsi="Times New Roman"/>
          <w:sz w:val="22"/>
          <w:szCs w:val="22"/>
          <w:lang w:val="sk-SK"/>
        </w:rPr>
        <w:t>ám budú podávať pod</w:t>
      </w:r>
      <w:r w:rsidRPr="00CD24DA">
        <w:rPr>
          <w:rFonts w:ascii="Times New Roman" w:hAnsi="Times New Roman"/>
          <w:sz w:val="22"/>
          <w:szCs w:val="22"/>
          <w:lang w:val="sk-SK"/>
        </w:rPr>
        <w:t xml:space="preserve"> lekárskym doh</w:t>
      </w:r>
      <w:r w:rsidRPr="00CD24DA">
        <w:rPr>
          <w:rFonts w:ascii="Times New Roman" w:hAnsi="Times New Roman" w:hint="eastAsia"/>
          <w:sz w:val="22"/>
          <w:szCs w:val="22"/>
          <w:lang w:val="sk-SK"/>
        </w:rPr>
        <w:t>ľ</w:t>
      </w:r>
      <w:r w:rsidRPr="00CD24DA">
        <w:rPr>
          <w:rFonts w:ascii="Times New Roman" w:hAnsi="Times New Roman"/>
          <w:sz w:val="22"/>
          <w:szCs w:val="22"/>
          <w:lang w:val="sk-SK"/>
        </w:rPr>
        <w:t>adom, je nepravdepodobné, že dôjde k vynechaniu dávky. Ak si však myslíte, že sa na dávku zabudlo, oznámte to svojmu lekárovi alebo lekárnikovi.</w:t>
      </w:r>
    </w:p>
    <w:p w:rsidR="00C17078" w:rsidRPr="002E6E09" w:rsidRDefault="00CD24DA" w:rsidP="00C17078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val="sk-SK"/>
        </w:rPr>
      </w:pPr>
      <w:r w:rsidRPr="00CD24DA">
        <w:rPr>
          <w:rFonts w:ascii="Times New Roman" w:hAnsi="Times New Roman"/>
          <w:bCs/>
          <w:sz w:val="22"/>
          <w:szCs w:val="22"/>
          <w:lang w:val="sk-SK"/>
        </w:rPr>
        <w:t>Vynechaná dávka sa vám nebude nahrádza</w:t>
      </w:r>
      <w:r w:rsidRPr="00CD24DA">
        <w:rPr>
          <w:rFonts w:ascii="Times New Roman" w:hAnsi="Times New Roman" w:hint="eastAsia"/>
          <w:bCs/>
          <w:sz w:val="22"/>
          <w:szCs w:val="22"/>
          <w:lang w:val="sk-SK"/>
        </w:rPr>
        <w:t>ť</w:t>
      </w:r>
      <w:r w:rsidRPr="00CD24DA">
        <w:rPr>
          <w:rFonts w:ascii="Times New Roman" w:hAnsi="Times New Roman"/>
          <w:bCs/>
          <w:sz w:val="22"/>
          <w:szCs w:val="22"/>
          <w:lang w:val="sk-SK"/>
        </w:rPr>
        <w:t xml:space="preserve"> podaním dvojitej dávky. </w:t>
      </w:r>
    </w:p>
    <w:p w:rsidR="00FF639D" w:rsidRPr="00FF639D" w:rsidRDefault="00FF639D" w:rsidP="00FF639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</w:p>
    <w:p w:rsidR="00FF639D" w:rsidRPr="00FF639D" w:rsidRDefault="00FF639D" w:rsidP="00FF639D">
      <w:pPr>
        <w:rPr>
          <w:rFonts w:ascii="Times New Roman" w:hAnsi="Times New Roman"/>
          <w:sz w:val="22"/>
          <w:szCs w:val="22"/>
          <w:lang w:val="sk-SK"/>
        </w:rPr>
      </w:pPr>
      <w:r w:rsidRPr="00FF639D">
        <w:rPr>
          <w:rFonts w:ascii="Times New Roman" w:hAnsi="Times New Roman"/>
          <w:sz w:val="22"/>
          <w:szCs w:val="22"/>
          <w:lang w:val="sk-SK"/>
        </w:rPr>
        <w:t>Ak máte akékoľvek ďalšie otázky týkajúce sa použitia tohto lieku, opýtajte sa svojho lekára, lekárnika alebo zdravotnej sestry.</w:t>
      </w:r>
    </w:p>
    <w:p w:rsidR="00FA1CF1" w:rsidRDefault="00FA1CF1" w:rsidP="00A159E7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FA1CF1" w:rsidRDefault="00FA1CF1" w:rsidP="00A159E7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662DEB" w:rsidRPr="00662DEB" w:rsidRDefault="00662DEB" w:rsidP="00662DEB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Times New Roman" w:hAnsi="Times New Roman"/>
          <w:b/>
          <w:sz w:val="22"/>
          <w:szCs w:val="22"/>
          <w:lang w:val="sk-SK"/>
        </w:rPr>
      </w:pPr>
      <w:r w:rsidRPr="00662DEB">
        <w:rPr>
          <w:rFonts w:ascii="Times New Roman" w:hAnsi="Times New Roman"/>
          <w:b/>
          <w:sz w:val="22"/>
          <w:szCs w:val="22"/>
          <w:lang w:val="sk-SK"/>
        </w:rPr>
        <w:t>Možné vedľajšie účinky</w:t>
      </w:r>
    </w:p>
    <w:p w:rsidR="00662DEB" w:rsidRPr="00662DEB" w:rsidRDefault="00662DEB" w:rsidP="00662DE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</w:p>
    <w:p w:rsidR="00662DEB" w:rsidRPr="00662DEB" w:rsidRDefault="00662DEB" w:rsidP="00662DEB">
      <w:pPr>
        <w:numPr>
          <w:ilvl w:val="12"/>
          <w:numId w:val="0"/>
        </w:numPr>
        <w:ind w:right="-29"/>
        <w:outlineLvl w:val="0"/>
        <w:rPr>
          <w:rFonts w:ascii="Times New Roman" w:hAnsi="Times New Roman"/>
          <w:noProof/>
          <w:sz w:val="22"/>
          <w:szCs w:val="22"/>
          <w:lang w:val="sk-SK"/>
        </w:rPr>
      </w:pPr>
      <w:r w:rsidRPr="00662DEB">
        <w:rPr>
          <w:rFonts w:ascii="Times New Roman" w:hAnsi="Times New Roman"/>
          <w:noProof/>
          <w:sz w:val="22"/>
          <w:szCs w:val="22"/>
          <w:lang w:val="sk-SK"/>
        </w:rPr>
        <w:t>Tak ako všetky lieky, aj tento liek môže spôsobovať vedľajšie účinky, hoci sa neprejavia u každého.</w:t>
      </w:r>
    </w:p>
    <w:p w:rsidR="00662DEB" w:rsidRDefault="00662DEB" w:rsidP="00662DEB">
      <w:p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</w:p>
    <w:p w:rsidR="004650D9" w:rsidRDefault="004650D9" w:rsidP="00662DEB">
      <w:p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>Nežiaduce účinky sa objavujú najčastejšie medzi 7. až 10. dňom od začiatku liečby a vyskytujú sa u 10 až 15 % pacientov.</w:t>
      </w:r>
    </w:p>
    <w:p w:rsidR="007F7236" w:rsidRPr="003870BB" w:rsidRDefault="007F7236" w:rsidP="00662DEB">
      <w:p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</w:p>
    <w:p w:rsidR="002E6E09" w:rsidRPr="002650ED" w:rsidRDefault="00CD24DA" w:rsidP="00662DEB">
      <w:pPr>
        <w:autoSpaceDE w:val="0"/>
        <w:autoSpaceDN w:val="0"/>
        <w:rPr>
          <w:rFonts w:ascii="Times New Roman" w:hAnsi="Times New Roman"/>
          <w:b/>
          <w:sz w:val="22"/>
          <w:szCs w:val="22"/>
          <w:lang w:val="sk-SK"/>
        </w:rPr>
      </w:pPr>
      <w:r w:rsidRPr="00CD24DA">
        <w:rPr>
          <w:rFonts w:ascii="Times New Roman" w:hAnsi="Times New Roman"/>
          <w:b/>
          <w:sz w:val="22"/>
          <w:szCs w:val="22"/>
          <w:lang w:val="sk-SK"/>
        </w:rPr>
        <w:t>Poruchy krvi a lymfatického systému</w:t>
      </w:r>
      <w:r w:rsidR="00602364">
        <w:rPr>
          <w:rFonts w:ascii="Times New Roman" w:hAnsi="Times New Roman"/>
          <w:b/>
          <w:sz w:val="22"/>
          <w:szCs w:val="22"/>
          <w:lang w:val="sk-SK"/>
        </w:rPr>
        <w:t>:</w:t>
      </w:r>
    </w:p>
    <w:p w:rsidR="00601531" w:rsidRDefault="00024D28">
      <w:pPr>
        <w:pStyle w:val="Odsekzoznamu"/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poruchy krvotvorby, </w:t>
      </w:r>
      <w:proofErr w:type="spellStart"/>
      <w:r w:rsidR="00CD24DA" w:rsidRPr="00CD24DA">
        <w:rPr>
          <w:rFonts w:ascii="Times New Roman" w:hAnsi="Times New Roman"/>
          <w:sz w:val="22"/>
          <w:szCs w:val="22"/>
          <w:lang w:val="sk-SK"/>
        </w:rPr>
        <w:t>purpura</w:t>
      </w:r>
      <w:proofErr w:type="spellEnd"/>
      <w:r w:rsidR="00CD24DA" w:rsidRPr="00CD24DA">
        <w:rPr>
          <w:rFonts w:ascii="Times New Roman" w:hAnsi="Times New Roman"/>
          <w:sz w:val="22"/>
          <w:szCs w:val="22"/>
          <w:lang w:val="sk-SK"/>
        </w:rPr>
        <w:t xml:space="preserve"> (kožný výsev drobných bodkových krvácaní), </w:t>
      </w:r>
      <w:proofErr w:type="spellStart"/>
      <w:r w:rsidR="00CD24DA" w:rsidRPr="00CD24DA">
        <w:rPr>
          <w:rFonts w:ascii="Times New Roman" w:hAnsi="Times New Roman"/>
          <w:sz w:val="22"/>
          <w:szCs w:val="22"/>
          <w:lang w:val="sk-SK"/>
        </w:rPr>
        <w:t>trombocytopénia</w:t>
      </w:r>
      <w:proofErr w:type="spellEnd"/>
      <w:r w:rsidR="00CD24DA" w:rsidRPr="00CD24DA">
        <w:rPr>
          <w:rFonts w:ascii="Times New Roman" w:hAnsi="Times New Roman"/>
          <w:sz w:val="22"/>
          <w:szCs w:val="22"/>
          <w:lang w:val="sk-SK"/>
        </w:rPr>
        <w:t xml:space="preserve"> (nedostatok krvných došti</w:t>
      </w:r>
      <w:r w:rsidR="00CD24DA" w:rsidRPr="00CD24DA">
        <w:rPr>
          <w:rFonts w:ascii="Times New Roman" w:hAnsi="Times New Roman" w:hint="eastAsia"/>
          <w:sz w:val="22"/>
          <w:szCs w:val="22"/>
          <w:lang w:val="sk-SK"/>
        </w:rPr>
        <w:t>č</w:t>
      </w:r>
      <w:r w:rsidR="00014F92" w:rsidRPr="00014F92">
        <w:rPr>
          <w:rFonts w:ascii="Times New Roman" w:hAnsi="Times New Roman"/>
          <w:sz w:val="22"/>
          <w:szCs w:val="22"/>
          <w:lang w:val="sk-SK"/>
        </w:rPr>
        <w:t>iek)</w:t>
      </w:r>
    </w:p>
    <w:p w:rsidR="005F2483" w:rsidRDefault="005F2483" w:rsidP="00662DEB">
      <w:p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</w:p>
    <w:p w:rsidR="0080789D" w:rsidRPr="0080789D" w:rsidRDefault="0080789D" w:rsidP="00662DEB">
      <w:pPr>
        <w:autoSpaceDE w:val="0"/>
        <w:autoSpaceDN w:val="0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>Poruchy imunitného systému</w:t>
      </w:r>
      <w:r w:rsidR="00602364">
        <w:rPr>
          <w:rFonts w:ascii="Times New Roman" w:hAnsi="Times New Roman"/>
          <w:b/>
          <w:sz w:val="22"/>
          <w:szCs w:val="22"/>
          <w:lang w:val="sk-SK"/>
        </w:rPr>
        <w:t>:</w:t>
      </w:r>
    </w:p>
    <w:p w:rsidR="00601531" w:rsidRDefault="00CD24DA">
      <w:pPr>
        <w:pStyle w:val="Odsekzoznamu"/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  <w:r w:rsidRPr="00CD24DA">
        <w:rPr>
          <w:rFonts w:ascii="Times New Roman" w:hAnsi="Times New Roman"/>
          <w:sz w:val="22"/>
          <w:szCs w:val="22"/>
          <w:lang w:val="sk-SK"/>
        </w:rPr>
        <w:t>riziko skríženej precitlivenosti s</w:t>
      </w:r>
      <w:r w:rsidR="00014F92">
        <w:rPr>
          <w:rFonts w:ascii="Times New Roman" w:hAnsi="Times New Roman"/>
          <w:sz w:val="22"/>
          <w:szCs w:val="22"/>
          <w:lang w:val="sk-SK"/>
        </w:rPr>
        <w:t> </w:t>
      </w:r>
      <w:r w:rsidRPr="00CD24DA">
        <w:rPr>
          <w:rFonts w:ascii="Times New Roman" w:hAnsi="Times New Roman"/>
          <w:sz w:val="22"/>
          <w:szCs w:val="22"/>
          <w:lang w:val="sk-SK"/>
        </w:rPr>
        <w:t>penicilínmi</w:t>
      </w:r>
    </w:p>
    <w:p w:rsidR="00601531" w:rsidRDefault="00CD24DA">
      <w:pPr>
        <w:pStyle w:val="Odsekzoznamu"/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  <w:r w:rsidRPr="00CD24DA">
        <w:rPr>
          <w:rFonts w:ascii="Times New Roman" w:hAnsi="Times New Roman"/>
          <w:sz w:val="22"/>
          <w:szCs w:val="22"/>
          <w:lang w:val="sk-SK"/>
        </w:rPr>
        <w:lastRenderedPageBreak/>
        <w:t>riziko skríženej p</w:t>
      </w:r>
      <w:r w:rsidR="00014F92" w:rsidRPr="00014F92">
        <w:rPr>
          <w:rFonts w:ascii="Times New Roman" w:hAnsi="Times New Roman"/>
          <w:sz w:val="22"/>
          <w:szCs w:val="22"/>
          <w:lang w:val="sk-SK"/>
        </w:rPr>
        <w:t>recitlivenosti s</w:t>
      </w:r>
      <w:r w:rsidR="00F31C16">
        <w:rPr>
          <w:rFonts w:ascii="Times New Roman" w:hAnsi="Times New Roman"/>
          <w:sz w:val="22"/>
          <w:szCs w:val="22"/>
          <w:lang w:val="sk-SK"/>
        </w:rPr>
        <w:t> </w:t>
      </w:r>
      <w:proofErr w:type="spellStart"/>
      <w:r w:rsidR="00014F92" w:rsidRPr="00014F92">
        <w:rPr>
          <w:rFonts w:ascii="Times New Roman" w:hAnsi="Times New Roman"/>
          <w:sz w:val="22"/>
          <w:szCs w:val="22"/>
          <w:lang w:val="sk-SK"/>
        </w:rPr>
        <w:t>cefalosporínmi</w:t>
      </w:r>
      <w:proofErr w:type="spellEnd"/>
      <w:r w:rsidR="00F31C16">
        <w:rPr>
          <w:rFonts w:ascii="Times New Roman" w:hAnsi="Times New Roman"/>
          <w:sz w:val="22"/>
          <w:szCs w:val="22"/>
          <w:lang w:val="sk-SK"/>
        </w:rPr>
        <w:t>, prudká alergická reakcia (</w:t>
      </w:r>
      <w:proofErr w:type="spellStart"/>
      <w:r w:rsidR="00F31C16">
        <w:rPr>
          <w:rFonts w:ascii="Times New Roman" w:hAnsi="Times New Roman"/>
          <w:sz w:val="22"/>
          <w:szCs w:val="22"/>
          <w:lang w:val="sk-SK"/>
        </w:rPr>
        <w:t>anafylaktická</w:t>
      </w:r>
      <w:proofErr w:type="spellEnd"/>
      <w:r w:rsidR="00F31C16">
        <w:rPr>
          <w:rFonts w:ascii="Times New Roman" w:hAnsi="Times New Roman"/>
          <w:sz w:val="22"/>
          <w:szCs w:val="22"/>
          <w:lang w:val="sk-SK"/>
        </w:rPr>
        <w:t xml:space="preserve"> reakcia)</w:t>
      </w:r>
      <w:r w:rsidR="00877741">
        <w:rPr>
          <w:rFonts w:ascii="Times New Roman" w:hAnsi="Times New Roman"/>
          <w:sz w:val="22"/>
          <w:szCs w:val="22"/>
          <w:lang w:val="sk-SK"/>
        </w:rPr>
        <w:t>,</w:t>
      </w:r>
      <w:r w:rsidR="00F31C16">
        <w:rPr>
          <w:rFonts w:ascii="Times New Roman" w:hAnsi="Times New Roman"/>
          <w:sz w:val="22"/>
          <w:szCs w:val="22"/>
          <w:lang w:val="sk-SK"/>
        </w:rPr>
        <w:t xml:space="preserve"> ktorá sa prejavuje ťažkosťami s dýchaním, poklesom krvného tlaku</w:t>
      </w:r>
      <w:r w:rsidR="00244B76">
        <w:rPr>
          <w:rFonts w:ascii="Times New Roman" w:hAnsi="Times New Roman"/>
          <w:sz w:val="22"/>
          <w:szCs w:val="22"/>
          <w:lang w:val="sk-SK"/>
        </w:rPr>
        <w:t>, opuchom</w:t>
      </w:r>
      <w:r w:rsidR="00F46D4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56293D">
        <w:rPr>
          <w:rFonts w:ascii="Times New Roman" w:hAnsi="Times New Roman"/>
          <w:sz w:val="22"/>
          <w:szCs w:val="22"/>
          <w:lang w:val="sk-SK"/>
        </w:rPr>
        <w:t>pier, jazyka</w:t>
      </w:r>
      <w:r w:rsidR="00507E1F">
        <w:rPr>
          <w:rFonts w:ascii="Times New Roman" w:hAnsi="Times New Roman"/>
          <w:sz w:val="22"/>
          <w:szCs w:val="22"/>
          <w:lang w:val="sk-SK"/>
        </w:rPr>
        <w:t xml:space="preserve">, </w:t>
      </w:r>
      <w:r w:rsidR="00CE4017">
        <w:rPr>
          <w:rFonts w:ascii="Times New Roman" w:hAnsi="Times New Roman"/>
          <w:sz w:val="22"/>
          <w:szCs w:val="22"/>
          <w:lang w:val="sk-SK"/>
        </w:rPr>
        <w:t xml:space="preserve">a </w:t>
      </w:r>
      <w:r w:rsidR="00507E1F">
        <w:rPr>
          <w:rFonts w:ascii="Times New Roman" w:hAnsi="Times New Roman"/>
          <w:sz w:val="22"/>
          <w:szCs w:val="22"/>
          <w:lang w:val="sk-SK"/>
        </w:rPr>
        <w:t>môže byť život</w:t>
      </w:r>
      <w:r w:rsidR="00A1529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507E1F">
        <w:rPr>
          <w:rFonts w:ascii="Times New Roman" w:hAnsi="Times New Roman"/>
          <w:sz w:val="22"/>
          <w:szCs w:val="22"/>
          <w:lang w:val="sk-SK"/>
        </w:rPr>
        <w:t>ohrozujúca</w:t>
      </w:r>
    </w:p>
    <w:p w:rsidR="005F2483" w:rsidRDefault="005F2483" w:rsidP="00DC385E">
      <w:p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</w:p>
    <w:p w:rsidR="005F2483" w:rsidRPr="005F2483" w:rsidRDefault="00CD24DA" w:rsidP="00DC385E">
      <w:pPr>
        <w:autoSpaceDE w:val="0"/>
        <w:autoSpaceDN w:val="0"/>
        <w:rPr>
          <w:rFonts w:ascii="Times New Roman" w:hAnsi="Times New Roman"/>
          <w:b/>
          <w:sz w:val="22"/>
          <w:szCs w:val="22"/>
          <w:lang w:val="sk-SK"/>
        </w:rPr>
      </w:pPr>
      <w:r w:rsidRPr="00CD24DA">
        <w:rPr>
          <w:rFonts w:ascii="Times New Roman" w:hAnsi="Times New Roman"/>
          <w:b/>
          <w:sz w:val="22"/>
          <w:szCs w:val="22"/>
          <w:lang w:val="sk-SK"/>
        </w:rPr>
        <w:t>Psychiatrické poruchy</w:t>
      </w:r>
      <w:r w:rsidR="00602364">
        <w:rPr>
          <w:rFonts w:ascii="Times New Roman" w:hAnsi="Times New Roman"/>
          <w:b/>
          <w:sz w:val="22"/>
          <w:szCs w:val="22"/>
          <w:lang w:val="sk-SK"/>
        </w:rPr>
        <w:t>:</w:t>
      </w:r>
    </w:p>
    <w:p w:rsidR="00601531" w:rsidRDefault="00CD24DA">
      <w:pPr>
        <w:pStyle w:val="Odsekzoznamu"/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  <w:r w:rsidRPr="00CD24DA">
        <w:rPr>
          <w:rFonts w:ascii="Times New Roman" w:hAnsi="Times New Roman"/>
          <w:sz w:val="22"/>
          <w:szCs w:val="22"/>
          <w:lang w:val="sk-SK"/>
        </w:rPr>
        <w:t>poruchy spánku a osobnosti</w:t>
      </w:r>
    </w:p>
    <w:p w:rsidR="005F2483" w:rsidRDefault="005F2483" w:rsidP="00DC385E">
      <w:p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</w:p>
    <w:p w:rsidR="005F2483" w:rsidRPr="003E417F" w:rsidRDefault="00CD24DA" w:rsidP="00DC385E">
      <w:pPr>
        <w:autoSpaceDE w:val="0"/>
        <w:autoSpaceDN w:val="0"/>
        <w:rPr>
          <w:rFonts w:ascii="Times New Roman" w:hAnsi="Times New Roman"/>
          <w:b/>
          <w:sz w:val="22"/>
          <w:szCs w:val="22"/>
          <w:lang w:val="sk-SK"/>
        </w:rPr>
      </w:pPr>
      <w:r w:rsidRPr="00CD24DA">
        <w:rPr>
          <w:rFonts w:ascii="Times New Roman" w:hAnsi="Times New Roman"/>
          <w:b/>
          <w:sz w:val="22"/>
          <w:szCs w:val="22"/>
          <w:lang w:val="sk-SK"/>
        </w:rPr>
        <w:t>Poruchy nervového systému</w:t>
      </w:r>
      <w:r w:rsidR="00014F92">
        <w:rPr>
          <w:rFonts w:ascii="Times New Roman" w:hAnsi="Times New Roman"/>
          <w:b/>
          <w:sz w:val="22"/>
          <w:szCs w:val="22"/>
          <w:lang w:val="sk-SK"/>
        </w:rPr>
        <w:t>:</w:t>
      </w:r>
    </w:p>
    <w:p w:rsidR="00601531" w:rsidRDefault="00CD24DA">
      <w:pPr>
        <w:pStyle w:val="Odsekzoznamu"/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  <w:r w:rsidRPr="00CD24DA">
        <w:rPr>
          <w:rFonts w:ascii="Times New Roman" w:hAnsi="Times New Roman"/>
          <w:sz w:val="22"/>
          <w:szCs w:val="22"/>
          <w:lang w:val="sk-SK"/>
        </w:rPr>
        <w:t>bolesti hlavy</w:t>
      </w:r>
    </w:p>
    <w:p w:rsidR="003E417F" w:rsidRDefault="003E417F" w:rsidP="00DC385E">
      <w:p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</w:p>
    <w:p w:rsidR="003E417F" w:rsidRPr="00C95843" w:rsidRDefault="00CD24DA" w:rsidP="00DC385E">
      <w:pPr>
        <w:autoSpaceDE w:val="0"/>
        <w:autoSpaceDN w:val="0"/>
        <w:rPr>
          <w:rFonts w:ascii="Times New Roman" w:hAnsi="Times New Roman"/>
          <w:b/>
          <w:sz w:val="22"/>
          <w:szCs w:val="22"/>
          <w:lang w:val="sk-SK"/>
        </w:rPr>
      </w:pPr>
      <w:r w:rsidRPr="00CD24DA">
        <w:rPr>
          <w:rFonts w:ascii="Times New Roman" w:hAnsi="Times New Roman"/>
          <w:b/>
          <w:sz w:val="22"/>
          <w:szCs w:val="22"/>
          <w:lang w:val="sk-SK"/>
        </w:rPr>
        <w:t xml:space="preserve">Poruchy </w:t>
      </w:r>
      <w:proofErr w:type="spellStart"/>
      <w:r w:rsidRPr="00CD24DA">
        <w:rPr>
          <w:rFonts w:ascii="Times New Roman" w:hAnsi="Times New Roman"/>
          <w:b/>
          <w:sz w:val="22"/>
          <w:szCs w:val="22"/>
          <w:lang w:val="sk-SK"/>
        </w:rPr>
        <w:t>gastrointestinálneho</w:t>
      </w:r>
      <w:proofErr w:type="spellEnd"/>
      <w:r w:rsidRPr="00CD24DA">
        <w:rPr>
          <w:rFonts w:ascii="Times New Roman" w:hAnsi="Times New Roman"/>
          <w:b/>
          <w:sz w:val="22"/>
          <w:szCs w:val="22"/>
          <w:lang w:val="sk-SK"/>
        </w:rPr>
        <w:t xml:space="preserve"> traktu</w:t>
      </w:r>
      <w:r w:rsidR="00014F92">
        <w:rPr>
          <w:rFonts w:ascii="Times New Roman" w:hAnsi="Times New Roman"/>
          <w:b/>
          <w:sz w:val="22"/>
          <w:szCs w:val="22"/>
          <w:lang w:val="sk-SK"/>
        </w:rPr>
        <w:t>:</w:t>
      </w:r>
    </w:p>
    <w:p w:rsidR="00601531" w:rsidRDefault="00CD24DA">
      <w:pPr>
        <w:pStyle w:val="Odsekzoznamu"/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  <w:r w:rsidRPr="00CD24DA">
        <w:rPr>
          <w:rFonts w:ascii="Times New Roman" w:hAnsi="Times New Roman"/>
          <w:sz w:val="22"/>
          <w:szCs w:val="22"/>
          <w:lang w:val="sk-SK"/>
        </w:rPr>
        <w:t>nevo</w:t>
      </w:r>
      <w:r w:rsidRPr="00CD24DA">
        <w:rPr>
          <w:rFonts w:ascii="Times New Roman" w:hAnsi="Times New Roman" w:hint="eastAsia"/>
          <w:sz w:val="22"/>
          <w:szCs w:val="22"/>
          <w:lang w:val="sk-SK"/>
        </w:rPr>
        <w:t>ľ</w:t>
      </w:r>
      <w:r w:rsidRPr="00CD24DA">
        <w:rPr>
          <w:rFonts w:ascii="Times New Roman" w:hAnsi="Times New Roman"/>
          <w:sz w:val="22"/>
          <w:szCs w:val="22"/>
          <w:lang w:val="sk-SK"/>
        </w:rPr>
        <w:t>nos</w:t>
      </w:r>
      <w:r w:rsidRPr="00CD24DA">
        <w:rPr>
          <w:rFonts w:ascii="Times New Roman" w:hAnsi="Times New Roman" w:hint="eastAsia"/>
          <w:sz w:val="22"/>
          <w:szCs w:val="22"/>
          <w:lang w:val="sk-SK"/>
        </w:rPr>
        <w:t>ť</w:t>
      </w:r>
      <w:r w:rsidRPr="00CD24DA">
        <w:rPr>
          <w:rFonts w:ascii="Times New Roman" w:hAnsi="Times New Roman"/>
          <w:sz w:val="22"/>
          <w:szCs w:val="22"/>
          <w:lang w:val="sk-SK"/>
        </w:rPr>
        <w:t>, hna</w:t>
      </w:r>
      <w:r w:rsidRPr="00CD24DA">
        <w:rPr>
          <w:rFonts w:ascii="Times New Roman" w:hAnsi="Times New Roman" w:hint="eastAsia"/>
          <w:sz w:val="22"/>
          <w:szCs w:val="22"/>
          <w:lang w:val="sk-SK"/>
        </w:rPr>
        <w:t>č</w:t>
      </w:r>
      <w:r w:rsidRPr="00CD24DA">
        <w:rPr>
          <w:rFonts w:ascii="Times New Roman" w:hAnsi="Times New Roman"/>
          <w:sz w:val="22"/>
          <w:szCs w:val="22"/>
          <w:lang w:val="sk-SK"/>
        </w:rPr>
        <w:t>ka, vracanie</w:t>
      </w:r>
    </w:p>
    <w:p w:rsidR="00601531" w:rsidRDefault="004333DF" w:rsidP="004333DF">
      <w:pPr>
        <w:pStyle w:val="Odsekzoznamu"/>
        <w:numPr>
          <w:ilvl w:val="0"/>
          <w:numId w:val="7"/>
        </w:numPr>
        <w:tabs>
          <w:tab w:val="left" w:pos="284"/>
        </w:tabs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CD24DA" w:rsidRPr="00CD24DA">
        <w:rPr>
          <w:rFonts w:ascii="Times New Roman" w:hAnsi="Times New Roman"/>
          <w:sz w:val="22"/>
          <w:szCs w:val="22"/>
          <w:lang w:val="sk-SK"/>
        </w:rPr>
        <w:t>pseudomembranózna</w:t>
      </w:r>
      <w:proofErr w:type="spellEnd"/>
      <w:r w:rsidR="00CD24DA" w:rsidRPr="00CD24DA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CD24DA" w:rsidRPr="00CD24DA">
        <w:rPr>
          <w:rFonts w:ascii="Times New Roman" w:hAnsi="Times New Roman"/>
          <w:sz w:val="22"/>
          <w:szCs w:val="22"/>
          <w:lang w:val="sk-SK"/>
        </w:rPr>
        <w:t>kolitída</w:t>
      </w:r>
      <w:proofErr w:type="spellEnd"/>
      <w:r w:rsidR="00CD24DA" w:rsidRPr="00CD24DA">
        <w:rPr>
          <w:rFonts w:ascii="Times New Roman" w:hAnsi="Times New Roman"/>
          <w:sz w:val="22"/>
          <w:szCs w:val="22"/>
          <w:lang w:val="sk-SK"/>
        </w:rPr>
        <w:t xml:space="preserve"> (zápal hrubého </w:t>
      </w:r>
      <w:r w:rsidR="00CD24DA" w:rsidRPr="00CD24DA">
        <w:rPr>
          <w:rFonts w:ascii="Times New Roman" w:hAnsi="Times New Roman" w:hint="eastAsia"/>
          <w:sz w:val="22"/>
          <w:szCs w:val="22"/>
          <w:lang w:val="sk-SK"/>
        </w:rPr>
        <w:t>č</w:t>
      </w:r>
      <w:r w:rsidR="00CD24DA" w:rsidRPr="00CD24DA">
        <w:rPr>
          <w:rFonts w:ascii="Times New Roman" w:hAnsi="Times New Roman"/>
          <w:sz w:val="22"/>
          <w:szCs w:val="22"/>
          <w:lang w:val="sk-SK"/>
        </w:rPr>
        <w:t xml:space="preserve">reva spôsobený baktériami, prejavujúci sa vodnatou </w:t>
      </w:r>
      <w:r w:rsidR="00CD24DA" w:rsidRPr="00AA0440">
        <w:rPr>
          <w:rFonts w:ascii="Times New Roman" w:hAnsi="Times New Roman"/>
          <w:sz w:val="22"/>
          <w:szCs w:val="22"/>
          <w:lang w:val="sk-SK"/>
        </w:rPr>
        <w:t>hna</w:t>
      </w:r>
      <w:r w:rsidR="00CD24DA" w:rsidRPr="00AA0440">
        <w:rPr>
          <w:rFonts w:ascii="Times New Roman" w:hAnsi="Times New Roman" w:hint="eastAsia"/>
          <w:sz w:val="22"/>
          <w:szCs w:val="22"/>
          <w:lang w:val="sk-SK"/>
        </w:rPr>
        <w:t>č</w:t>
      </w:r>
      <w:r w:rsidR="00CD24DA" w:rsidRPr="00AA0440">
        <w:rPr>
          <w:rFonts w:ascii="Times New Roman" w:hAnsi="Times New Roman"/>
          <w:sz w:val="22"/>
          <w:szCs w:val="22"/>
          <w:lang w:val="sk-SK"/>
        </w:rPr>
        <w:t>kou s prímesou krvi alebo hlienu, horú</w:t>
      </w:r>
      <w:r w:rsidR="00CD24DA" w:rsidRPr="00AA0440">
        <w:rPr>
          <w:rFonts w:ascii="Times New Roman" w:hAnsi="Times New Roman" w:hint="eastAsia"/>
          <w:sz w:val="22"/>
          <w:szCs w:val="22"/>
          <w:lang w:val="sk-SK"/>
        </w:rPr>
        <w:t>č</w:t>
      </w:r>
      <w:r w:rsidR="00CD24DA" w:rsidRPr="00AA0440">
        <w:rPr>
          <w:rFonts w:ascii="Times New Roman" w:hAnsi="Times New Roman"/>
          <w:sz w:val="22"/>
          <w:szCs w:val="22"/>
          <w:lang w:val="sk-SK"/>
        </w:rPr>
        <w:t>kou, boles</w:t>
      </w:r>
      <w:r w:rsidR="00CD24DA" w:rsidRPr="00AA0440">
        <w:rPr>
          <w:rFonts w:ascii="Times New Roman" w:hAnsi="Times New Roman" w:hint="eastAsia"/>
          <w:sz w:val="22"/>
          <w:szCs w:val="22"/>
          <w:lang w:val="sk-SK"/>
        </w:rPr>
        <w:t>ť</w:t>
      </w:r>
      <w:r w:rsidR="00CD24DA" w:rsidRPr="00AA0440">
        <w:rPr>
          <w:rFonts w:ascii="Times New Roman" w:hAnsi="Times New Roman"/>
          <w:sz w:val="22"/>
          <w:szCs w:val="22"/>
          <w:lang w:val="sk-SK"/>
        </w:rPr>
        <w:t>ami brucha</w:t>
      </w:r>
      <w:r w:rsidR="00CD24DA" w:rsidRPr="00CD24DA">
        <w:rPr>
          <w:rFonts w:ascii="Times New Roman" w:hAnsi="Times New Roman"/>
          <w:sz w:val="22"/>
          <w:szCs w:val="22"/>
          <w:lang w:val="sk-SK"/>
        </w:rPr>
        <w:t>)</w:t>
      </w:r>
    </w:p>
    <w:p w:rsidR="009051E5" w:rsidRDefault="009051E5" w:rsidP="00014F92">
      <w:pPr>
        <w:tabs>
          <w:tab w:val="left" w:pos="284"/>
        </w:tabs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</w:p>
    <w:p w:rsidR="009051E5" w:rsidRPr="009051E5" w:rsidRDefault="00CD24DA" w:rsidP="00DC385E">
      <w:pPr>
        <w:autoSpaceDE w:val="0"/>
        <w:autoSpaceDN w:val="0"/>
        <w:rPr>
          <w:rFonts w:ascii="Times New Roman" w:hAnsi="Times New Roman"/>
          <w:b/>
          <w:sz w:val="22"/>
          <w:szCs w:val="22"/>
          <w:lang w:val="sk-SK"/>
        </w:rPr>
      </w:pPr>
      <w:r w:rsidRPr="00CD24DA">
        <w:rPr>
          <w:rFonts w:ascii="Times New Roman" w:hAnsi="Times New Roman"/>
          <w:b/>
          <w:sz w:val="22"/>
          <w:szCs w:val="22"/>
          <w:lang w:val="sk-SK"/>
        </w:rPr>
        <w:t>Poruchy pe</w:t>
      </w:r>
      <w:r w:rsidRPr="00CD24DA">
        <w:rPr>
          <w:rFonts w:ascii="Times New Roman" w:hAnsi="Times New Roman" w:hint="eastAsia"/>
          <w:b/>
          <w:sz w:val="22"/>
          <w:szCs w:val="22"/>
          <w:lang w:val="sk-SK"/>
        </w:rPr>
        <w:t>č</w:t>
      </w:r>
      <w:r w:rsidRPr="00CD24DA">
        <w:rPr>
          <w:rFonts w:ascii="Times New Roman" w:hAnsi="Times New Roman"/>
          <w:b/>
          <w:sz w:val="22"/>
          <w:szCs w:val="22"/>
          <w:lang w:val="sk-SK"/>
        </w:rPr>
        <w:t>ene a žl</w:t>
      </w:r>
      <w:r w:rsidRPr="00CD24DA">
        <w:rPr>
          <w:rFonts w:ascii="Times New Roman" w:hAnsi="Times New Roman" w:hint="eastAsia"/>
          <w:b/>
          <w:sz w:val="22"/>
          <w:szCs w:val="22"/>
          <w:lang w:val="sk-SK"/>
        </w:rPr>
        <w:t>č</w:t>
      </w:r>
      <w:r w:rsidRPr="00CD24DA">
        <w:rPr>
          <w:rFonts w:ascii="Times New Roman" w:hAnsi="Times New Roman"/>
          <w:b/>
          <w:sz w:val="22"/>
          <w:szCs w:val="22"/>
          <w:lang w:val="sk-SK"/>
        </w:rPr>
        <w:t>ových ciest</w:t>
      </w:r>
      <w:r w:rsidR="00014F92">
        <w:rPr>
          <w:rFonts w:ascii="Times New Roman" w:hAnsi="Times New Roman"/>
          <w:b/>
          <w:sz w:val="22"/>
          <w:szCs w:val="22"/>
          <w:lang w:val="sk-SK"/>
        </w:rPr>
        <w:t>:</w:t>
      </w:r>
    </w:p>
    <w:p w:rsidR="00601531" w:rsidRDefault="00CD24DA">
      <w:pPr>
        <w:pStyle w:val="Odsekzoznamu"/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  <w:r w:rsidRPr="00CD24DA">
        <w:rPr>
          <w:rFonts w:ascii="Times New Roman" w:hAnsi="Times New Roman"/>
          <w:sz w:val="22"/>
          <w:szCs w:val="22"/>
          <w:lang w:val="sk-SK"/>
        </w:rPr>
        <w:t>poruchy funkcie pe</w:t>
      </w:r>
      <w:r w:rsidRPr="00CD24DA">
        <w:rPr>
          <w:rFonts w:ascii="Times New Roman" w:hAnsi="Times New Roman" w:hint="eastAsia"/>
          <w:sz w:val="22"/>
          <w:szCs w:val="22"/>
          <w:lang w:val="sk-SK"/>
        </w:rPr>
        <w:t>č</w:t>
      </w:r>
      <w:r w:rsidRPr="00CD24DA">
        <w:rPr>
          <w:rFonts w:ascii="Times New Roman" w:hAnsi="Times New Roman"/>
          <w:sz w:val="22"/>
          <w:szCs w:val="22"/>
          <w:lang w:val="sk-SK"/>
        </w:rPr>
        <w:t>ene</w:t>
      </w:r>
    </w:p>
    <w:p w:rsidR="009051E5" w:rsidRDefault="009051E5" w:rsidP="00DC385E">
      <w:p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</w:p>
    <w:p w:rsidR="003E417F" w:rsidRPr="00471E5F" w:rsidRDefault="00CD24DA" w:rsidP="00DC385E">
      <w:pPr>
        <w:autoSpaceDE w:val="0"/>
        <w:autoSpaceDN w:val="0"/>
        <w:rPr>
          <w:rFonts w:ascii="Times New Roman" w:hAnsi="Times New Roman"/>
          <w:b/>
          <w:sz w:val="22"/>
          <w:szCs w:val="22"/>
          <w:lang w:val="sk-SK"/>
        </w:rPr>
      </w:pPr>
      <w:r w:rsidRPr="00CD24DA">
        <w:rPr>
          <w:rFonts w:ascii="Times New Roman" w:hAnsi="Times New Roman"/>
          <w:b/>
          <w:sz w:val="22"/>
          <w:szCs w:val="22"/>
          <w:lang w:val="sk-SK"/>
        </w:rPr>
        <w:t>Poruchy kože a podkožného tkaniva</w:t>
      </w:r>
      <w:r w:rsidR="00014F92">
        <w:rPr>
          <w:rFonts w:ascii="Times New Roman" w:hAnsi="Times New Roman"/>
          <w:b/>
          <w:sz w:val="22"/>
          <w:szCs w:val="22"/>
          <w:lang w:val="sk-SK"/>
        </w:rPr>
        <w:t>:</w:t>
      </w:r>
    </w:p>
    <w:p w:rsidR="00601531" w:rsidRDefault="00CD24DA">
      <w:pPr>
        <w:pStyle w:val="Odsekzoznamu"/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  <w:r w:rsidRPr="00CD24DA">
        <w:rPr>
          <w:rFonts w:ascii="Times New Roman" w:hAnsi="Times New Roman"/>
          <w:sz w:val="22"/>
          <w:szCs w:val="22"/>
          <w:lang w:val="sk-SK"/>
        </w:rPr>
        <w:t>vyrážky, žih</w:t>
      </w:r>
      <w:r w:rsidRPr="00CD24DA">
        <w:rPr>
          <w:rFonts w:ascii="Times New Roman" w:hAnsi="Times New Roman" w:hint="eastAsia"/>
          <w:sz w:val="22"/>
          <w:szCs w:val="22"/>
          <w:lang w:val="sk-SK"/>
        </w:rPr>
        <w:t>ľ</w:t>
      </w:r>
      <w:r w:rsidRPr="00CD24DA">
        <w:rPr>
          <w:rFonts w:ascii="Times New Roman" w:hAnsi="Times New Roman"/>
          <w:sz w:val="22"/>
          <w:szCs w:val="22"/>
          <w:lang w:val="sk-SK"/>
        </w:rPr>
        <w:t>avka, svrbenie (u 6 až 8 % osôb)</w:t>
      </w:r>
    </w:p>
    <w:p w:rsidR="00601531" w:rsidRDefault="00CD24DA">
      <w:pPr>
        <w:pStyle w:val="Odsekzoznamu"/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CD24DA">
        <w:rPr>
          <w:rFonts w:ascii="Times New Roman" w:hAnsi="Times New Roman"/>
          <w:sz w:val="22"/>
          <w:szCs w:val="22"/>
          <w:lang w:val="sk-SK"/>
        </w:rPr>
        <w:t>Stevensov</w:t>
      </w:r>
      <w:proofErr w:type="spellEnd"/>
      <w:r w:rsidRPr="00CD24DA">
        <w:rPr>
          <w:rFonts w:ascii="Times New Roman" w:hAnsi="Times New Roman"/>
          <w:sz w:val="22"/>
          <w:szCs w:val="22"/>
          <w:lang w:val="sk-SK"/>
        </w:rPr>
        <w:t xml:space="preserve"> - </w:t>
      </w:r>
      <w:proofErr w:type="spellStart"/>
      <w:r w:rsidRPr="00CD24DA">
        <w:rPr>
          <w:rFonts w:ascii="Times New Roman" w:hAnsi="Times New Roman"/>
          <w:sz w:val="22"/>
          <w:szCs w:val="22"/>
          <w:lang w:val="sk-SK"/>
        </w:rPr>
        <w:t>Johnsonov</w:t>
      </w:r>
      <w:proofErr w:type="spellEnd"/>
      <w:r w:rsidRPr="00CD24DA">
        <w:rPr>
          <w:rFonts w:ascii="Times New Roman" w:hAnsi="Times New Roman"/>
          <w:sz w:val="22"/>
          <w:szCs w:val="22"/>
          <w:lang w:val="sk-SK"/>
        </w:rPr>
        <w:t xml:space="preserve"> syndróm</w:t>
      </w:r>
      <w:r w:rsidR="0048558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CD24DA">
        <w:rPr>
          <w:rFonts w:ascii="Times New Roman" w:hAnsi="Times New Roman"/>
          <w:sz w:val="22"/>
          <w:szCs w:val="22"/>
          <w:lang w:val="sk-SK"/>
        </w:rPr>
        <w:t xml:space="preserve">(závažná, rozsiahla </w:t>
      </w:r>
      <w:r w:rsidRPr="00CD24DA">
        <w:rPr>
          <w:rFonts w:ascii="Times New Roman" w:hAnsi="Times New Roman"/>
          <w:bCs/>
          <w:sz w:val="22"/>
          <w:szCs w:val="22"/>
          <w:lang w:val="sk-SK"/>
        </w:rPr>
        <w:t>vyrážka s p</w:t>
      </w:r>
      <w:r w:rsidRPr="00CD24DA">
        <w:rPr>
          <w:rFonts w:ascii="Times New Roman" w:hAnsi="Times New Roman" w:hint="eastAsia"/>
          <w:bCs/>
          <w:sz w:val="22"/>
          <w:szCs w:val="22"/>
          <w:lang w:val="sk-SK"/>
        </w:rPr>
        <w:t>ľ</w:t>
      </w:r>
      <w:r w:rsidRPr="00CD24DA">
        <w:rPr>
          <w:rFonts w:ascii="Times New Roman" w:hAnsi="Times New Roman"/>
          <w:bCs/>
          <w:sz w:val="22"/>
          <w:szCs w:val="22"/>
          <w:lang w:val="sk-SK"/>
        </w:rPr>
        <w:t xml:space="preserve">uzgiermi a odlupujúcou sa kožou, najmä v okolí </w:t>
      </w:r>
      <w:r w:rsidRPr="00CD24DA">
        <w:rPr>
          <w:rFonts w:ascii="Times New Roman" w:hAnsi="Times New Roman" w:hint="eastAsia"/>
          <w:bCs/>
          <w:sz w:val="22"/>
          <w:szCs w:val="22"/>
          <w:lang w:val="sk-SK"/>
        </w:rPr>
        <w:t>ú</w:t>
      </w:r>
      <w:r w:rsidRPr="00CD24DA">
        <w:rPr>
          <w:rFonts w:ascii="Times New Roman" w:hAnsi="Times New Roman"/>
          <w:bCs/>
          <w:sz w:val="22"/>
          <w:szCs w:val="22"/>
          <w:lang w:val="sk-SK"/>
        </w:rPr>
        <w:t>st, nosa, o</w:t>
      </w:r>
      <w:r w:rsidRPr="00CD24DA">
        <w:rPr>
          <w:rFonts w:ascii="Times New Roman" w:hAnsi="Times New Roman" w:hint="eastAsia"/>
          <w:bCs/>
          <w:sz w:val="22"/>
          <w:szCs w:val="22"/>
          <w:lang w:val="sk-SK"/>
        </w:rPr>
        <w:t>čí</w:t>
      </w:r>
      <w:r w:rsidRPr="00CD24DA">
        <w:rPr>
          <w:rFonts w:ascii="Times New Roman" w:hAnsi="Times New Roman"/>
          <w:bCs/>
          <w:sz w:val="22"/>
          <w:szCs w:val="22"/>
          <w:lang w:val="sk-SK"/>
        </w:rPr>
        <w:t xml:space="preserve"> a pohlavných orgánov</w:t>
      </w:r>
      <w:r w:rsidRPr="00CD24DA">
        <w:rPr>
          <w:rFonts w:ascii="Times New Roman" w:hAnsi="Times New Roman"/>
          <w:sz w:val="22"/>
          <w:szCs w:val="22"/>
          <w:lang w:val="sk-SK"/>
        </w:rPr>
        <w:t>) a závažnejšia forma spôsobujúca nadmerné odlupovanie kože (na viac než 30 % plochy tela) </w:t>
      </w:r>
      <w:r w:rsidRPr="00CD24DA">
        <w:rPr>
          <w:rFonts w:ascii="Times New Roman" w:hAnsi="Times New Roman"/>
          <w:sz w:val="22"/>
          <w:szCs w:val="22"/>
          <w:lang w:val="sk-SK"/>
        </w:rPr>
        <w:noBreakHyphen/>
        <w:t> </w:t>
      </w:r>
      <w:r w:rsidRPr="00CD24DA">
        <w:rPr>
          <w:rFonts w:ascii="Times New Roman" w:hAnsi="Times New Roman"/>
          <w:i/>
          <w:sz w:val="22"/>
          <w:szCs w:val="22"/>
          <w:lang w:val="sk-SK"/>
        </w:rPr>
        <w:t xml:space="preserve">toxická </w:t>
      </w:r>
      <w:proofErr w:type="spellStart"/>
      <w:r w:rsidRPr="00CD24DA">
        <w:rPr>
          <w:rFonts w:ascii="Times New Roman" w:hAnsi="Times New Roman"/>
          <w:i/>
          <w:sz w:val="22"/>
          <w:szCs w:val="22"/>
          <w:lang w:val="sk-SK"/>
        </w:rPr>
        <w:t>epidermálna</w:t>
      </w:r>
      <w:proofErr w:type="spellEnd"/>
      <w:r w:rsidRPr="00CD24DA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CD24DA">
        <w:rPr>
          <w:rFonts w:ascii="Times New Roman" w:hAnsi="Times New Roman"/>
          <w:i/>
          <w:sz w:val="22"/>
          <w:szCs w:val="22"/>
          <w:lang w:val="sk-SK"/>
        </w:rPr>
        <w:t>nekrolýza</w:t>
      </w:r>
      <w:proofErr w:type="spellEnd"/>
      <w:r w:rsidRPr="00CD24DA">
        <w:rPr>
          <w:rFonts w:ascii="Times New Roman" w:hAnsi="Times New Roman"/>
          <w:sz w:val="22"/>
          <w:szCs w:val="22"/>
          <w:lang w:val="sk-SK"/>
        </w:rPr>
        <w:t xml:space="preserve"> (</w:t>
      </w:r>
      <w:proofErr w:type="spellStart"/>
      <w:r w:rsidRPr="00CD24DA">
        <w:rPr>
          <w:rFonts w:ascii="Times New Roman" w:hAnsi="Times New Roman"/>
          <w:sz w:val="22"/>
          <w:szCs w:val="22"/>
          <w:lang w:val="sk-SK"/>
        </w:rPr>
        <w:t>Lyellov</w:t>
      </w:r>
      <w:proofErr w:type="spellEnd"/>
      <w:r w:rsidRPr="00CD24DA">
        <w:rPr>
          <w:rFonts w:ascii="Times New Roman" w:hAnsi="Times New Roman"/>
          <w:sz w:val="22"/>
          <w:szCs w:val="22"/>
          <w:lang w:val="sk-SK"/>
        </w:rPr>
        <w:t xml:space="preserve"> syndróm)</w:t>
      </w:r>
    </w:p>
    <w:p w:rsidR="00601531" w:rsidRDefault="00601531">
      <w:pPr>
        <w:keepNext/>
        <w:keepLines/>
        <w:rPr>
          <w:rFonts w:ascii="Times New Roman" w:hAnsi="Times New Roman"/>
          <w:sz w:val="22"/>
          <w:szCs w:val="22"/>
          <w:lang w:val="sk-SK"/>
        </w:rPr>
      </w:pPr>
    </w:p>
    <w:p w:rsidR="00D8708E" w:rsidRPr="00D8708E" w:rsidRDefault="00CD24DA" w:rsidP="00D8708E">
      <w:pPr>
        <w:autoSpaceDE w:val="0"/>
        <w:autoSpaceDN w:val="0"/>
        <w:rPr>
          <w:rFonts w:ascii="Times New Roman" w:hAnsi="Times New Roman"/>
          <w:b/>
          <w:sz w:val="22"/>
          <w:szCs w:val="22"/>
          <w:lang w:val="sk-SK"/>
        </w:rPr>
      </w:pPr>
      <w:r w:rsidRPr="00CD24DA">
        <w:rPr>
          <w:rFonts w:ascii="Times New Roman" w:hAnsi="Times New Roman"/>
          <w:b/>
          <w:sz w:val="22"/>
          <w:szCs w:val="22"/>
          <w:lang w:val="sk-SK"/>
        </w:rPr>
        <w:t>Celkové poruchy a reakcie v mieste podania</w:t>
      </w:r>
      <w:r w:rsidR="00485589">
        <w:rPr>
          <w:rFonts w:ascii="Times New Roman" w:hAnsi="Times New Roman"/>
          <w:b/>
          <w:sz w:val="22"/>
          <w:szCs w:val="22"/>
          <w:lang w:val="sk-SK"/>
        </w:rPr>
        <w:t>:</w:t>
      </w:r>
    </w:p>
    <w:p w:rsidR="00601531" w:rsidRDefault="00485589">
      <w:pPr>
        <w:pStyle w:val="Odsekzoznamu"/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</w:t>
      </w:r>
      <w:r w:rsidR="00CD24DA" w:rsidRPr="00CD24DA">
        <w:rPr>
          <w:rFonts w:ascii="Times New Roman" w:hAnsi="Times New Roman"/>
          <w:sz w:val="22"/>
          <w:szCs w:val="22"/>
          <w:lang w:val="sk-SK"/>
        </w:rPr>
        <w:t xml:space="preserve">o </w:t>
      </w:r>
      <w:proofErr w:type="spellStart"/>
      <w:r w:rsidR="00CD24DA" w:rsidRPr="00CD24DA">
        <w:rPr>
          <w:rFonts w:ascii="Times New Roman" w:hAnsi="Times New Roman"/>
          <w:sz w:val="22"/>
          <w:szCs w:val="22"/>
          <w:lang w:val="sk-SK"/>
        </w:rPr>
        <w:t>vnútrožilovom</w:t>
      </w:r>
      <w:proofErr w:type="spellEnd"/>
      <w:r w:rsidR="00CD24DA" w:rsidRPr="00CD24DA">
        <w:rPr>
          <w:rFonts w:ascii="Times New Roman" w:hAnsi="Times New Roman"/>
          <w:sz w:val="22"/>
          <w:szCs w:val="22"/>
          <w:lang w:val="sk-SK"/>
        </w:rPr>
        <w:t xml:space="preserve"> alebo </w:t>
      </w:r>
      <w:proofErr w:type="spellStart"/>
      <w:r w:rsidR="00CD24DA" w:rsidRPr="00CD24DA">
        <w:rPr>
          <w:rFonts w:ascii="Times New Roman" w:hAnsi="Times New Roman"/>
          <w:sz w:val="22"/>
          <w:szCs w:val="22"/>
          <w:lang w:val="sk-SK"/>
        </w:rPr>
        <w:t>vnútrosvalovom</w:t>
      </w:r>
      <w:proofErr w:type="spellEnd"/>
      <w:r w:rsidR="00CD24DA" w:rsidRPr="00CD24DA">
        <w:rPr>
          <w:rFonts w:ascii="Times New Roman" w:hAnsi="Times New Roman"/>
          <w:sz w:val="22"/>
          <w:szCs w:val="22"/>
          <w:lang w:val="sk-SK"/>
        </w:rPr>
        <w:t xml:space="preserve"> podaní sa môže objavi</w:t>
      </w:r>
      <w:r w:rsidR="00CD24DA" w:rsidRPr="00CD24DA">
        <w:rPr>
          <w:rFonts w:ascii="Times New Roman" w:hAnsi="Times New Roman" w:hint="eastAsia"/>
          <w:sz w:val="22"/>
          <w:szCs w:val="22"/>
          <w:lang w:val="sk-SK"/>
        </w:rPr>
        <w:t>ť</w:t>
      </w:r>
      <w:r w:rsidR="00CD24DA" w:rsidRPr="00CD24DA">
        <w:rPr>
          <w:rFonts w:ascii="Times New Roman" w:hAnsi="Times New Roman"/>
          <w:sz w:val="22"/>
          <w:szCs w:val="22"/>
          <w:lang w:val="sk-SK"/>
        </w:rPr>
        <w:t xml:space="preserve"> lokálne podráždenie kože, pocit bolesti </w:t>
      </w:r>
      <w:r w:rsidR="00CD24DA" w:rsidRPr="00CD24DA">
        <w:rPr>
          <w:rFonts w:ascii="Times New Roman" w:hAnsi="Times New Roman" w:hint="eastAsia"/>
          <w:sz w:val="22"/>
          <w:szCs w:val="22"/>
          <w:lang w:val="sk-SK"/>
        </w:rPr>
        <w:t>č</w:t>
      </w:r>
      <w:r w:rsidR="00CD24DA" w:rsidRPr="00CD24DA">
        <w:rPr>
          <w:rFonts w:ascii="Times New Roman" w:hAnsi="Times New Roman"/>
          <w:sz w:val="22"/>
          <w:szCs w:val="22"/>
          <w:lang w:val="sk-SK"/>
        </w:rPr>
        <w:t>i tromboflebitída (povrchový z</w:t>
      </w:r>
      <w:r w:rsidR="007E0CA8" w:rsidRPr="007E0CA8">
        <w:rPr>
          <w:rFonts w:ascii="Times New Roman" w:hAnsi="Times New Roman"/>
          <w:sz w:val="22"/>
          <w:szCs w:val="22"/>
          <w:lang w:val="sk-SK"/>
        </w:rPr>
        <w:t>ápal žíl) v okolí miesta vpichu</w:t>
      </w:r>
    </w:p>
    <w:p w:rsidR="00662DEB" w:rsidRPr="00521039" w:rsidRDefault="00662DEB" w:rsidP="00662DEB">
      <w:pPr>
        <w:rPr>
          <w:rFonts w:ascii="Times New Roman" w:hAnsi="Times New Roman"/>
          <w:sz w:val="22"/>
          <w:szCs w:val="22"/>
          <w:lang w:val="sk-SK"/>
        </w:rPr>
      </w:pPr>
    </w:p>
    <w:p w:rsidR="00662DEB" w:rsidRPr="00521039" w:rsidRDefault="00662DEB" w:rsidP="00662DEB">
      <w:pPr>
        <w:rPr>
          <w:rFonts w:ascii="Times New Roman" w:hAnsi="Times New Roman"/>
          <w:b/>
          <w:sz w:val="22"/>
          <w:szCs w:val="22"/>
          <w:lang w:val="sk-SK"/>
        </w:rPr>
      </w:pPr>
      <w:r w:rsidRPr="00521039">
        <w:rPr>
          <w:rFonts w:ascii="Times New Roman" w:hAnsi="Times New Roman"/>
          <w:b/>
          <w:sz w:val="22"/>
          <w:szCs w:val="22"/>
          <w:lang w:val="sk-SK"/>
        </w:rPr>
        <w:t>Hlásenie vedľajších účinkov</w:t>
      </w:r>
    </w:p>
    <w:p w:rsidR="00662DEB" w:rsidRPr="00521039" w:rsidRDefault="00662DEB" w:rsidP="00662DEB">
      <w:pPr>
        <w:ind w:right="-2"/>
        <w:rPr>
          <w:rFonts w:ascii="Times New Roman" w:hAnsi="Times New Roman"/>
          <w:b/>
          <w:sz w:val="22"/>
          <w:szCs w:val="22"/>
          <w:lang w:val="sk-SK"/>
        </w:rPr>
      </w:pPr>
      <w:r w:rsidRPr="00521039">
        <w:rPr>
          <w:rFonts w:ascii="Times New Roman" w:hAnsi="Times New Roman"/>
          <w:sz w:val="22"/>
          <w:szCs w:val="22"/>
          <w:lang w:val="sk-SK"/>
        </w:rPr>
        <w:t xml:space="preserve">Ak sa u vás vyskytne akýkoľvek vedľajší účinok, obráťte sa na svojho lekára, lekárnika alebo zdravotnú sestru. To sa týka aj akýchkoľvek vedľajších účinkov, ktoré nie sú uvedené v tejto písomnej informácii. Vedľajšie účinky môžete hlásiť aj priamo </w:t>
      </w:r>
      <w:r w:rsidR="00F24439">
        <w:rPr>
          <w:rFonts w:ascii="Times New Roman" w:hAnsi="Times New Roman"/>
          <w:noProof/>
          <w:sz w:val="22"/>
          <w:szCs w:val="22"/>
          <w:lang w:val="sk-SK"/>
        </w:rPr>
        <w:t>na</w:t>
      </w:r>
      <w:r w:rsidR="00F24439" w:rsidRPr="00521039">
        <w:rPr>
          <w:rFonts w:ascii="Times New Roman" w:hAnsi="Times New Roman"/>
          <w:noProof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noProof/>
          <w:sz w:val="22"/>
          <w:szCs w:val="22"/>
          <w:highlight w:val="lightGray"/>
          <w:lang w:val="sk-SK"/>
        </w:rPr>
        <w:t xml:space="preserve">národné </w:t>
      </w:r>
      <w:r w:rsidR="00F24439">
        <w:rPr>
          <w:rFonts w:ascii="Times New Roman" w:hAnsi="Times New Roman"/>
          <w:noProof/>
          <w:sz w:val="22"/>
          <w:szCs w:val="22"/>
          <w:highlight w:val="lightGray"/>
          <w:lang w:val="sk-SK"/>
        </w:rPr>
        <w:t>centrum</w:t>
      </w:r>
      <w:r w:rsidRPr="00521039">
        <w:rPr>
          <w:rFonts w:ascii="Times New Roman" w:hAnsi="Times New Roman"/>
          <w:noProof/>
          <w:sz w:val="22"/>
          <w:szCs w:val="22"/>
          <w:highlight w:val="lightGray"/>
          <w:lang w:val="sk-SK"/>
        </w:rPr>
        <w:t xml:space="preserve"> hlásenia uvedené v </w:t>
      </w:r>
      <w:hyperlink r:id="rId7" w:history="1">
        <w:r w:rsidRPr="00521039">
          <w:rPr>
            <w:rStyle w:val="Hypertextovprepojenie"/>
            <w:rFonts w:ascii="Times New Roman" w:hAnsi="Times New Roman"/>
            <w:noProof/>
            <w:sz w:val="22"/>
            <w:szCs w:val="22"/>
            <w:highlight w:val="lightGray"/>
            <w:lang w:val="sk-SK"/>
          </w:rPr>
          <w:t>Prílohe V</w:t>
        </w:r>
      </w:hyperlink>
      <w:r w:rsidRPr="00521039">
        <w:rPr>
          <w:rFonts w:ascii="Times New Roman" w:hAnsi="Times New Roman"/>
          <w:noProof/>
          <w:sz w:val="22"/>
          <w:szCs w:val="22"/>
          <w:lang w:val="sk-SK"/>
        </w:rPr>
        <w:t>.</w:t>
      </w:r>
      <w:r w:rsidRPr="00521039">
        <w:rPr>
          <w:rFonts w:ascii="Times New Roman" w:hAnsi="Times New Roman"/>
          <w:sz w:val="22"/>
          <w:szCs w:val="22"/>
          <w:lang w:val="sk-SK"/>
        </w:rPr>
        <w:t xml:space="preserve"> Hlásením vedľajších účinkov môžete prispieť k získaniu ďalších informácií o bezpečnosti tohto lieku.</w:t>
      </w:r>
    </w:p>
    <w:p w:rsidR="00662DEB" w:rsidRPr="00521039" w:rsidRDefault="00662DEB" w:rsidP="00662DEB">
      <w:pPr>
        <w:rPr>
          <w:rFonts w:ascii="Times New Roman" w:hAnsi="Times New Roman"/>
          <w:sz w:val="22"/>
          <w:szCs w:val="22"/>
          <w:lang w:val="sk-SK"/>
        </w:rPr>
      </w:pPr>
    </w:p>
    <w:p w:rsidR="00BA05A3" w:rsidRPr="00BA05A3" w:rsidRDefault="00BA05A3" w:rsidP="00BA05A3">
      <w:pPr>
        <w:rPr>
          <w:rFonts w:ascii="Times New Roman" w:hAnsi="Times New Roman"/>
          <w:sz w:val="22"/>
          <w:szCs w:val="22"/>
          <w:lang w:val="sk-SK"/>
        </w:rPr>
      </w:pPr>
    </w:p>
    <w:p w:rsidR="00BA05A3" w:rsidRPr="0015278C" w:rsidRDefault="00BA05A3" w:rsidP="00BA05A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Times New Roman" w:hAnsi="Times New Roman"/>
          <w:b/>
          <w:sz w:val="22"/>
          <w:szCs w:val="22"/>
          <w:lang w:val="sk-SK"/>
        </w:rPr>
      </w:pPr>
      <w:r w:rsidRPr="00BA05A3">
        <w:rPr>
          <w:rFonts w:ascii="Times New Roman" w:hAnsi="Times New Roman"/>
          <w:b/>
          <w:sz w:val="22"/>
          <w:szCs w:val="22"/>
          <w:lang w:val="sk-SK"/>
        </w:rPr>
        <w:t>Ako uchovávať</w:t>
      </w:r>
      <w:r w:rsidRPr="0015278C">
        <w:rPr>
          <w:rFonts w:ascii="Times New Roman" w:hAnsi="Times New Roman"/>
          <w:b/>
          <w:sz w:val="22"/>
          <w:szCs w:val="22"/>
          <w:lang w:val="sk-SK"/>
        </w:rPr>
        <w:t xml:space="preserve"> </w:t>
      </w:r>
      <w:r w:rsidR="0015278C" w:rsidRPr="0015278C">
        <w:rPr>
          <w:rFonts w:ascii="Times New Roman" w:hAnsi="Times New Roman"/>
          <w:b/>
          <w:sz w:val="22"/>
          <w:szCs w:val="22"/>
        </w:rPr>
        <w:t xml:space="preserve">AMPICILIN </w:t>
      </w:r>
      <w:r w:rsidR="007D053C">
        <w:rPr>
          <w:rFonts w:ascii="Times New Roman" w:hAnsi="Times New Roman"/>
          <w:b/>
          <w:sz w:val="22"/>
          <w:szCs w:val="22"/>
        </w:rPr>
        <w:t>BBP</w:t>
      </w:r>
    </w:p>
    <w:p w:rsidR="00BA05A3" w:rsidRPr="00BA05A3" w:rsidRDefault="00BA05A3" w:rsidP="00BA05A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</w:p>
    <w:p w:rsidR="00BA05A3" w:rsidRPr="00BA05A3" w:rsidRDefault="00BA05A3" w:rsidP="00BA05A3">
      <w:p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  <w:r w:rsidRPr="00BA05A3">
        <w:rPr>
          <w:rFonts w:ascii="Times New Roman" w:hAnsi="Times New Roman"/>
          <w:noProof/>
          <w:sz w:val="22"/>
          <w:szCs w:val="22"/>
          <w:lang w:val="sk-SK"/>
        </w:rPr>
        <w:t>Uchovávajte pri teplote do 25 °C v pôvodnom obale, na ochranu pred svetlom a vlhkosťou</w:t>
      </w:r>
      <w:r w:rsidRPr="00BA05A3">
        <w:rPr>
          <w:rFonts w:ascii="Times New Roman" w:hAnsi="Times New Roman"/>
          <w:sz w:val="22"/>
          <w:szCs w:val="22"/>
          <w:lang w:val="sk-SK"/>
        </w:rPr>
        <w:t>.</w:t>
      </w:r>
    </w:p>
    <w:p w:rsidR="00BA05A3" w:rsidRPr="00BA05A3" w:rsidRDefault="00BA05A3" w:rsidP="00BA05A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</w:p>
    <w:p w:rsidR="00BA05A3" w:rsidRPr="00BA05A3" w:rsidRDefault="00BA05A3" w:rsidP="00BA05A3">
      <w:pPr>
        <w:rPr>
          <w:rFonts w:ascii="Times New Roman" w:hAnsi="Times New Roman"/>
          <w:sz w:val="22"/>
          <w:szCs w:val="22"/>
          <w:lang w:val="sk-SK"/>
        </w:rPr>
      </w:pPr>
      <w:r w:rsidRPr="00BA05A3">
        <w:rPr>
          <w:rFonts w:ascii="Times New Roman" w:hAnsi="Times New Roman"/>
          <w:sz w:val="22"/>
          <w:szCs w:val="22"/>
          <w:lang w:val="sk-SK"/>
        </w:rPr>
        <w:t>Tento liek uchovávajte mimo dohľadu a dosahu detí.</w:t>
      </w:r>
    </w:p>
    <w:p w:rsidR="00BA05A3" w:rsidRPr="00BA05A3" w:rsidRDefault="00BA05A3" w:rsidP="00BA05A3">
      <w:pPr>
        <w:rPr>
          <w:rFonts w:ascii="Times New Roman" w:hAnsi="Times New Roman"/>
          <w:sz w:val="22"/>
          <w:szCs w:val="22"/>
          <w:lang w:val="sk-SK"/>
        </w:rPr>
      </w:pPr>
    </w:p>
    <w:p w:rsidR="00BA05A3" w:rsidRPr="00BA05A3" w:rsidRDefault="00BA05A3" w:rsidP="00BA05A3">
      <w:pPr>
        <w:rPr>
          <w:rFonts w:ascii="Times New Roman" w:hAnsi="Times New Roman"/>
          <w:sz w:val="22"/>
          <w:szCs w:val="22"/>
          <w:lang w:val="sk-SK"/>
        </w:rPr>
      </w:pPr>
      <w:r w:rsidRPr="00BA05A3">
        <w:rPr>
          <w:rFonts w:ascii="Times New Roman" w:hAnsi="Times New Roman"/>
          <w:sz w:val="22"/>
          <w:szCs w:val="22"/>
          <w:lang w:val="sk-SK"/>
        </w:rPr>
        <w:t>Nepoužívajte tento liek po dátume exspirácie, ktorý je uvedený na škatuľke po EXP. Dátum exspirácie sa vzťahuje na posledný deň v danom mesiaci.</w:t>
      </w:r>
    </w:p>
    <w:p w:rsidR="00BA05A3" w:rsidRPr="00BA05A3" w:rsidRDefault="00BA05A3" w:rsidP="00BA05A3">
      <w:pPr>
        <w:rPr>
          <w:rFonts w:ascii="Times New Roman" w:hAnsi="Times New Roman"/>
          <w:sz w:val="22"/>
          <w:szCs w:val="22"/>
          <w:lang w:val="sk-SK"/>
        </w:rPr>
      </w:pPr>
    </w:p>
    <w:p w:rsidR="00BA05A3" w:rsidRPr="00BA05A3" w:rsidRDefault="00BA05A3" w:rsidP="00BA05A3">
      <w:pPr>
        <w:rPr>
          <w:rFonts w:ascii="Times New Roman" w:hAnsi="Times New Roman"/>
          <w:sz w:val="22"/>
          <w:szCs w:val="22"/>
          <w:lang w:val="sk-SK"/>
        </w:rPr>
      </w:pPr>
      <w:r w:rsidRPr="00BA05A3">
        <w:rPr>
          <w:rFonts w:ascii="Times New Roman" w:hAnsi="Times New Roman"/>
          <w:sz w:val="22"/>
          <w:szCs w:val="22"/>
          <w:lang w:val="sk-SK"/>
        </w:rPr>
        <w:t>Nelikvidujte lieky odpadovou vodou alebo domovým odpadom. Nepoužitý liek vráťte do lekárne. Tieto opatrenia pomôžu chrániť životné prostredie.</w:t>
      </w:r>
    </w:p>
    <w:p w:rsidR="00BA05A3" w:rsidRPr="00BA05A3" w:rsidRDefault="00BA05A3" w:rsidP="00BA05A3">
      <w:p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</w:p>
    <w:p w:rsidR="00FA1CF1" w:rsidRDefault="00FA1CF1" w:rsidP="00A159E7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B241AE" w:rsidRPr="00B241AE" w:rsidRDefault="00B241AE" w:rsidP="00B241AE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Times New Roman" w:hAnsi="Times New Roman"/>
          <w:b/>
          <w:sz w:val="22"/>
          <w:szCs w:val="22"/>
          <w:lang w:val="sk-SK"/>
        </w:rPr>
      </w:pPr>
      <w:r w:rsidRPr="00B241AE">
        <w:rPr>
          <w:rFonts w:ascii="Times New Roman" w:hAnsi="Times New Roman"/>
          <w:b/>
          <w:sz w:val="22"/>
          <w:szCs w:val="22"/>
          <w:lang w:val="sk-SK"/>
        </w:rPr>
        <w:t>Obsah balenia a ďalšie informácie</w:t>
      </w:r>
    </w:p>
    <w:p w:rsidR="00B241AE" w:rsidRPr="00B241AE" w:rsidRDefault="00B241AE" w:rsidP="00B241A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</w:p>
    <w:p w:rsidR="00B241AE" w:rsidRPr="00B241AE" w:rsidRDefault="00B241AE" w:rsidP="00B241AE">
      <w:pPr>
        <w:rPr>
          <w:rFonts w:ascii="Times New Roman" w:hAnsi="Times New Roman"/>
          <w:b/>
          <w:sz w:val="22"/>
          <w:szCs w:val="22"/>
          <w:lang w:val="sk-SK"/>
        </w:rPr>
      </w:pPr>
      <w:r w:rsidRPr="00B241AE">
        <w:rPr>
          <w:rFonts w:ascii="Times New Roman" w:hAnsi="Times New Roman"/>
          <w:b/>
          <w:sz w:val="22"/>
          <w:szCs w:val="22"/>
          <w:lang w:val="sk-SK"/>
        </w:rPr>
        <w:t xml:space="preserve">Čo </w:t>
      </w:r>
      <w:r w:rsidR="00D208E7">
        <w:rPr>
          <w:rFonts w:ascii="Times New Roman" w:hAnsi="Times New Roman"/>
          <w:b/>
          <w:sz w:val="22"/>
          <w:szCs w:val="22"/>
          <w:lang w:val="sk-SK"/>
        </w:rPr>
        <w:t xml:space="preserve">AMPICILIN </w:t>
      </w:r>
      <w:r w:rsidR="007D053C">
        <w:rPr>
          <w:rFonts w:ascii="Times New Roman" w:hAnsi="Times New Roman"/>
          <w:b/>
          <w:sz w:val="22"/>
          <w:szCs w:val="22"/>
          <w:lang w:val="sk-SK"/>
        </w:rPr>
        <w:t>BBP</w:t>
      </w:r>
      <w:r w:rsidRPr="00B241AE">
        <w:rPr>
          <w:rFonts w:ascii="Times New Roman" w:hAnsi="Times New Roman"/>
          <w:b/>
          <w:sz w:val="22"/>
          <w:szCs w:val="22"/>
          <w:lang w:val="sk-SK"/>
        </w:rPr>
        <w:t xml:space="preserve"> obsahuje</w:t>
      </w:r>
    </w:p>
    <w:p w:rsidR="00B241AE" w:rsidRPr="00B241AE" w:rsidRDefault="00B241AE" w:rsidP="00B241AE">
      <w:pPr>
        <w:rPr>
          <w:rFonts w:ascii="Times New Roman" w:hAnsi="Times New Roman"/>
          <w:sz w:val="22"/>
          <w:szCs w:val="22"/>
          <w:lang w:val="sk-SK"/>
        </w:rPr>
      </w:pPr>
    </w:p>
    <w:p w:rsidR="00090460" w:rsidRDefault="00CD24DA" w:rsidP="00A159E7">
      <w:pPr>
        <w:pStyle w:val="Zkladntext"/>
        <w:tabs>
          <w:tab w:val="left" w:pos="1134"/>
        </w:tabs>
        <w:ind w:left="2381" w:hanging="2381"/>
        <w:jc w:val="left"/>
        <w:rPr>
          <w:rFonts w:ascii="Times New Roman" w:hAnsi="Times New Roman"/>
          <w:b w:val="0"/>
          <w:sz w:val="22"/>
          <w:szCs w:val="22"/>
        </w:rPr>
      </w:pPr>
      <w:r w:rsidRPr="00CD24DA">
        <w:rPr>
          <w:rFonts w:ascii="Times New Roman" w:hAnsi="Times New Roman"/>
          <w:sz w:val="22"/>
          <w:szCs w:val="22"/>
        </w:rPr>
        <w:t xml:space="preserve">AMPICILIN </w:t>
      </w:r>
      <w:r w:rsidR="007D053C">
        <w:rPr>
          <w:rFonts w:ascii="Times New Roman" w:hAnsi="Times New Roman"/>
          <w:sz w:val="22"/>
          <w:szCs w:val="22"/>
        </w:rPr>
        <w:t>BBP 0,5 g</w:t>
      </w:r>
      <w:r w:rsidRPr="00CD24DA">
        <w:rPr>
          <w:rFonts w:ascii="Times New Roman" w:hAnsi="Times New Roman"/>
          <w:sz w:val="22"/>
          <w:szCs w:val="22"/>
        </w:rPr>
        <w:t>:</w:t>
      </w:r>
      <w:r w:rsidR="00157DA5" w:rsidRPr="00521039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601531" w:rsidRDefault="00090460">
      <w:pPr>
        <w:pStyle w:val="Zkladntext"/>
        <w:tabs>
          <w:tab w:val="left" w:pos="1134"/>
        </w:tabs>
        <w:ind w:left="2381" w:hanging="2381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Jedna injekčná liekovka obsahuje </w:t>
      </w:r>
      <w:smartTag w:uri="urn:schemas-microsoft-com:office:smarttags" w:element="metricconverter">
        <w:smartTagPr>
          <w:attr w:name="ProductID" w:val="0,53 g"/>
        </w:smartTagPr>
        <w:r w:rsidRPr="008B38EC">
          <w:rPr>
            <w:rFonts w:ascii="Times New Roman" w:hAnsi="Times New Roman"/>
            <w:b w:val="0"/>
            <w:sz w:val="22"/>
            <w:szCs w:val="22"/>
          </w:rPr>
          <w:t>0,53 g</w:t>
        </w:r>
      </w:smartTag>
      <w:r w:rsidRPr="008B38EC" w:rsidDel="00C25EE8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sodnej soli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ampicilínu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čo 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zodpovedá 0,5 g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ampicilínu</w:t>
      </w:r>
      <w:proofErr w:type="spellEnd"/>
      <w:r>
        <w:rPr>
          <w:rFonts w:ascii="Times New Roman" w:hAnsi="Times New Roman"/>
          <w:b w:val="0"/>
          <w:sz w:val="22"/>
          <w:szCs w:val="22"/>
        </w:rPr>
        <w:t>.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6A41C2" w:rsidRDefault="006A41C2">
      <w:pPr>
        <w:pStyle w:val="Zkladntext"/>
        <w:tabs>
          <w:tab w:val="left" w:pos="1134"/>
        </w:tabs>
        <w:ind w:left="2381" w:hanging="2381"/>
        <w:jc w:val="left"/>
        <w:rPr>
          <w:rFonts w:ascii="Times New Roman" w:hAnsi="Times New Roman"/>
          <w:b w:val="0"/>
          <w:sz w:val="22"/>
          <w:szCs w:val="22"/>
        </w:rPr>
      </w:pPr>
    </w:p>
    <w:p w:rsidR="00090460" w:rsidRDefault="00CD24DA" w:rsidP="00A159E7">
      <w:pPr>
        <w:pStyle w:val="Zkladntext"/>
        <w:tabs>
          <w:tab w:val="left" w:pos="1134"/>
        </w:tabs>
        <w:ind w:left="2381" w:hanging="2381"/>
        <w:jc w:val="left"/>
        <w:rPr>
          <w:rFonts w:ascii="Times New Roman" w:hAnsi="Times New Roman"/>
          <w:b w:val="0"/>
          <w:i/>
          <w:sz w:val="22"/>
          <w:szCs w:val="22"/>
          <w:u w:val="single"/>
        </w:rPr>
      </w:pPr>
      <w:r w:rsidRPr="00CD24DA">
        <w:rPr>
          <w:rFonts w:ascii="Times New Roman" w:hAnsi="Times New Roman"/>
          <w:sz w:val="22"/>
          <w:szCs w:val="22"/>
        </w:rPr>
        <w:t xml:space="preserve">AMPICILIN </w:t>
      </w:r>
      <w:r w:rsidR="007D053C">
        <w:rPr>
          <w:rFonts w:ascii="Times New Roman" w:hAnsi="Times New Roman"/>
          <w:sz w:val="22"/>
          <w:szCs w:val="22"/>
        </w:rPr>
        <w:t>BBP 1 g</w:t>
      </w:r>
      <w:r w:rsidRPr="00CD24DA">
        <w:rPr>
          <w:rFonts w:ascii="Times New Roman" w:hAnsi="Times New Roman"/>
          <w:sz w:val="22"/>
          <w:szCs w:val="22"/>
        </w:rPr>
        <w:t>:</w:t>
      </w:r>
      <w:r w:rsidR="00157DA5" w:rsidRPr="00521039">
        <w:rPr>
          <w:rFonts w:ascii="Times New Roman" w:hAnsi="Times New Roman"/>
          <w:b w:val="0"/>
          <w:i/>
          <w:sz w:val="22"/>
          <w:szCs w:val="22"/>
          <w:u w:val="single"/>
        </w:rPr>
        <w:t xml:space="preserve"> </w:t>
      </w:r>
    </w:p>
    <w:p w:rsidR="0035734E" w:rsidRPr="00521039" w:rsidRDefault="00090460" w:rsidP="00090460">
      <w:pPr>
        <w:pStyle w:val="Zkladntext"/>
        <w:tabs>
          <w:tab w:val="left" w:pos="1134"/>
        </w:tabs>
        <w:ind w:left="2381" w:hanging="2381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Jedna injekčná liekovka obsahuje </w:t>
      </w:r>
      <w:r w:rsidRPr="008B38EC">
        <w:rPr>
          <w:rFonts w:ascii="Times New Roman" w:hAnsi="Times New Roman"/>
          <w:b w:val="0"/>
          <w:sz w:val="22"/>
          <w:szCs w:val="22"/>
        </w:rPr>
        <w:t>1,06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8B38EC">
        <w:rPr>
          <w:rFonts w:ascii="Times New Roman" w:hAnsi="Times New Roman"/>
          <w:b w:val="0"/>
          <w:sz w:val="22"/>
          <w:szCs w:val="22"/>
        </w:rPr>
        <w:t>g</w:t>
      </w:r>
      <w:r w:rsidRPr="008B38EC" w:rsidDel="00C25EE8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sodnej soli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ampicilínu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čo 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zodpovedá </w:t>
      </w:r>
      <w:r>
        <w:rPr>
          <w:rFonts w:ascii="Times New Roman" w:hAnsi="Times New Roman"/>
          <w:b w:val="0"/>
          <w:sz w:val="22"/>
          <w:szCs w:val="22"/>
        </w:rPr>
        <w:t>1,0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 g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ampicilínu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8B38EC">
        <w:rPr>
          <w:rFonts w:ascii="Times New Roman" w:hAnsi="Times New Roman"/>
          <w:sz w:val="22"/>
          <w:szCs w:val="22"/>
        </w:rPr>
        <w:t xml:space="preserve"> </w:t>
      </w:r>
    </w:p>
    <w:p w:rsidR="00C21CE5" w:rsidRDefault="00C21CE5" w:rsidP="00A159E7">
      <w:pPr>
        <w:pStyle w:val="Zkladntext"/>
        <w:tabs>
          <w:tab w:val="left" w:pos="1134"/>
        </w:tabs>
        <w:ind w:left="2381" w:hanging="2381"/>
        <w:jc w:val="left"/>
        <w:rPr>
          <w:rFonts w:ascii="Times New Roman" w:hAnsi="Times New Roman"/>
          <w:b w:val="0"/>
          <w:sz w:val="22"/>
          <w:szCs w:val="22"/>
        </w:rPr>
      </w:pPr>
    </w:p>
    <w:p w:rsidR="0035734E" w:rsidRPr="00521039" w:rsidRDefault="0035734E" w:rsidP="00A159E7">
      <w:pPr>
        <w:pStyle w:val="Zkladntext"/>
        <w:tabs>
          <w:tab w:val="left" w:pos="1134"/>
        </w:tabs>
        <w:ind w:left="2381" w:hanging="2381"/>
        <w:jc w:val="left"/>
        <w:rPr>
          <w:rFonts w:ascii="Times New Roman" w:hAnsi="Times New Roman"/>
          <w:b w:val="0"/>
          <w:sz w:val="22"/>
          <w:szCs w:val="22"/>
        </w:rPr>
      </w:pPr>
      <w:r w:rsidRPr="00521039">
        <w:rPr>
          <w:rFonts w:ascii="Times New Roman" w:hAnsi="Times New Roman"/>
          <w:b w:val="0"/>
          <w:sz w:val="22"/>
          <w:szCs w:val="22"/>
        </w:rPr>
        <w:t xml:space="preserve">1 g </w:t>
      </w:r>
      <w:r w:rsidR="00A31A22" w:rsidRPr="00521039">
        <w:rPr>
          <w:rFonts w:ascii="Times New Roman" w:hAnsi="Times New Roman"/>
          <w:b w:val="0"/>
          <w:sz w:val="22"/>
          <w:szCs w:val="22"/>
        </w:rPr>
        <w:t>A</w:t>
      </w:r>
      <w:r w:rsidR="00A31A22">
        <w:rPr>
          <w:rFonts w:ascii="Times New Roman" w:hAnsi="Times New Roman"/>
          <w:b w:val="0"/>
          <w:sz w:val="22"/>
          <w:szCs w:val="22"/>
        </w:rPr>
        <w:t xml:space="preserve">MPICILINU </w:t>
      </w:r>
      <w:r w:rsidR="007D053C">
        <w:rPr>
          <w:rFonts w:ascii="Times New Roman" w:hAnsi="Times New Roman"/>
          <w:b w:val="0"/>
          <w:sz w:val="22"/>
          <w:szCs w:val="22"/>
        </w:rPr>
        <w:t>BBP</w:t>
      </w:r>
      <w:r w:rsidRPr="00521039">
        <w:rPr>
          <w:rFonts w:ascii="Times New Roman" w:hAnsi="Times New Roman"/>
          <w:b w:val="0"/>
          <w:sz w:val="22"/>
          <w:szCs w:val="22"/>
        </w:rPr>
        <w:t xml:space="preserve"> obsahuje 2,7 mmol</w:t>
      </w:r>
      <w:r w:rsidR="006623FA">
        <w:rPr>
          <w:rFonts w:ascii="Times New Roman" w:hAnsi="Times New Roman"/>
          <w:b w:val="0"/>
          <w:sz w:val="22"/>
          <w:szCs w:val="22"/>
        </w:rPr>
        <w:t xml:space="preserve"> </w:t>
      </w:r>
      <w:r w:rsidR="00F33CED">
        <w:rPr>
          <w:rFonts w:ascii="Times New Roman" w:hAnsi="Times New Roman"/>
          <w:b w:val="0"/>
          <w:sz w:val="22"/>
          <w:szCs w:val="22"/>
        </w:rPr>
        <w:t>sodíka</w:t>
      </w:r>
      <w:r w:rsidRPr="00521039">
        <w:rPr>
          <w:rFonts w:ascii="Times New Roman" w:hAnsi="Times New Roman"/>
          <w:b w:val="0"/>
          <w:sz w:val="22"/>
          <w:szCs w:val="22"/>
        </w:rPr>
        <w:t>.</w:t>
      </w:r>
    </w:p>
    <w:p w:rsidR="0035734E" w:rsidRDefault="0035734E" w:rsidP="00A159E7">
      <w:pPr>
        <w:pStyle w:val="Zkladntext"/>
        <w:tabs>
          <w:tab w:val="left" w:pos="1134"/>
        </w:tabs>
        <w:ind w:left="2381" w:hanging="2381"/>
        <w:jc w:val="left"/>
        <w:rPr>
          <w:rFonts w:ascii="Times New Roman" w:hAnsi="Times New Roman"/>
          <w:b w:val="0"/>
          <w:sz w:val="22"/>
          <w:szCs w:val="22"/>
        </w:rPr>
      </w:pPr>
    </w:p>
    <w:p w:rsidR="00656C40" w:rsidRPr="00656C40" w:rsidRDefault="00656C40" w:rsidP="00656C4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2"/>
          <w:lang w:val="sk-SK"/>
        </w:rPr>
      </w:pPr>
      <w:r w:rsidRPr="00656C40">
        <w:rPr>
          <w:rFonts w:ascii="Times New Roman" w:hAnsi="Times New Roman"/>
          <w:b/>
          <w:sz w:val="22"/>
          <w:szCs w:val="22"/>
          <w:lang w:val="sk-SK"/>
        </w:rPr>
        <w:t xml:space="preserve">Ako vyzerá </w:t>
      </w:r>
      <w:r>
        <w:rPr>
          <w:rFonts w:ascii="Times New Roman" w:hAnsi="Times New Roman"/>
          <w:b/>
          <w:sz w:val="22"/>
          <w:szCs w:val="22"/>
          <w:lang w:val="sk-SK"/>
        </w:rPr>
        <w:t xml:space="preserve">AMPICILIN </w:t>
      </w:r>
      <w:r w:rsidR="007D053C">
        <w:rPr>
          <w:rFonts w:ascii="Times New Roman" w:hAnsi="Times New Roman"/>
          <w:b/>
          <w:sz w:val="22"/>
          <w:szCs w:val="22"/>
          <w:lang w:val="sk-SK"/>
        </w:rPr>
        <w:t>BBP</w:t>
      </w:r>
      <w:r w:rsidRPr="00656C40">
        <w:rPr>
          <w:rFonts w:ascii="Times New Roman" w:hAnsi="Times New Roman"/>
          <w:b/>
          <w:sz w:val="22"/>
          <w:szCs w:val="22"/>
          <w:lang w:val="sk-SK"/>
        </w:rPr>
        <w:t xml:space="preserve"> a obsah balenia</w:t>
      </w:r>
    </w:p>
    <w:p w:rsidR="00656C40" w:rsidRPr="00656C40" w:rsidRDefault="00656C40" w:rsidP="00656C40">
      <w:pPr>
        <w:autoSpaceDE w:val="0"/>
        <w:autoSpaceDN w:val="0"/>
        <w:rPr>
          <w:rFonts w:ascii="Times New Roman" w:hAnsi="Times New Roman"/>
          <w:sz w:val="22"/>
          <w:szCs w:val="22"/>
          <w:lang w:val="sk-SK"/>
        </w:rPr>
      </w:pPr>
    </w:p>
    <w:p w:rsidR="008F6650" w:rsidRPr="008F6650" w:rsidRDefault="00462B49" w:rsidP="008F6650">
      <w:pPr>
        <w:autoSpaceDE w:val="0"/>
        <w:autoSpaceDN w:val="0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sk-SK"/>
        </w:rPr>
        <w:t>Injekčná l</w:t>
      </w:r>
      <w:r w:rsidR="008F6650" w:rsidRPr="008F6650">
        <w:rPr>
          <w:rFonts w:ascii="Times New Roman" w:hAnsi="Times New Roman"/>
          <w:sz w:val="22"/>
          <w:szCs w:val="22"/>
          <w:lang w:val="sk-SK"/>
        </w:rPr>
        <w:t>iekovka z bezfarebného skla s obrubou, gumová zátka, hliníkový uzáver s odnímateľným pla</w:t>
      </w:r>
      <w:r w:rsidR="00327DCC">
        <w:rPr>
          <w:rFonts w:ascii="Times New Roman" w:hAnsi="Times New Roman"/>
          <w:sz w:val="22"/>
          <w:szCs w:val="22"/>
          <w:lang w:val="sk-SK"/>
        </w:rPr>
        <w:t>s</w:t>
      </w:r>
      <w:r w:rsidR="008F6650" w:rsidRPr="008F6650">
        <w:rPr>
          <w:rFonts w:ascii="Times New Roman" w:hAnsi="Times New Roman"/>
          <w:sz w:val="22"/>
          <w:szCs w:val="22"/>
          <w:lang w:val="sk-SK"/>
        </w:rPr>
        <w:t xml:space="preserve">tovým </w:t>
      </w:r>
      <w:r w:rsidRPr="008F6650">
        <w:rPr>
          <w:rFonts w:ascii="Times New Roman" w:hAnsi="Times New Roman"/>
          <w:sz w:val="22"/>
          <w:szCs w:val="22"/>
          <w:lang w:val="sk-SK"/>
        </w:rPr>
        <w:t>(</w:t>
      </w:r>
      <w:proofErr w:type="spellStart"/>
      <w:r w:rsidRPr="008F6650">
        <w:rPr>
          <w:rFonts w:ascii="Times New Roman" w:hAnsi="Times New Roman"/>
          <w:sz w:val="22"/>
          <w:szCs w:val="22"/>
          <w:lang w:val="sk-SK"/>
        </w:rPr>
        <w:t>flip</w:t>
      </w:r>
      <w:proofErr w:type="spellEnd"/>
      <w:r w:rsidRPr="008F6650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8F6650">
        <w:rPr>
          <w:rFonts w:ascii="Times New Roman" w:hAnsi="Times New Roman"/>
          <w:sz w:val="22"/>
          <w:szCs w:val="22"/>
          <w:lang w:val="sk-SK"/>
        </w:rPr>
        <w:t>off</w:t>
      </w:r>
      <w:proofErr w:type="spellEnd"/>
      <w:r w:rsidRPr="008F6650">
        <w:rPr>
          <w:rFonts w:ascii="Times New Roman" w:hAnsi="Times New Roman"/>
          <w:sz w:val="22"/>
          <w:szCs w:val="22"/>
          <w:lang w:val="sk-SK"/>
        </w:rPr>
        <w:t>)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F6650" w:rsidRPr="008F6650">
        <w:rPr>
          <w:rFonts w:ascii="Times New Roman" w:hAnsi="Times New Roman"/>
          <w:sz w:val="22"/>
          <w:szCs w:val="22"/>
          <w:lang w:val="sk-SK"/>
        </w:rPr>
        <w:t>viečkom, škatuľka.</w:t>
      </w:r>
    </w:p>
    <w:p w:rsidR="001254B1" w:rsidRPr="00521039" w:rsidRDefault="001254B1" w:rsidP="001254B1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254B1" w:rsidRPr="00521039" w:rsidRDefault="001254B1" w:rsidP="001254B1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521039">
        <w:rPr>
          <w:rFonts w:ascii="Times New Roman" w:hAnsi="Times New Roman"/>
          <w:b w:val="0"/>
          <w:sz w:val="22"/>
          <w:szCs w:val="22"/>
        </w:rPr>
        <w:t xml:space="preserve">Veľkosť balenia: </w:t>
      </w:r>
      <w:r w:rsidRPr="00521039">
        <w:rPr>
          <w:rFonts w:ascii="Times New Roman" w:hAnsi="Times New Roman"/>
          <w:b w:val="0"/>
          <w:sz w:val="22"/>
          <w:szCs w:val="22"/>
        </w:rPr>
        <w:tab/>
        <w:t xml:space="preserve">1, </w:t>
      </w:r>
      <w:smartTag w:uri="urn:schemas-microsoft-com:office:smarttags" w:element="metricconverter">
        <w:smartTagPr>
          <w:attr w:name="ProductID" w:val="10 a"/>
        </w:smartTagPr>
        <w:r w:rsidRPr="00521039">
          <w:rPr>
            <w:rFonts w:ascii="Times New Roman" w:hAnsi="Times New Roman"/>
            <w:b w:val="0"/>
            <w:sz w:val="22"/>
            <w:szCs w:val="22"/>
          </w:rPr>
          <w:t>10 a</w:t>
        </w:r>
      </w:smartTag>
      <w:r w:rsidRPr="00521039">
        <w:rPr>
          <w:rFonts w:ascii="Times New Roman" w:hAnsi="Times New Roman"/>
          <w:b w:val="0"/>
          <w:sz w:val="22"/>
          <w:szCs w:val="22"/>
        </w:rPr>
        <w:t xml:space="preserve"> 50 injekčných liekoviek po 0,5 g</w:t>
      </w:r>
    </w:p>
    <w:p w:rsidR="001254B1" w:rsidRDefault="001254B1" w:rsidP="001254B1">
      <w:pPr>
        <w:pStyle w:val="Zkladntext"/>
        <w:ind w:left="1440" w:firstLine="720"/>
        <w:jc w:val="left"/>
        <w:rPr>
          <w:rFonts w:ascii="Times New Roman" w:hAnsi="Times New Roman"/>
          <w:b w:val="0"/>
          <w:sz w:val="22"/>
          <w:szCs w:val="22"/>
        </w:rPr>
      </w:pPr>
      <w:r w:rsidRPr="00521039">
        <w:rPr>
          <w:rFonts w:ascii="Times New Roman" w:hAnsi="Times New Roman"/>
          <w:b w:val="0"/>
          <w:sz w:val="22"/>
          <w:szCs w:val="22"/>
        </w:rPr>
        <w:t xml:space="preserve">1, </w:t>
      </w:r>
      <w:smartTag w:uri="urn:schemas-microsoft-com:office:smarttags" w:element="metricconverter">
        <w:smartTagPr>
          <w:attr w:name="ProductID" w:val="10 a"/>
        </w:smartTagPr>
        <w:r w:rsidRPr="00521039">
          <w:rPr>
            <w:rFonts w:ascii="Times New Roman" w:hAnsi="Times New Roman"/>
            <w:b w:val="0"/>
            <w:sz w:val="22"/>
            <w:szCs w:val="22"/>
          </w:rPr>
          <w:t>10 a</w:t>
        </w:r>
      </w:smartTag>
      <w:r w:rsidRPr="00521039">
        <w:rPr>
          <w:rFonts w:ascii="Times New Roman" w:hAnsi="Times New Roman"/>
          <w:b w:val="0"/>
          <w:sz w:val="22"/>
          <w:szCs w:val="22"/>
        </w:rPr>
        <w:t xml:space="preserve"> 50 injekčných liekoviek po </w:t>
      </w:r>
      <w:smartTag w:uri="urn:schemas-microsoft-com:office:smarttags" w:element="metricconverter">
        <w:smartTagPr>
          <w:attr w:name="ProductID" w:val="Key2"/>
        </w:smartTagPr>
        <w:r w:rsidRPr="00521039">
          <w:rPr>
            <w:rFonts w:ascii="Times New Roman" w:hAnsi="Times New Roman"/>
            <w:b w:val="0"/>
            <w:sz w:val="22"/>
            <w:szCs w:val="22"/>
          </w:rPr>
          <w:t>1,0 g</w:t>
        </w:r>
      </w:smartTag>
    </w:p>
    <w:p w:rsidR="009A7B67" w:rsidRPr="009A7B67" w:rsidRDefault="009A7B67" w:rsidP="009A7B67">
      <w:pPr>
        <w:tabs>
          <w:tab w:val="left" w:pos="720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val="sk-SK"/>
        </w:rPr>
      </w:pPr>
      <w:r w:rsidRPr="009A7B67">
        <w:rPr>
          <w:rFonts w:ascii="Times New Roman" w:hAnsi="Times New Roman"/>
          <w:sz w:val="22"/>
          <w:szCs w:val="22"/>
          <w:lang w:val="sk-SK"/>
        </w:rPr>
        <w:t>Na trh nemusia byť uvedené všetky veľkosti balenia.</w:t>
      </w:r>
    </w:p>
    <w:p w:rsidR="00656C40" w:rsidRDefault="00656C40" w:rsidP="00A159E7">
      <w:pPr>
        <w:pStyle w:val="Zkladntext"/>
        <w:tabs>
          <w:tab w:val="left" w:pos="1134"/>
        </w:tabs>
        <w:ind w:left="2381" w:hanging="2381"/>
        <w:jc w:val="left"/>
        <w:rPr>
          <w:rFonts w:ascii="Times New Roman" w:hAnsi="Times New Roman"/>
          <w:b w:val="0"/>
          <w:sz w:val="22"/>
          <w:szCs w:val="22"/>
        </w:rPr>
      </w:pPr>
    </w:p>
    <w:p w:rsidR="003D2868" w:rsidRDefault="003D2868" w:rsidP="003D2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521039">
        <w:rPr>
          <w:rFonts w:ascii="Times New Roman" w:hAnsi="Times New Roman"/>
          <w:sz w:val="22"/>
          <w:szCs w:val="22"/>
        </w:rPr>
        <w:t>Držiteľ rozhodnutia o</w:t>
      </w:r>
      <w:r>
        <w:rPr>
          <w:rFonts w:ascii="Times New Roman" w:hAnsi="Times New Roman"/>
          <w:sz w:val="22"/>
          <w:szCs w:val="22"/>
        </w:rPr>
        <w:t> </w:t>
      </w:r>
      <w:r w:rsidRPr="00521039">
        <w:rPr>
          <w:rFonts w:ascii="Times New Roman" w:hAnsi="Times New Roman"/>
          <w:sz w:val="22"/>
          <w:szCs w:val="22"/>
        </w:rPr>
        <w:t>registrácii</w:t>
      </w:r>
      <w:r>
        <w:rPr>
          <w:rFonts w:ascii="Times New Roman" w:hAnsi="Times New Roman"/>
          <w:sz w:val="22"/>
          <w:szCs w:val="22"/>
        </w:rPr>
        <w:t xml:space="preserve"> a výrobca</w:t>
      </w:r>
    </w:p>
    <w:p w:rsidR="003D2868" w:rsidRDefault="003D2868" w:rsidP="003D2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4E1353" w:rsidRPr="00CE0EAE" w:rsidRDefault="00654C04" w:rsidP="003D2868">
      <w:pPr>
        <w:pStyle w:val="Zkladntext"/>
        <w:jc w:val="left"/>
        <w:rPr>
          <w:rFonts w:ascii="Times New Roman" w:hAnsi="Times New Roman"/>
          <w:b w:val="0"/>
          <w:sz w:val="22"/>
          <w:szCs w:val="22"/>
          <w:u w:val="single"/>
        </w:rPr>
      </w:pPr>
      <w:r w:rsidRPr="00CE0EAE">
        <w:rPr>
          <w:rFonts w:ascii="Times New Roman" w:hAnsi="Times New Roman"/>
          <w:b w:val="0"/>
          <w:sz w:val="22"/>
          <w:szCs w:val="22"/>
          <w:u w:val="single"/>
        </w:rPr>
        <w:t>Držiteľ rozhodnutia o registrácii</w:t>
      </w:r>
    </w:p>
    <w:p w:rsidR="003D2868" w:rsidRPr="00521039" w:rsidRDefault="003D2868" w:rsidP="003D2868">
      <w:pPr>
        <w:rPr>
          <w:rFonts w:ascii="Times New Roman" w:hAnsi="Times New Roman"/>
          <w:bCs/>
          <w:sz w:val="22"/>
          <w:szCs w:val="22"/>
          <w:lang w:val="sk-SK"/>
        </w:rPr>
      </w:pPr>
      <w:r w:rsidRPr="00521039">
        <w:rPr>
          <w:rFonts w:ascii="Times New Roman" w:hAnsi="Times New Roman"/>
          <w:bCs/>
          <w:sz w:val="22"/>
          <w:szCs w:val="22"/>
          <w:lang w:val="sk-SK"/>
        </w:rPr>
        <w:t xml:space="preserve">BB </w:t>
      </w:r>
      <w:proofErr w:type="spellStart"/>
      <w:r w:rsidRPr="00521039">
        <w:rPr>
          <w:rFonts w:ascii="Times New Roman" w:hAnsi="Times New Roman"/>
          <w:bCs/>
          <w:sz w:val="22"/>
          <w:szCs w:val="22"/>
          <w:lang w:val="sk-SK"/>
        </w:rPr>
        <w:t>Pharma</w:t>
      </w:r>
      <w:proofErr w:type="spellEnd"/>
      <w:r w:rsidRPr="00521039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proofErr w:type="spellStart"/>
      <w:r w:rsidRPr="00521039">
        <w:rPr>
          <w:rFonts w:ascii="Times New Roman" w:hAnsi="Times New Roman"/>
          <w:bCs/>
          <w:sz w:val="22"/>
          <w:szCs w:val="22"/>
          <w:lang w:val="sk-SK"/>
        </w:rPr>
        <w:t>a.s</w:t>
      </w:r>
      <w:proofErr w:type="spellEnd"/>
      <w:r w:rsidRPr="00521039">
        <w:rPr>
          <w:rFonts w:ascii="Times New Roman" w:hAnsi="Times New Roman"/>
          <w:bCs/>
          <w:sz w:val="22"/>
          <w:szCs w:val="22"/>
          <w:lang w:val="sk-SK"/>
        </w:rPr>
        <w:t xml:space="preserve">., </w:t>
      </w:r>
      <w:proofErr w:type="spellStart"/>
      <w:r w:rsidR="0079666D">
        <w:rPr>
          <w:rFonts w:ascii="Times New Roman" w:hAnsi="Times New Roman"/>
          <w:bCs/>
          <w:sz w:val="22"/>
          <w:szCs w:val="22"/>
          <w:lang w:val="sk-SK"/>
        </w:rPr>
        <w:t>Durychova</w:t>
      </w:r>
      <w:proofErr w:type="spellEnd"/>
      <w:r w:rsidR="0079666D">
        <w:rPr>
          <w:rFonts w:ascii="Times New Roman" w:hAnsi="Times New Roman"/>
          <w:bCs/>
          <w:sz w:val="22"/>
          <w:szCs w:val="22"/>
          <w:lang w:val="sk-SK"/>
        </w:rPr>
        <w:t xml:space="preserve"> 101/66</w:t>
      </w:r>
      <w:r w:rsidRPr="00521039">
        <w:rPr>
          <w:rFonts w:ascii="Times New Roman" w:hAnsi="Times New Roman"/>
          <w:bCs/>
          <w:sz w:val="22"/>
          <w:szCs w:val="22"/>
          <w:lang w:val="sk-SK"/>
        </w:rPr>
        <w:t xml:space="preserve">, </w:t>
      </w:r>
      <w:r w:rsidR="00A94434" w:rsidRPr="00521039">
        <w:rPr>
          <w:rFonts w:ascii="Times New Roman" w:hAnsi="Times New Roman"/>
          <w:bCs/>
          <w:sz w:val="22"/>
          <w:szCs w:val="22"/>
          <w:lang w:val="sk-SK"/>
        </w:rPr>
        <w:t>14</w:t>
      </w:r>
      <w:r w:rsidR="00A94434">
        <w:rPr>
          <w:rFonts w:ascii="Times New Roman" w:hAnsi="Times New Roman"/>
          <w:bCs/>
          <w:sz w:val="22"/>
          <w:szCs w:val="22"/>
          <w:lang w:val="sk-SK"/>
        </w:rPr>
        <w:t>2</w:t>
      </w:r>
      <w:r w:rsidR="00A94434" w:rsidRPr="00521039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Pr="00521039">
        <w:rPr>
          <w:rFonts w:ascii="Times New Roman" w:hAnsi="Times New Roman"/>
          <w:bCs/>
          <w:sz w:val="22"/>
          <w:szCs w:val="22"/>
          <w:lang w:val="sk-SK"/>
        </w:rPr>
        <w:t>00 Praha 4</w:t>
      </w:r>
      <w:r w:rsidR="00A94434">
        <w:rPr>
          <w:rFonts w:ascii="Times New Roman" w:hAnsi="Times New Roman"/>
          <w:bCs/>
          <w:sz w:val="22"/>
          <w:szCs w:val="22"/>
          <w:lang w:val="sk-SK"/>
        </w:rPr>
        <w:t xml:space="preserve"> - </w:t>
      </w:r>
      <w:proofErr w:type="spellStart"/>
      <w:r w:rsidR="00A94434">
        <w:rPr>
          <w:rFonts w:ascii="Times New Roman" w:hAnsi="Times New Roman"/>
          <w:bCs/>
          <w:sz w:val="22"/>
          <w:szCs w:val="22"/>
          <w:lang w:val="sk-SK"/>
        </w:rPr>
        <w:t>Lhotka</w:t>
      </w:r>
      <w:proofErr w:type="spellEnd"/>
      <w:r w:rsidRPr="00521039">
        <w:rPr>
          <w:rFonts w:ascii="Times New Roman" w:hAnsi="Times New Roman"/>
          <w:bCs/>
          <w:sz w:val="22"/>
          <w:szCs w:val="22"/>
          <w:lang w:val="sk-SK"/>
        </w:rPr>
        <w:t>, Česká republika</w:t>
      </w:r>
    </w:p>
    <w:p w:rsidR="00656C40" w:rsidRDefault="00656C40" w:rsidP="00A159E7">
      <w:pPr>
        <w:pStyle w:val="Zkladntext"/>
        <w:tabs>
          <w:tab w:val="left" w:pos="1134"/>
        </w:tabs>
        <w:ind w:left="2381" w:hanging="2381"/>
        <w:jc w:val="left"/>
        <w:rPr>
          <w:rFonts w:ascii="Times New Roman" w:hAnsi="Times New Roman"/>
          <w:b w:val="0"/>
          <w:sz w:val="22"/>
          <w:szCs w:val="22"/>
        </w:rPr>
      </w:pPr>
    </w:p>
    <w:p w:rsidR="00A94434" w:rsidRPr="00CE0EAE" w:rsidRDefault="00654C04" w:rsidP="00A94434">
      <w:pPr>
        <w:rPr>
          <w:rFonts w:ascii="Times New Roman" w:hAnsi="Times New Roman"/>
          <w:sz w:val="22"/>
          <w:szCs w:val="22"/>
          <w:u w:val="single"/>
          <w:lang w:val="sk-SK"/>
        </w:rPr>
      </w:pPr>
      <w:r w:rsidRPr="00CE0EAE">
        <w:rPr>
          <w:rFonts w:ascii="Times New Roman" w:hAnsi="Times New Roman"/>
          <w:sz w:val="22"/>
          <w:szCs w:val="22"/>
          <w:u w:val="single"/>
          <w:lang w:val="sk-SK"/>
        </w:rPr>
        <w:t>Výrobca</w:t>
      </w:r>
    </w:p>
    <w:p w:rsidR="00A94434" w:rsidRPr="00DE6968" w:rsidRDefault="00CD24DA" w:rsidP="00A94434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CD24DA">
        <w:rPr>
          <w:rFonts w:ascii="Times New Roman" w:hAnsi="Times New Roman"/>
          <w:sz w:val="22"/>
          <w:szCs w:val="22"/>
          <w:lang w:val="sk-SK"/>
        </w:rPr>
        <w:t>AtB</w:t>
      </w:r>
      <w:proofErr w:type="spellEnd"/>
      <w:r w:rsidRPr="00CD24DA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CD24DA">
        <w:rPr>
          <w:rFonts w:ascii="Times New Roman" w:hAnsi="Times New Roman"/>
          <w:sz w:val="22"/>
          <w:szCs w:val="22"/>
          <w:lang w:val="sk-SK"/>
        </w:rPr>
        <w:t>Pharma</w:t>
      </w:r>
      <w:proofErr w:type="spellEnd"/>
      <w:r w:rsidRPr="00CD24DA">
        <w:rPr>
          <w:rFonts w:ascii="Times New Roman" w:hAnsi="Times New Roman"/>
          <w:sz w:val="22"/>
          <w:szCs w:val="22"/>
          <w:lang w:val="sk-SK"/>
        </w:rPr>
        <w:t>, s.r.o., Sklabinská 28, 036 01 Martin, Slovenská republika</w:t>
      </w:r>
    </w:p>
    <w:p w:rsidR="004E1353" w:rsidRPr="003D375C" w:rsidRDefault="00CD24DA" w:rsidP="00A159E7">
      <w:pPr>
        <w:pStyle w:val="Zkladntext"/>
        <w:tabs>
          <w:tab w:val="left" w:pos="1134"/>
        </w:tabs>
        <w:ind w:left="2381" w:hanging="2381"/>
        <w:jc w:val="left"/>
        <w:rPr>
          <w:rFonts w:ascii="Times New Roman" w:hAnsi="Times New Roman"/>
          <w:b w:val="0"/>
          <w:sz w:val="22"/>
          <w:szCs w:val="22"/>
        </w:rPr>
      </w:pPr>
      <w:r w:rsidRPr="003D375C">
        <w:rPr>
          <w:rFonts w:ascii="Times New Roman" w:hAnsi="Times New Roman"/>
          <w:b w:val="0"/>
          <w:sz w:val="22"/>
          <w:szCs w:val="22"/>
        </w:rPr>
        <w:t>Prevádzkare</w:t>
      </w:r>
      <w:r w:rsidRPr="003D375C">
        <w:rPr>
          <w:rFonts w:ascii="Times New Roman" w:hAnsi="Times New Roman" w:hint="eastAsia"/>
          <w:b w:val="0"/>
          <w:sz w:val="22"/>
          <w:szCs w:val="22"/>
        </w:rPr>
        <w:t>ň</w:t>
      </w:r>
      <w:r w:rsidRPr="003D375C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3D375C">
        <w:rPr>
          <w:rFonts w:ascii="Times New Roman" w:hAnsi="Times New Roman"/>
          <w:b w:val="0"/>
          <w:sz w:val="22"/>
          <w:szCs w:val="22"/>
        </w:rPr>
        <w:t>AtB</w:t>
      </w:r>
      <w:proofErr w:type="spellEnd"/>
      <w:r w:rsidRPr="003D375C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3D375C">
        <w:rPr>
          <w:rFonts w:ascii="Times New Roman" w:hAnsi="Times New Roman"/>
          <w:b w:val="0"/>
          <w:sz w:val="22"/>
          <w:szCs w:val="22"/>
        </w:rPr>
        <w:t>Pharma</w:t>
      </w:r>
      <w:proofErr w:type="spellEnd"/>
      <w:r w:rsidRPr="003D375C">
        <w:rPr>
          <w:rFonts w:ascii="Times New Roman" w:hAnsi="Times New Roman"/>
          <w:b w:val="0"/>
          <w:sz w:val="22"/>
          <w:szCs w:val="22"/>
        </w:rPr>
        <w:t xml:space="preserve">, s.r.o., 976 13 Slovenská </w:t>
      </w:r>
      <w:r w:rsidRPr="003D375C">
        <w:rPr>
          <w:rFonts w:ascii="Times New Roman" w:hAnsi="Times New Roman" w:hint="eastAsia"/>
          <w:b w:val="0"/>
          <w:sz w:val="22"/>
          <w:szCs w:val="22"/>
        </w:rPr>
        <w:t>Ľ</w:t>
      </w:r>
      <w:r w:rsidRPr="003D375C">
        <w:rPr>
          <w:rFonts w:ascii="Times New Roman" w:hAnsi="Times New Roman"/>
          <w:b w:val="0"/>
          <w:sz w:val="22"/>
          <w:szCs w:val="22"/>
        </w:rPr>
        <w:t>up</w:t>
      </w:r>
      <w:r w:rsidRPr="003D375C">
        <w:rPr>
          <w:rFonts w:ascii="Times New Roman" w:hAnsi="Times New Roman" w:hint="eastAsia"/>
          <w:b w:val="0"/>
          <w:sz w:val="22"/>
          <w:szCs w:val="22"/>
        </w:rPr>
        <w:t>č</w:t>
      </w:r>
      <w:r w:rsidRPr="003D375C">
        <w:rPr>
          <w:rFonts w:ascii="Times New Roman" w:hAnsi="Times New Roman"/>
          <w:b w:val="0"/>
          <w:sz w:val="22"/>
          <w:szCs w:val="22"/>
        </w:rPr>
        <w:t>a 970, Slovenská republika</w:t>
      </w:r>
    </w:p>
    <w:p w:rsidR="00A90FFA" w:rsidRPr="00A90FFA" w:rsidRDefault="00A90FFA" w:rsidP="000F67E4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A90FFA" w:rsidRPr="00A90FFA" w:rsidRDefault="00A90FFA" w:rsidP="000F67E4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0F67E4" w:rsidRPr="00A76648" w:rsidRDefault="00FB1972" w:rsidP="000F67E4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A76648">
        <w:rPr>
          <w:rFonts w:ascii="Times New Roman" w:hAnsi="Times New Roman"/>
          <w:sz w:val="22"/>
          <w:szCs w:val="22"/>
        </w:rPr>
        <w:t>Táto písomná informácia bola naposledy aktualizovaná v</w:t>
      </w:r>
      <w:r w:rsidR="00642341">
        <w:rPr>
          <w:rFonts w:ascii="Times New Roman" w:hAnsi="Times New Roman"/>
          <w:sz w:val="22"/>
          <w:szCs w:val="22"/>
        </w:rPr>
        <w:t> 03/2020</w:t>
      </w:r>
      <w:bookmarkStart w:id="0" w:name="_GoBack"/>
      <w:bookmarkEnd w:id="0"/>
      <w:r w:rsidR="00F14282">
        <w:rPr>
          <w:rFonts w:ascii="Times New Roman" w:hAnsi="Times New Roman"/>
          <w:sz w:val="22"/>
          <w:szCs w:val="22"/>
        </w:rPr>
        <w:t>.</w:t>
      </w:r>
    </w:p>
    <w:p w:rsidR="004E1353" w:rsidRPr="00FB1972" w:rsidRDefault="004E1353" w:rsidP="00A159E7">
      <w:pPr>
        <w:pStyle w:val="Zkladntext"/>
        <w:tabs>
          <w:tab w:val="left" w:pos="1134"/>
        </w:tabs>
        <w:ind w:left="2381" w:hanging="2381"/>
        <w:jc w:val="left"/>
        <w:rPr>
          <w:rFonts w:ascii="Times New Roman" w:hAnsi="Times New Roman"/>
          <w:b w:val="0"/>
          <w:sz w:val="22"/>
          <w:szCs w:val="22"/>
        </w:rPr>
      </w:pPr>
    </w:p>
    <w:p w:rsidR="00FB1972" w:rsidRPr="00B2703E" w:rsidRDefault="00FB1972" w:rsidP="00A159E7">
      <w:pPr>
        <w:pStyle w:val="Zkladntext"/>
        <w:tabs>
          <w:tab w:val="left" w:pos="1134"/>
        </w:tabs>
        <w:ind w:left="2381" w:hanging="2381"/>
        <w:jc w:val="left"/>
        <w:rPr>
          <w:rFonts w:ascii="Times New Roman" w:hAnsi="Times New Roman"/>
          <w:b w:val="0"/>
          <w:sz w:val="22"/>
          <w:szCs w:val="22"/>
          <w:lang w:val="pl-PL"/>
        </w:rPr>
      </w:pPr>
    </w:p>
    <w:p w:rsidR="0035734E" w:rsidRPr="00521039" w:rsidRDefault="0035734E" w:rsidP="00A76648">
      <w:pPr>
        <w:pStyle w:val="Zkladntext"/>
        <w:tabs>
          <w:tab w:val="left" w:pos="1134"/>
        </w:tabs>
        <w:ind w:left="2381" w:hanging="2381"/>
        <w:jc w:val="left"/>
        <w:rPr>
          <w:rFonts w:ascii="Times New Roman" w:hAnsi="Times New Roman"/>
          <w:b w:val="0"/>
          <w:sz w:val="22"/>
          <w:szCs w:val="22"/>
        </w:rPr>
      </w:pPr>
    </w:p>
    <w:sectPr w:rsidR="0035734E" w:rsidRPr="00521039" w:rsidSect="00AC6D9B">
      <w:headerReference w:type="default" r:id="rId8"/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1134" w:right="1183" w:bottom="1134" w:left="1134" w:header="709" w:footer="3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12" w:rsidRDefault="00995712">
      <w:r>
        <w:separator/>
      </w:r>
    </w:p>
  </w:endnote>
  <w:endnote w:type="continuationSeparator" w:id="0">
    <w:p w:rsidR="00995712" w:rsidRDefault="0099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alE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1612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BC0855" w:rsidRPr="00BC0855" w:rsidRDefault="00D40682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BC0855">
          <w:rPr>
            <w:rFonts w:ascii="Times New Roman" w:hAnsi="Times New Roman"/>
            <w:sz w:val="18"/>
            <w:szCs w:val="18"/>
          </w:rPr>
          <w:fldChar w:fldCharType="begin"/>
        </w:r>
        <w:r w:rsidR="00BC0855" w:rsidRPr="00BC085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C0855">
          <w:rPr>
            <w:rFonts w:ascii="Times New Roman" w:hAnsi="Times New Roman"/>
            <w:sz w:val="18"/>
            <w:szCs w:val="18"/>
          </w:rPr>
          <w:fldChar w:fldCharType="separate"/>
        </w:r>
        <w:r w:rsidR="00663FFF" w:rsidRPr="00663FFF">
          <w:rPr>
            <w:rFonts w:ascii="Times New Roman" w:hAnsi="Times New Roman"/>
            <w:noProof/>
            <w:sz w:val="18"/>
            <w:szCs w:val="18"/>
            <w:lang w:val="sk-SK"/>
          </w:rPr>
          <w:t>5</w:t>
        </w:r>
        <w:r w:rsidRPr="00BC085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BC0855" w:rsidRPr="00BC0855" w:rsidRDefault="00BC0855">
    <w:pPr>
      <w:pStyle w:val="Pt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12" w:rsidRDefault="00995712">
      <w:r>
        <w:separator/>
      </w:r>
    </w:p>
  </w:footnote>
  <w:footnote w:type="continuationSeparator" w:id="0">
    <w:p w:rsidR="00995712" w:rsidRDefault="0099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FF" w:rsidRPr="000023D7" w:rsidRDefault="00A13AFF">
    <w:pPr>
      <w:pStyle w:val="Hlavika"/>
      <w:rPr>
        <w:rFonts w:ascii="Times New Roman" w:hAnsi="Times New Roman"/>
        <w:sz w:val="18"/>
        <w:szCs w:val="18"/>
      </w:rPr>
    </w:pPr>
    <w:r w:rsidRPr="00A13AFF">
      <w:rPr>
        <w:rFonts w:ascii="Times New Roman" w:hAnsi="Times New Roman"/>
        <w:sz w:val="18"/>
        <w:szCs w:val="18"/>
        <w:lang w:val="sk-SK"/>
      </w:rPr>
      <w:t xml:space="preserve">Príloha č. </w:t>
    </w:r>
    <w:r w:rsidR="006A41C2">
      <w:rPr>
        <w:rFonts w:ascii="Times New Roman" w:hAnsi="Times New Roman"/>
        <w:sz w:val="18"/>
        <w:szCs w:val="18"/>
        <w:lang w:val="sk-SK"/>
      </w:rPr>
      <w:t>3</w:t>
    </w:r>
    <w:r w:rsidR="006A41C2" w:rsidRPr="00A13AFF">
      <w:rPr>
        <w:rFonts w:ascii="Times New Roman" w:hAnsi="Times New Roman"/>
        <w:sz w:val="18"/>
        <w:szCs w:val="18"/>
        <w:lang w:val="sk-SK"/>
      </w:rPr>
      <w:t xml:space="preserve"> </w:t>
    </w:r>
    <w:r w:rsidRPr="00A13AFF">
      <w:rPr>
        <w:rFonts w:ascii="Times New Roman" w:hAnsi="Times New Roman"/>
        <w:sz w:val="18"/>
        <w:szCs w:val="18"/>
        <w:lang w:val="sk-SK"/>
      </w:rPr>
      <w:t>k notifikácii o zmene, ev. č.:</w:t>
    </w:r>
    <w:r w:rsidR="009E4F9F">
      <w:rPr>
        <w:rFonts w:ascii="Times New Roman" w:hAnsi="Times New Roman"/>
        <w:sz w:val="18"/>
        <w:szCs w:val="18"/>
        <w:lang w:val="sk-SK"/>
      </w:rPr>
      <w:t xml:space="preserve"> </w:t>
    </w:r>
    <w:r w:rsidR="0054555D" w:rsidRPr="0054555D">
      <w:rPr>
        <w:rFonts w:ascii="Times New Roman" w:hAnsi="Times New Roman"/>
        <w:sz w:val="18"/>
        <w:szCs w:val="18"/>
        <w:lang w:val="sk-SK"/>
      </w:rPr>
      <w:t xml:space="preserve">2020/00171-Z1B </w:t>
    </w:r>
  </w:p>
  <w:p w:rsidR="00A13AFF" w:rsidRPr="000023D7" w:rsidRDefault="00A13AFF">
    <w:pPr>
      <w:pStyle w:val="Hlavika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D06F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B421E8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CF00034"/>
    <w:multiLevelType w:val="hybridMultilevel"/>
    <w:tmpl w:val="F560F244"/>
    <w:lvl w:ilvl="0" w:tplc="9DEAB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B1F4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  <w:lvlOverride w:ilvl="0">
      <w:lvl w:ilvl="0">
        <w:numFmt w:val="bullet"/>
        <w:lvlText w:val="-"/>
        <w:lvlJc w:val="left"/>
        <w:pPr>
          <w:ind w:left="360" w:hanging="36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E6"/>
    <w:rsid w:val="00001207"/>
    <w:rsid w:val="000023D7"/>
    <w:rsid w:val="00006759"/>
    <w:rsid w:val="00010E9F"/>
    <w:rsid w:val="00014F92"/>
    <w:rsid w:val="00020EFF"/>
    <w:rsid w:val="000218F6"/>
    <w:rsid w:val="00024D28"/>
    <w:rsid w:val="00033290"/>
    <w:rsid w:val="00037500"/>
    <w:rsid w:val="000419BB"/>
    <w:rsid w:val="00053E91"/>
    <w:rsid w:val="000614C9"/>
    <w:rsid w:val="00061CDA"/>
    <w:rsid w:val="00063A48"/>
    <w:rsid w:val="000713F3"/>
    <w:rsid w:val="00072F58"/>
    <w:rsid w:val="00081759"/>
    <w:rsid w:val="00090460"/>
    <w:rsid w:val="00091370"/>
    <w:rsid w:val="00093194"/>
    <w:rsid w:val="0009668C"/>
    <w:rsid w:val="000A14C0"/>
    <w:rsid w:val="000B4AD2"/>
    <w:rsid w:val="000C22BB"/>
    <w:rsid w:val="000C566A"/>
    <w:rsid w:val="000D5866"/>
    <w:rsid w:val="000D5A66"/>
    <w:rsid w:val="000E2D68"/>
    <w:rsid w:val="000E4715"/>
    <w:rsid w:val="000F1FF9"/>
    <w:rsid w:val="000F2870"/>
    <w:rsid w:val="000F67E4"/>
    <w:rsid w:val="001072C3"/>
    <w:rsid w:val="00107A0F"/>
    <w:rsid w:val="00117EC8"/>
    <w:rsid w:val="001247F8"/>
    <w:rsid w:val="001254B1"/>
    <w:rsid w:val="0013005A"/>
    <w:rsid w:val="001455A3"/>
    <w:rsid w:val="00152167"/>
    <w:rsid w:val="0015278C"/>
    <w:rsid w:val="00157DA5"/>
    <w:rsid w:val="0017560D"/>
    <w:rsid w:val="00183837"/>
    <w:rsid w:val="001961B3"/>
    <w:rsid w:val="001A6478"/>
    <w:rsid w:val="001D48FE"/>
    <w:rsid w:val="001E265A"/>
    <w:rsid w:val="001E41D6"/>
    <w:rsid w:val="001E577F"/>
    <w:rsid w:val="001F7840"/>
    <w:rsid w:val="00206AB6"/>
    <w:rsid w:val="00210F6D"/>
    <w:rsid w:val="00232069"/>
    <w:rsid w:val="0023245B"/>
    <w:rsid w:val="00233798"/>
    <w:rsid w:val="00234362"/>
    <w:rsid w:val="00236AE4"/>
    <w:rsid w:val="00244B76"/>
    <w:rsid w:val="00260566"/>
    <w:rsid w:val="002650ED"/>
    <w:rsid w:val="00274099"/>
    <w:rsid w:val="00274E69"/>
    <w:rsid w:val="002759F7"/>
    <w:rsid w:val="002851D6"/>
    <w:rsid w:val="0029067C"/>
    <w:rsid w:val="00291AD0"/>
    <w:rsid w:val="002D0CEA"/>
    <w:rsid w:val="002D1894"/>
    <w:rsid w:val="002D2046"/>
    <w:rsid w:val="002D518C"/>
    <w:rsid w:val="002E6E09"/>
    <w:rsid w:val="002F11A6"/>
    <w:rsid w:val="002F281C"/>
    <w:rsid w:val="002F58D5"/>
    <w:rsid w:val="002F6F1C"/>
    <w:rsid w:val="00311BAF"/>
    <w:rsid w:val="00323DC9"/>
    <w:rsid w:val="00327DCC"/>
    <w:rsid w:val="0035734E"/>
    <w:rsid w:val="00361806"/>
    <w:rsid w:val="0036423A"/>
    <w:rsid w:val="00364BBD"/>
    <w:rsid w:val="00373E9D"/>
    <w:rsid w:val="00381B0C"/>
    <w:rsid w:val="003830E2"/>
    <w:rsid w:val="003870BB"/>
    <w:rsid w:val="003A1671"/>
    <w:rsid w:val="003C3655"/>
    <w:rsid w:val="003C5292"/>
    <w:rsid w:val="003C7725"/>
    <w:rsid w:val="003D2868"/>
    <w:rsid w:val="003D375C"/>
    <w:rsid w:val="003D3E49"/>
    <w:rsid w:val="003D6D72"/>
    <w:rsid w:val="003E417F"/>
    <w:rsid w:val="003F1890"/>
    <w:rsid w:val="003F7AAA"/>
    <w:rsid w:val="004040AA"/>
    <w:rsid w:val="00405F28"/>
    <w:rsid w:val="0040790C"/>
    <w:rsid w:val="004127F7"/>
    <w:rsid w:val="0041421A"/>
    <w:rsid w:val="004333DF"/>
    <w:rsid w:val="00447BA6"/>
    <w:rsid w:val="00462B49"/>
    <w:rsid w:val="004650D9"/>
    <w:rsid w:val="00465F7F"/>
    <w:rsid w:val="00471E5F"/>
    <w:rsid w:val="00474787"/>
    <w:rsid w:val="004810B4"/>
    <w:rsid w:val="00484547"/>
    <w:rsid w:val="004845EF"/>
    <w:rsid w:val="00485589"/>
    <w:rsid w:val="00486706"/>
    <w:rsid w:val="00490471"/>
    <w:rsid w:val="00491378"/>
    <w:rsid w:val="004B0200"/>
    <w:rsid w:val="004B061F"/>
    <w:rsid w:val="004B2E78"/>
    <w:rsid w:val="004B2ED3"/>
    <w:rsid w:val="004E1353"/>
    <w:rsid w:val="004F794E"/>
    <w:rsid w:val="005066CF"/>
    <w:rsid w:val="00507E1F"/>
    <w:rsid w:val="00513405"/>
    <w:rsid w:val="00521039"/>
    <w:rsid w:val="005321CD"/>
    <w:rsid w:val="00532A5C"/>
    <w:rsid w:val="00540E58"/>
    <w:rsid w:val="005411C1"/>
    <w:rsid w:val="00544A0F"/>
    <w:rsid w:val="0054555D"/>
    <w:rsid w:val="005534FE"/>
    <w:rsid w:val="0056293D"/>
    <w:rsid w:val="00565C72"/>
    <w:rsid w:val="00576D54"/>
    <w:rsid w:val="00583D1F"/>
    <w:rsid w:val="00591BD0"/>
    <w:rsid w:val="005A08BD"/>
    <w:rsid w:val="005A3DC1"/>
    <w:rsid w:val="005B3340"/>
    <w:rsid w:val="005D1484"/>
    <w:rsid w:val="005D3B22"/>
    <w:rsid w:val="005E159B"/>
    <w:rsid w:val="005E68FA"/>
    <w:rsid w:val="005F2483"/>
    <w:rsid w:val="005F40D3"/>
    <w:rsid w:val="005F51E6"/>
    <w:rsid w:val="00601531"/>
    <w:rsid w:val="00602364"/>
    <w:rsid w:val="00625DA4"/>
    <w:rsid w:val="006300F5"/>
    <w:rsid w:val="00632C8F"/>
    <w:rsid w:val="00642341"/>
    <w:rsid w:val="006455E7"/>
    <w:rsid w:val="00651B00"/>
    <w:rsid w:val="006524CC"/>
    <w:rsid w:val="00654C04"/>
    <w:rsid w:val="00656C40"/>
    <w:rsid w:val="00660CB1"/>
    <w:rsid w:val="006623FA"/>
    <w:rsid w:val="00662DEB"/>
    <w:rsid w:val="00663FFF"/>
    <w:rsid w:val="00664568"/>
    <w:rsid w:val="0066605E"/>
    <w:rsid w:val="00673076"/>
    <w:rsid w:val="0067668A"/>
    <w:rsid w:val="006868D5"/>
    <w:rsid w:val="00690D26"/>
    <w:rsid w:val="00696A7D"/>
    <w:rsid w:val="006A22A5"/>
    <w:rsid w:val="006A2328"/>
    <w:rsid w:val="006A41C2"/>
    <w:rsid w:val="006D09F9"/>
    <w:rsid w:val="006D1552"/>
    <w:rsid w:val="006D7330"/>
    <w:rsid w:val="006E0C59"/>
    <w:rsid w:val="006F77D2"/>
    <w:rsid w:val="007013E3"/>
    <w:rsid w:val="007058F1"/>
    <w:rsid w:val="0070636E"/>
    <w:rsid w:val="00707FAF"/>
    <w:rsid w:val="007401C4"/>
    <w:rsid w:val="0074391B"/>
    <w:rsid w:val="00745D92"/>
    <w:rsid w:val="00747E75"/>
    <w:rsid w:val="00750A68"/>
    <w:rsid w:val="007518F0"/>
    <w:rsid w:val="007529E0"/>
    <w:rsid w:val="00757B40"/>
    <w:rsid w:val="007644E8"/>
    <w:rsid w:val="00777F74"/>
    <w:rsid w:val="00781589"/>
    <w:rsid w:val="0078589A"/>
    <w:rsid w:val="0079666D"/>
    <w:rsid w:val="007A161A"/>
    <w:rsid w:val="007B3D63"/>
    <w:rsid w:val="007B43FE"/>
    <w:rsid w:val="007D053C"/>
    <w:rsid w:val="007D222A"/>
    <w:rsid w:val="007E0CA8"/>
    <w:rsid w:val="007F1887"/>
    <w:rsid w:val="007F7236"/>
    <w:rsid w:val="00800EC2"/>
    <w:rsid w:val="0080789D"/>
    <w:rsid w:val="00823ACD"/>
    <w:rsid w:val="00841B2E"/>
    <w:rsid w:val="00844BB4"/>
    <w:rsid w:val="00854F03"/>
    <w:rsid w:val="008756A1"/>
    <w:rsid w:val="00875D57"/>
    <w:rsid w:val="00877741"/>
    <w:rsid w:val="00895521"/>
    <w:rsid w:val="008977D8"/>
    <w:rsid w:val="008A7658"/>
    <w:rsid w:val="008B433D"/>
    <w:rsid w:val="008C122D"/>
    <w:rsid w:val="008D319A"/>
    <w:rsid w:val="008F0D02"/>
    <w:rsid w:val="008F6650"/>
    <w:rsid w:val="008F7355"/>
    <w:rsid w:val="008F767B"/>
    <w:rsid w:val="009051E5"/>
    <w:rsid w:val="00905C90"/>
    <w:rsid w:val="0091535A"/>
    <w:rsid w:val="00935541"/>
    <w:rsid w:val="00957024"/>
    <w:rsid w:val="0096634B"/>
    <w:rsid w:val="00983677"/>
    <w:rsid w:val="0098428C"/>
    <w:rsid w:val="0099035A"/>
    <w:rsid w:val="00991CE7"/>
    <w:rsid w:val="00995712"/>
    <w:rsid w:val="00997706"/>
    <w:rsid w:val="009A1F30"/>
    <w:rsid w:val="009A2C44"/>
    <w:rsid w:val="009A7B67"/>
    <w:rsid w:val="009B3FB2"/>
    <w:rsid w:val="009C3F98"/>
    <w:rsid w:val="009C64FC"/>
    <w:rsid w:val="009C7E4B"/>
    <w:rsid w:val="009D76D8"/>
    <w:rsid w:val="009E4F9F"/>
    <w:rsid w:val="009F4CE5"/>
    <w:rsid w:val="009F56C3"/>
    <w:rsid w:val="00A07F9E"/>
    <w:rsid w:val="00A131C6"/>
    <w:rsid w:val="00A13AFF"/>
    <w:rsid w:val="00A15299"/>
    <w:rsid w:val="00A159E7"/>
    <w:rsid w:val="00A17905"/>
    <w:rsid w:val="00A233D9"/>
    <w:rsid w:val="00A24CF2"/>
    <w:rsid w:val="00A31A22"/>
    <w:rsid w:val="00A4227D"/>
    <w:rsid w:val="00A640AD"/>
    <w:rsid w:val="00A64164"/>
    <w:rsid w:val="00A669B5"/>
    <w:rsid w:val="00A73A56"/>
    <w:rsid w:val="00A74E5E"/>
    <w:rsid w:val="00A76648"/>
    <w:rsid w:val="00A90FFA"/>
    <w:rsid w:val="00A9422E"/>
    <w:rsid w:val="00A94434"/>
    <w:rsid w:val="00A96C37"/>
    <w:rsid w:val="00AA0440"/>
    <w:rsid w:val="00AA67AA"/>
    <w:rsid w:val="00AA6A9F"/>
    <w:rsid w:val="00AB6B82"/>
    <w:rsid w:val="00AC43A3"/>
    <w:rsid w:val="00AC4D28"/>
    <w:rsid w:val="00AC64F2"/>
    <w:rsid w:val="00AC670C"/>
    <w:rsid w:val="00AC6D9B"/>
    <w:rsid w:val="00AD7B35"/>
    <w:rsid w:val="00AF4A81"/>
    <w:rsid w:val="00B036DC"/>
    <w:rsid w:val="00B21A8F"/>
    <w:rsid w:val="00B241AE"/>
    <w:rsid w:val="00B2703E"/>
    <w:rsid w:val="00B46F23"/>
    <w:rsid w:val="00B515CD"/>
    <w:rsid w:val="00B6507B"/>
    <w:rsid w:val="00B70A3F"/>
    <w:rsid w:val="00B71B4D"/>
    <w:rsid w:val="00B74470"/>
    <w:rsid w:val="00B8084E"/>
    <w:rsid w:val="00B9610E"/>
    <w:rsid w:val="00B97140"/>
    <w:rsid w:val="00BA05A3"/>
    <w:rsid w:val="00BC0855"/>
    <w:rsid w:val="00BD4926"/>
    <w:rsid w:val="00BE0EEC"/>
    <w:rsid w:val="00BE544E"/>
    <w:rsid w:val="00C17078"/>
    <w:rsid w:val="00C21CE5"/>
    <w:rsid w:val="00C3023A"/>
    <w:rsid w:val="00C34BA8"/>
    <w:rsid w:val="00C40232"/>
    <w:rsid w:val="00C42A73"/>
    <w:rsid w:val="00C42D1E"/>
    <w:rsid w:val="00C4350D"/>
    <w:rsid w:val="00C479E0"/>
    <w:rsid w:val="00C47F15"/>
    <w:rsid w:val="00C50000"/>
    <w:rsid w:val="00C55105"/>
    <w:rsid w:val="00C5701A"/>
    <w:rsid w:val="00C61865"/>
    <w:rsid w:val="00C62DD1"/>
    <w:rsid w:val="00C750F8"/>
    <w:rsid w:val="00C91469"/>
    <w:rsid w:val="00C95843"/>
    <w:rsid w:val="00CA3143"/>
    <w:rsid w:val="00CA32C2"/>
    <w:rsid w:val="00CA5D65"/>
    <w:rsid w:val="00CC2690"/>
    <w:rsid w:val="00CD24DA"/>
    <w:rsid w:val="00CE0EAE"/>
    <w:rsid w:val="00CE4017"/>
    <w:rsid w:val="00D010D2"/>
    <w:rsid w:val="00D06851"/>
    <w:rsid w:val="00D15E80"/>
    <w:rsid w:val="00D17078"/>
    <w:rsid w:val="00D208E7"/>
    <w:rsid w:val="00D236EA"/>
    <w:rsid w:val="00D2547E"/>
    <w:rsid w:val="00D335F2"/>
    <w:rsid w:val="00D35F1D"/>
    <w:rsid w:val="00D40682"/>
    <w:rsid w:val="00D473F7"/>
    <w:rsid w:val="00D75309"/>
    <w:rsid w:val="00D8162E"/>
    <w:rsid w:val="00D82BB2"/>
    <w:rsid w:val="00D8708E"/>
    <w:rsid w:val="00D87957"/>
    <w:rsid w:val="00DC385E"/>
    <w:rsid w:val="00DE6968"/>
    <w:rsid w:val="00DF5F14"/>
    <w:rsid w:val="00DF73A4"/>
    <w:rsid w:val="00E04851"/>
    <w:rsid w:val="00E2007E"/>
    <w:rsid w:val="00E37A07"/>
    <w:rsid w:val="00E46375"/>
    <w:rsid w:val="00E463D2"/>
    <w:rsid w:val="00E50A46"/>
    <w:rsid w:val="00E72585"/>
    <w:rsid w:val="00E87BF6"/>
    <w:rsid w:val="00E87DB9"/>
    <w:rsid w:val="00E940A4"/>
    <w:rsid w:val="00E9629B"/>
    <w:rsid w:val="00EA6B5D"/>
    <w:rsid w:val="00EB18A6"/>
    <w:rsid w:val="00EC1403"/>
    <w:rsid w:val="00EC750E"/>
    <w:rsid w:val="00ED073B"/>
    <w:rsid w:val="00EE0049"/>
    <w:rsid w:val="00EE37C2"/>
    <w:rsid w:val="00EE3F98"/>
    <w:rsid w:val="00EE7C6F"/>
    <w:rsid w:val="00EF3175"/>
    <w:rsid w:val="00EF5A5F"/>
    <w:rsid w:val="00F024DA"/>
    <w:rsid w:val="00F07DEF"/>
    <w:rsid w:val="00F100FF"/>
    <w:rsid w:val="00F14282"/>
    <w:rsid w:val="00F14A6C"/>
    <w:rsid w:val="00F16E55"/>
    <w:rsid w:val="00F20EF1"/>
    <w:rsid w:val="00F24439"/>
    <w:rsid w:val="00F31046"/>
    <w:rsid w:val="00F31C16"/>
    <w:rsid w:val="00F33CAB"/>
    <w:rsid w:val="00F33CED"/>
    <w:rsid w:val="00F34B7A"/>
    <w:rsid w:val="00F37FB0"/>
    <w:rsid w:val="00F41906"/>
    <w:rsid w:val="00F41F69"/>
    <w:rsid w:val="00F439D3"/>
    <w:rsid w:val="00F46D49"/>
    <w:rsid w:val="00F511FD"/>
    <w:rsid w:val="00F56463"/>
    <w:rsid w:val="00F638DD"/>
    <w:rsid w:val="00F772AA"/>
    <w:rsid w:val="00F86B1B"/>
    <w:rsid w:val="00F87C65"/>
    <w:rsid w:val="00F93C3A"/>
    <w:rsid w:val="00F95004"/>
    <w:rsid w:val="00FA1CF1"/>
    <w:rsid w:val="00FA42ED"/>
    <w:rsid w:val="00FA7C6E"/>
    <w:rsid w:val="00FB1972"/>
    <w:rsid w:val="00FC481B"/>
    <w:rsid w:val="00FE5C32"/>
    <w:rsid w:val="00FF1F78"/>
    <w:rsid w:val="00FF24C2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9A2EC9-804F-4E41-BDDE-E79FD3F4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77D2"/>
    <w:rPr>
      <w:lang w:val="en-US"/>
    </w:rPr>
  </w:style>
  <w:style w:type="paragraph" w:styleId="Nadpis1">
    <w:name w:val="heading 1"/>
    <w:basedOn w:val="Normlny"/>
    <w:next w:val="Normlny"/>
    <w:qFormat/>
    <w:rsid w:val="006D09F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i/>
      <w:sz w:val="36"/>
    </w:rPr>
  </w:style>
  <w:style w:type="paragraph" w:styleId="Nadpis2">
    <w:name w:val="heading 2"/>
    <w:basedOn w:val="Normlny"/>
    <w:next w:val="Normlny"/>
    <w:qFormat/>
    <w:rsid w:val="006D09F9"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5" w:color="auto"/>
      </w:pBdr>
      <w:jc w:val="center"/>
      <w:outlineLvl w:val="1"/>
    </w:pPr>
    <w:rPr>
      <w:rFonts w:ascii="Arial" w:hAnsi="Arial"/>
      <w:b/>
      <w:i/>
      <w:sz w:val="36"/>
    </w:rPr>
  </w:style>
  <w:style w:type="paragraph" w:styleId="Nadpis3">
    <w:name w:val="heading 3"/>
    <w:basedOn w:val="Normlny"/>
    <w:next w:val="Normlny"/>
    <w:qFormat/>
    <w:rsid w:val="006D09F9"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0" w:color="auto"/>
      </w:pBdr>
      <w:jc w:val="center"/>
      <w:outlineLvl w:val="2"/>
    </w:pPr>
    <w:rPr>
      <w:rFonts w:ascii="Arial" w:hAnsi="Arial"/>
      <w:i/>
      <w:sz w:val="44"/>
    </w:rPr>
  </w:style>
  <w:style w:type="paragraph" w:styleId="Nadpis4">
    <w:name w:val="heading 4"/>
    <w:basedOn w:val="Normlny"/>
    <w:next w:val="Normlny"/>
    <w:qFormat/>
    <w:rsid w:val="006D09F9"/>
    <w:pPr>
      <w:keepNext/>
      <w:jc w:val="center"/>
      <w:outlineLvl w:val="3"/>
    </w:pPr>
    <w:rPr>
      <w:rFonts w:ascii="Arial" w:hAnsi="Arial"/>
      <w:b/>
      <w:i/>
      <w:sz w:val="44"/>
    </w:rPr>
  </w:style>
  <w:style w:type="paragraph" w:styleId="Nadpis5">
    <w:name w:val="heading 5"/>
    <w:basedOn w:val="Normlny"/>
    <w:next w:val="Normlny"/>
    <w:qFormat/>
    <w:rsid w:val="006D09F9"/>
    <w:pPr>
      <w:keepNext/>
      <w:jc w:val="center"/>
      <w:outlineLvl w:val="4"/>
    </w:pPr>
    <w:rPr>
      <w:b/>
      <w:i/>
      <w:sz w:val="52"/>
    </w:rPr>
  </w:style>
  <w:style w:type="paragraph" w:styleId="Nadpis6">
    <w:name w:val="heading 6"/>
    <w:basedOn w:val="Normlny"/>
    <w:next w:val="Normlny"/>
    <w:qFormat/>
    <w:rsid w:val="006D09F9"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qFormat/>
    <w:rsid w:val="006D09F9"/>
    <w:pPr>
      <w:keepNext/>
      <w:jc w:val="both"/>
      <w:outlineLvl w:val="6"/>
    </w:pPr>
    <w:rPr>
      <w:rFonts w:ascii="Arial" w:hAnsi="Arial"/>
      <w:b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D09F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6D09F9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6D09F9"/>
    <w:pPr>
      <w:jc w:val="center"/>
    </w:pPr>
    <w:rPr>
      <w:rFonts w:ascii="Arial" w:hAnsi="Arial"/>
      <w:b/>
      <w:i/>
      <w:sz w:val="48"/>
    </w:rPr>
  </w:style>
  <w:style w:type="paragraph" w:styleId="Textmakra">
    <w:name w:val="macro"/>
    <w:semiHidden/>
    <w:rsid w:val="006D09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alEEW" w:hAnsi="AralEEW"/>
      <w:snapToGrid w:val="0"/>
      <w:sz w:val="16"/>
      <w:lang w:val="en-GB"/>
    </w:rPr>
  </w:style>
  <w:style w:type="paragraph" w:styleId="Zkladntext">
    <w:name w:val="Body Text"/>
    <w:basedOn w:val="Normlny"/>
    <w:rsid w:val="006D09F9"/>
    <w:pPr>
      <w:jc w:val="center"/>
    </w:pPr>
    <w:rPr>
      <w:rFonts w:ascii="Arial" w:hAnsi="Arial"/>
      <w:b/>
      <w:sz w:val="72"/>
      <w:lang w:val="sk-SK"/>
    </w:rPr>
  </w:style>
  <w:style w:type="paragraph" w:styleId="Zkladntext2">
    <w:name w:val="Body Text 2"/>
    <w:basedOn w:val="Normlny"/>
    <w:rsid w:val="006D09F9"/>
    <w:pPr>
      <w:jc w:val="both"/>
    </w:pPr>
    <w:rPr>
      <w:rFonts w:ascii="Arial" w:hAnsi="Arial"/>
      <w:lang w:val="sk-SK"/>
    </w:rPr>
  </w:style>
  <w:style w:type="character" w:styleId="slostrany">
    <w:name w:val="page number"/>
    <w:basedOn w:val="Predvolenpsmoodseku"/>
    <w:rsid w:val="006D09F9"/>
  </w:style>
  <w:style w:type="paragraph" w:styleId="Zarkazkladnhotextu">
    <w:name w:val="Body Text Indent"/>
    <w:basedOn w:val="Normlny"/>
    <w:rsid w:val="006D09F9"/>
    <w:pPr>
      <w:jc w:val="both"/>
    </w:pPr>
    <w:rPr>
      <w:rFonts w:ascii="Arial" w:hAnsi="Arial"/>
      <w:lang w:val="sk-SK"/>
    </w:rPr>
  </w:style>
  <w:style w:type="paragraph" w:styleId="Textbubliny">
    <w:name w:val="Balloon Text"/>
    <w:basedOn w:val="Normlny"/>
    <w:semiHidden/>
    <w:rsid w:val="00491378"/>
    <w:rPr>
      <w:rFonts w:ascii="Tahoma" w:hAnsi="Tahoma" w:cs="Tahoma"/>
      <w:sz w:val="16"/>
      <w:szCs w:val="16"/>
    </w:rPr>
  </w:style>
  <w:style w:type="character" w:styleId="Hypertextovprepojenie">
    <w:name w:val="Hyperlink"/>
    <w:rsid w:val="005534FE"/>
    <w:rPr>
      <w:color w:val="0000FF"/>
      <w:u w:val="single"/>
    </w:rPr>
  </w:style>
  <w:style w:type="character" w:customStyle="1" w:styleId="PtaChar">
    <w:name w:val="Päta Char"/>
    <w:basedOn w:val="Predvolenpsmoodseku"/>
    <w:link w:val="Pta"/>
    <w:uiPriority w:val="99"/>
    <w:rsid w:val="00BC0855"/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9146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C91469"/>
  </w:style>
  <w:style w:type="character" w:customStyle="1" w:styleId="TextkomentraChar">
    <w:name w:val="Text komentára Char"/>
    <w:basedOn w:val="Predvolenpsmoodseku"/>
    <w:link w:val="Textkomentra"/>
    <w:rsid w:val="00C91469"/>
    <w:rPr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146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1469"/>
    <w:rPr>
      <w:b/>
      <w:bCs/>
      <w:lang w:val="en-US"/>
    </w:rPr>
  </w:style>
  <w:style w:type="paragraph" w:styleId="Revzia">
    <w:name w:val="Revision"/>
    <w:hidden/>
    <w:uiPriority w:val="99"/>
    <w:semiHidden/>
    <w:rsid w:val="00A64164"/>
    <w:rPr>
      <w:lang w:val="en-US"/>
    </w:rPr>
  </w:style>
  <w:style w:type="paragraph" w:styleId="Odsekzoznamu">
    <w:name w:val="List Paragraph"/>
    <w:basedOn w:val="Normlny"/>
    <w:uiPriority w:val="34"/>
    <w:qFormat/>
    <w:rsid w:val="00014F92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A13A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2399</Words>
  <Characters>14160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REGISTRAČNÁ DOKUMENTÁCIA</vt:lpstr>
      <vt:lpstr>REGISTRAČNÁ DOKUMENTÁCIA</vt:lpstr>
    </vt:vector>
  </TitlesOfParts>
  <Company>VVZ, Biotika a.s.</Company>
  <LinksUpToDate>false</LinksUpToDate>
  <CharactersWithSpaces>16526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REGISTRAČNÁ DOKUMENTÁCIA</dc:title>
  <dc:subject/>
  <dc:creator>gborosova</dc:creator>
  <cp:keywords/>
  <dc:description/>
  <cp:lastModifiedBy>Repiščáková, Janka</cp:lastModifiedBy>
  <cp:revision>6</cp:revision>
  <cp:lastPrinted>2020-03-16T08:20:00Z</cp:lastPrinted>
  <dcterms:created xsi:type="dcterms:W3CDTF">2020-03-13T11:33:00Z</dcterms:created>
  <dcterms:modified xsi:type="dcterms:W3CDTF">2020-03-16T08:20:00Z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