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bookmarkStart w:id="0" w:name="_GoBack"/>
      <w:bookmarkEnd w:id="0"/>
    </w:p>
    <w:p w:rsidR="00DF5D12" w:rsidRDefault="00DF5D12" w:rsidP="0078258D">
      <w:pPr>
        <w:pStyle w:val="Nadpis2"/>
      </w:pPr>
      <w:r>
        <w:t>SÚHRN CHARAKTERISTICKÝCH VLASTNOSTÍ LIEKU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1.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NÁZOV LIEKU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 w:rsidRPr="00791F1A">
        <w:rPr>
          <w:sz w:val="22"/>
          <w:szCs w:val="20"/>
        </w:rPr>
        <w:t>SEPTOFORT 2 mg</w:t>
      </w:r>
    </w:p>
    <w:p w:rsidR="00DF5D12" w:rsidRPr="00BD33CB" w:rsidRDefault="00BD33CB" w:rsidP="0078258D">
      <w:pPr>
        <w:autoSpaceDE w:val="0"/>
        <w:autoSpaceDN w:val="0"/>
        <w:adjustRightInd w:val="0"/>
        <w:rPr>
          <w:bCs/>
          <w:sz w:val="22"/>
          <w:szCs w:val="20"/>
        </w:rPr>
      </w:pPr>
      <w:r w:rsidRPr="00BD33CB">
        <w:rPr>
          <w:bCs/>
          <w:sz w:val="22"/>
          <w:szCs w:val="20"/>
        </w:rPr>
        <w:t>tvrdé pastilky</w:t>
      </w:r>
    </w:p>
    <w:p w:rsidR="00BD33CB" w:rsidRDefault="00BD33CB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2.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 xml:space="preserve">KVALITATÍVNE A KVANTITATÍVNE ZLOŽENIE 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Jedna pastilka obsahuje </w:t>
      </w:r>
      <w:proofErr w:type="spellStart"/>
      <w:r>
        <w:rPr>
          <w:sz w:val="22"/>
          <w:szCs w:val="20"/>
        </w:rPr>
        <w:t>chlorhexidini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digluconas</w:t>
      </w:r>
      <w:proofErr w:type="spellEnd"/>
      <w:r>
        <w:rPr>
          <w:sz w:val="22"/>
          <w:szCs w:val="20"/>
        </w:rPr>
        <w:t xml:space="preserve"> 2 mg</w:t>
      </w:r>
      <w:r w:rsidR="00D558C5">
        <w:rPr>
          <w:sz w:val="22"/>
          <w:szCs w:val="20"/>
        </w:rPr>
        <w:t xml:space="preserve"> </w:t>
      </w:r>
      <w:proofErr w:type="spellStart"/>
      <w:r w:rsidR="00D558C5">
        <w:rPr>
          <w:sz w:val="22"/>
          <w:szCs w:val="20"/>
        </w:rPr>
        <w:t>chlórhexidíniumdiglukonátu</w:t>
      </w:r>
      <w:proofErr w:type="spellEnd"/>
      <w:r>
        <w:rPr>
          <w:sz w:val="22"/>
          <w:szCs w:val="20"/>
        </w:rPr>
        <w:t>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3.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LIEKOVÁ FORMA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Tvrdé pastilky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Svetlozelené, okrúhle pastilky charakteristickej mätovej vône a chladivej, mätovej, mierne sladkej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chuti.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KLINICKÉ ÚDAJE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4.1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Terapeutické indikácie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mg sa používa na prevenciu a pomocnú liečbu </w:t>
      </w:r>
      <w:proofErr w:type="spellStart"/>
      <w:r>
        <w:rPr>
          <w:sz w:val="22"/>
          <w:szCs w:val="20"/>
        </w:rPr>
        <w:t>gingivitídy</w:t>
      </w:r>
      <w:proofErr w:type="spellEnd"/>
      <w:r>
        <w:rPr>
          <w:sz w:val="22"/>
          <w:szCs w:val="20"/>
        </w:rPr>
        <w:t>, na lokálne liečenie infekcií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ústnej dutiny a horných dýchacích orgánov, </w:t>
      </w:r>
      <w:proofErr w:type="spellStart"/>
      <w:r>
        <w:rPr>
          <w:sz w:val="22"/>
          <w:szCs w:val="20"/>
        </w:rPr>
        <w:t>áft</w:t>
      </w:r>
      <w:proofErr w:type="spellEnd"/>
      <w:r>
        <w:rPr>
          <w:sz w:val="22"/>
          <w:szCs w:val="20"/>
        </w:rPr>
        <w:t xml:space="preserve">, mykóz, </w:t>
      </w:r>
      <w:proofErr w:type="spellStart"/>
      <w:r>
        <w:rPr>
          <w:sz w:val="22"/>
          <w:szCs w:val="20"/>
        </w:rPr>
        <w:t>stomatitídy</w:t>
      </w:r>
      <w:proofErr w:type="spellEnd"/>
      <w:r>
        <w:rPr>
          <w:sz w:val="22"/>
          <w:szCs w:val="20"/>
        </w:rPr>
        <w:t xml:space="preserve"> vyvolanej zubnými protézami,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glositídy</w:t>
      </w:r>
      <w:proofErr w:type="spellEnd"/>
      <w:r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tonzilitídy</w:t>
      </w:r>
      <w:proofErr w:type="spellEnd"/>
      <w:r>
        <w:rPr>
          <w:sz w:val="22"/>
          <w:szCs w:val="20"/>
        </w:rPr>
        <w:t xml:space="preserve">, na udržiavanie ústnej hygieny po </w:t>
      </w:r>
      <w:proofErr w:type="spellStart"/>
      <w:r>
        <w:rPr>
          <w:sz w:val="22"/>
          <w:szCs w:val="20"/>
        </w:rPr>
        <w:t>tonzilektómii</w:t>
      </w:r>
      <w:proofErr w:type="spellEnd"/>
      <w:r>
        <w:rPr>
          <w:sz w:val="22"/>
          <w:szCs w:val="20"/>
        </w:rPr>
        <w:t xml:space="preserve">, extrakcii zubov a na </w:t>
      </w:r>
      <w:proofErr w:type="spellStart"/>
      <w:r>
        <w:rPr>
          <w:sz w:val="22"/>
          <w:szCs w:val="20"/>
        </w:rPr>
        <w:t>adjuvantnú</w:t>
      </w:r>
      <w:proofErr w:type="spellEnd"/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liečbu rôznych chorôb ústnej dutiny spojených s eróziami (</w:t>
      </w:r>
      <w:proofErr w:type="spellStart"/>
      <w:r>
        <w:rPr>
          <w:sz w:val="22"/>
          <w:szCs w:val="20"/>
        </w:rPr>
        <w:t>lichen</w:t>
      </w:r>
      <w:proofErr w:type="spellEnd"/>
      <w:r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pemfigoid</w:t>
      </w:r>
      <w:proofErr w:type="spellEnd"/>
      <w:r>
        <w:rPr>
          <w:sz w:val="22"/>
          <w:szCs w:val="20"/>
        </w:rPr>
        <w:t xml:space="preserve"> a pod.).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4.2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Dávkovanie a spôsob podávania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mg je vhodný pre dospelých, </w:t>
      </w:r>
      <w:r w:rsidR="00D558C5">
        <w:rPr>
          <w:sz w:val="22"/>
          <w:szCs w:val="20"/>
        </w:rPr>
        <w:t xml:space="preserve">dospievajúcich </w:t>
      </w:r>
      <w:r>
        <w:rPr>
          <w:sz w:val="22"/>
          <w:szCs w:val="20"/>
        </w:rPr>
        <w:t>a deti od 5 rokov, mladším deťom sa nepodáva</w:t>
      </w:r>
      <w:r w:rsidR="00D558C5">
        <w:rPr>
          <w:sz w:val="22"/>
          <w:szCs w:val="20"/>
        </w:rPr>
        <w:t xml:space="preserve"> </w:t>
      </w:r>
      <w:r>
        <w:rPr>
          <w:sz w:val="22"/>
          <w:szCs w:val="20"/>
        </w:rPr>
        <w:t>kvôli riziku vdýchnutia pastilky.</w:t>
      </w:r>
    </w:p>
    <w:p w:rsidR="00D558C5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58C5" w:rsidRPr="002E43B4" w:rsidRDefault="00D558C5" w:rsidP="0078258D">
      <w:pPr>
        <w:autoSpaceDE w:val="0"/>
        <w:autoSpaceDN w:val="0"/>
        <w:adjustRightInd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Dávkovanie</w:t>
      </w:r>
    </w:p>
    <w:p w:rsidR="00AA4C58" w:rsidRDefault="00AA4C58" w:rsidP="0078258D">
      <w:pPr>
        <w:autoSpaceDE w:val="0"/>
        <w:autoSpaceDN w:val="0"/>
        <w:adjustRightInd w:val="0"/>
        <w:rPr>
          <w:i/>
          <w:sz w:val="22"/>
          <w:szCs w:val="20"/>
        </w:rPr>
      </w:pPr>
    </w:p>
    <w:p w:rsidR="00AA4C58" w:rsidRDefault="00DF5D12" w:rsidP="0078258D">
      <w:pPr>
        <w:autoSpaceDE w:val="0"/>
        <w:autoSpaceDN w:val="0"/>
        <w:adjustRightInd w:val="0"/>
        <w:rPr>
          <w:i/>
          <w:sz w:val="22"/>
          <w:szCs w:val="20"/>
        </w:rPr>
      </w:pPr>
      <w:r w:rsidRPr="002E43B4">
        <w:rPr>
          <w:i/>
          <w:sz w:val="22"/>
          <w:szCs w:val="20"/>
        </w:rPr>
        <w:t xml:space="preserve">Dospelí </w:t>
      </w:r>
    </w:p>
    <w:p w:rsidR="00AA4C58" w:rsidRDefault="00AA4C58" w:rsidP="0078258D">
      <w:pPr>
        <w:autoSpaceDE w:val="0"/>
        <w:autoSpaceDN w:val="0"/>
        <w:adjustRightInd w:val="0"/>
        <w:rPr>
          <w:sz w:val="22"/>
          <w:szCs w:val="20"/>
        </w:rPr>
      </w:pPr>
      <w:r w:rsidRPr="002E43B4">
        <w:rPr>
          <w:sz w:val="22"/>
          <w:szCs w:val="20"/>
        </w:rPr>
        <w:t>Dospelí</w:t>
      </w:r>
      <w:r>
        <w:rPr>
          <w:sz w:val="22"/>
          <w:szCs w:val="20"/>
        </w:rPr>
        <w:t xml:space="preserve"> </w:t>
      </w:r>
      <w:r w:rsidR="00DF5D12" w:rsidRPr="00AA4C58">
        <w:rPr>
          <w:sz w:val="22"/>
          <w:szCs w:val="20"/>
        </w:rPr>
        <w:t>p</w:t>
      </w:r>
      <w:r w:rsidR="00DF5D12">
        <w:rPr>
          <w:sz w:val="22"/>
          <w:szCs w:val="20"/>
        </w:rPr>
        <w:t>oužívajú jednu pastilku 3-4 krát denne,</w:t>
      </w:r>
      <w:r>
        <w:rPr>
          <w:sz w:val="22"/>
          <w:szCs w:val="20"/>
        </w:rPr>
        <w:t>.</w:t>
      </w:r>
    </w:p>
    <w:p w:rsidR="00AA4C58" w:rsidRDefault="00AA4C58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AA4C58" w:rsidRDefault="00AA4C58" w:rsidP="0078258D">
      <w:pPr>
        <w:autoSpaceDE w:val="0"/>
        <w:autoSpaceDN w:val="0"/>
        <w:adjustRightInd w:val="0"/>
        <w:rPr>
          <w:i/>
          <w:sz w:val="22"/>
          <w:szCs w:val="20"/>
        </w:rPr>
      </w:pPr>
      <w:r w:rsidRPr="002E43B4">
        <w:rPr>
          <w:i/>
          <w:sz w:val="22"/>
          <w:szCs w:val="20"/>
        </w:rPr>
        <w:t>Pediatrická populácia</w:t>
      </w:r>
    </w:p>
    <w:p w:rsidR="00DF5D12" w:rsidRPr="002E43B4" w:rsidRDefault="00AA4C58" w:rsidP="0078258D">
      <w:pPr>
        <w:autoSpaceDE w:val="0"/>
        <w:autoSpaceDN w:val="0"/>
        <w:adjustRightInd w:val="0"/>
        <w:rPr>
          <w:i/>
          <w:sz w:val="22"/>
          <w:szCs w:val="20"/>
        </w:rPr>
      </w:pPr>
      <w:r>
        <w:rPr>
          <w:sz w:val="22"/>
          <w:szCs w:val="20"/>
        </w:rPr>
        <w:t>D</w:t>
      </w:r>
      <w:r w:rsidR="00DF5D12">
        <w:rPr>
          <w:sz w:val="22"/>
          <w:szCs w:val="20"/>
        </w:rPr>
        <w:t xml:space="preserve">eťom od 12 rokov a </w:t>
      </w:r>
      <w:r w:rsidR="00D558C5">
        <w:rPr>
          <w:sz w:val="22"/>
          <w:szCs w:val="20"/>
        </w:rPr>
        <w:t xml:space="preserve">dospievajúcim </w:t>
      </w:r>
      <w:r w:rsidR="00DF5D12">
        <w:rPr>
          <w:sz w:val="22"/>
          <w:szCs w:val="20"/>
        </w:rPr>
        <w:t>sa podáva jedna</w:t>
      </w:r>
      <w:r w:rsidR="00D558C5">
        <w:rPr>
          <w:sz w:val="22"/>
          <w:szCs w:val="20"/>
        </w:rPr>
        <w:t xml:space="preserve"> </w:t>
      </w:r>
      <w:r w:rsidR="00DF5D12">
        <w:rPr>
          <w:sz w:val="22"/>
          <w:szCs w:val="20"/>
        </w:rPr>
        <w:t>pastilka 3 krát denne, deťom od 5 do 12 rokov 2 krát denne polovica až jedna pastilka.</w:t>
      </w:r>
    </w:p>
    <w:p w:rsidR="00D558C5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58C5" w:rsidRPr="002E43B4" w:rsidRDefault="00D558C5" w:rsidP="0078258D">
      <w:pPr>
        <w:autoSpaceDE w:val="0"/>
        <w:autoSpaceDN w:val="0"/>
        <w:adjustRightInd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Spôsob podávania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Pastilky sa používajú </w:t>
      </w:r>
      <w:r w:rsidR="00D558C5">
        <w:rPr>
          <w:sz w:val="22"/>
          <w:szCs w:val="20"/>
        </w:rPr>
        <w:t>s</w:t>
      </w:r>
      <w:r>
        <w:rPr>
          <w:sz w:val="22"/>
          <w:szCs w:val="20"/>
        </w:rPr>
        <w:t xml:space="preserve"> odstup</w:t>
      </w:r>
      <w:r w:rsidR="00D558C5">
        <w:rPr>
          <w:sz w:val="22"/>
          <w:szCs w:val="20"/>
        </w:rPr>
        <w:t>om</w:t>
      </w:r>
      <w:r>
        <w:rPr>
          <w:sz w:val="22"/>
          <w:szCs w:val="20"/>
        </w:rPr>
        <w:t xml:space="preserve"> aspoň 2 hodín, užívajú sa po jedle, nechajú sa voľne rozpustiť v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ústach. Po použití pastilky sa 1 až 2 hodiny nesmie jesť, piť a používať zubná pasta.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Príznaky zápalu sa zmiernia a vymiznú väčšinou počas niekoľkých dní, napriek tomu je potrebné v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používaní pastiliek pokračovať ešte 2-3 dni, aby sa predišlo recidívam.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4.3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Kontraindikácie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58C5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Precitlivenosť na liečivo alebo na ktorúkoľvek z pomocných látok uvedených v časti 6.1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mg je </w:t>
      </w:r>
      <w:r w:rsidR="00D558C5">
        <w:rPr>
          <w:sz w:val="22"/>
          <w:szCs w:val="20"/>
        </w:rPr>
        <w:t xml:space="preserve">ďalej </w:t>
      </w:r>
      <w:r>
        <w:rPr>
          <w:sz w:val="22"/>
          <w:szCs w:val="20"/>
        </w:rPr>
        <w:t>kontraindikovaný pri</w:t>
      </w:r>
      <w:r w:rsidR="00D558C5"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fenylketonúrii</w:t>
      </w:r>
      <w:proofErr w:type="spellEnd"/>
      <w:r>
        <w:rPr>
          <w:sz w:val="22"/>
          <w:szCs w:val="20"/>
        </w:rPr>
        <w:t xml:space="preserve"> a u detí do 5 rokov.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Pr="00BD33CB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4.4 </w:t>
      </w:r>
      <w:r w:rsidR="00D558C5" w:rsidRPr="00D5033E">
        <w:rPr>
          <w:b/>
          <w:bCs/>
          <w:sz w:val="22"/>
          <w:szCs w:val="20"/>
        </w:rPr>
        <w:tab/>
        <w:t xml:space="preserve">Osobitné </w:t>
      </w:r>
      <w:r w:rsidRPr="00BD33CB">
        <w:rPr>
          <w:b/>
          <w:bCs/>
          <w:sz w:val="22"/>
          <w:szCs w:val="20"/>
        </w:rPr>
        <w:t>upozornenia</w:t>
      </w:r>
      <w:r w:rsidR="00D558C5" w:rsidRPr="00BD33CB">
        <w:rPr>
          <w:b/>
          <w:bCs/>
          <w:sz w:val="22"/>
          <w:szCs w:val="20"/>
        </w:rPr>
        <w:t xml:space="preserve"> a opatrenia pri používaní</w:t>
      </w:r>
    </w:p>
    <w:p w:rsidR="00DF5D12" w:rsidRPr="001B4889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033E" w:rsidRPr="00D5033E" w:rsidRDefault="00D5033E" w:rsidP="00D5033E">
      <w:pPr>
        <w:pStyle w:val="Zkladntext"/>
        <w:suppressAutoHyphens/>
        <w:jc w:val="both"/>
        <w:rPr>
          <w:b w:val="0"/>
          <w:lang w:val="sk-SK"/>
        </w:rPr>
      </w:pPr>
      <w:r w:rsidRPr="00D5033E">
        <w:rPr>
          <w:b w:val="0"/>
          <w:lang w:val="sk-SK"/>
        </w:rPr>
        <w:t xml:space="preserve">Obsahuje </w:t>
      </w:r>
      <w:proofErr w:type="spellStart"/>
      <w:r w:rsidRPr="00D5033E">
        <w:rPr>
          <w:b w:val="0"/>
          <w:lang w:val="sk-SK"/>
        </w:rPr>
        <w:t>aspart</w:t>
      </w:r>
      <w:r w:rsidR="002E43B4">
        <w:rPr>
          <w:b w:val="0"/>
          <w:lang w:val="sk-SK"/>
        </w:rPr>
        <w:t>a</w:t>
      </w:r>
      <w:r w:rsidRPr="00D5033E">
        <w:rPr>
          <w:b w:val="0"/>
          <w:lang w:val="sk-SK"/>
        </w:rPr>
        <w:t>m</w:t>
      </w:r>
      <w:proofErr w:type="spellEnd"/>
      <w:r w:rsidRPr="00D5033E">
        <w:rPr>
          <w:b w:val="0"/>
          <w:lang w:val="sk-SK"/>
        </w:rPr>
        <w:t xml:space="preserve">. Obsahuje zdroj </w:t>
      </w:r>
      <w:proofErr w:type="spellStart"/>
      <w:r w:rsidRPr="00D5033E">
        <w:rPr>
          <w:b w:val="0"/>
          <w:lang w:val="sk-SK"/>
        </w:rPr>
        <w:t>fenylalanínu</w:t>
      </w:r>
      <w:proofErr w:type="spellEnd"/>
      <w:r w:rsidRPr="00D5033E">
        <w:rPr>
          <w:b w:val="0"/>
          <w:lang w:val="sk-SK"/>
        </w:rPr>
        <w:t xml:space="preserve">. Môže byť škodlivý pre ľudí </w:t>
      </w:r>
      <w:r w:rsidR="0050020D">
        <w:rPr>
          <w:b w:val="0"/>
          <w:lang w:val="sk-SK"/>
        </w:rPr>
        <w:t>s</w:t>
      </w:r>
      <w:r w:rsidRPr="00D5033E">
        <w:rPr>
          <w:b w:val="0"/>
          <w:lang w:val="sk-SK"/>
        </w:rPr>
        <w:t xml:space="preserve"> </w:t>
      </w:r>
      <w:proofErr w:type="spellStart"/>
      <w:r w:rsidRPr="00D5033E">
        <w:rPr>
          <w:b w:val="0"/>
          <w:lang w:val="sk-SK"/>
        </w:rPr>
        <w:t>fenylketonúriou</w:t>
      </w:r>
      <w:proofErr w:type="spellEnd"/>
      <w:r w:rsidRPr="00D5033E">
        <w:rPr>
          <w:b w:val="0"/>
          <w:lang w:val="sk-SK"/>
        </w:rPr>
        <w:t>.</w:t>
      </w:r>
    </w:p>
    <w:p w:rsidR="00D5033E" w:rsidRPr="00D5033E" w:rsidRDefault="00D5033E" w:rsidP="0078258D">
      <w:pPr>
        <w:autoSpaceDE w:val="0"/>
        <w:autoSpaceDN w:val="0"/>
        <w:adjustRightInd w:val="0"/>
        <w:rPr>
          <w:sz w:val="22"/>
          <w:szCs w:val="22"/>
        </w:rPr>
      </w:pPr>
      <w:r w:rsidRPr="00D5033E">
        <w:rPr>
          <w:sz w:val="22"/>
          <w:szCs w:val="22"/>
        </w:rPr>
        <w:t xml:space="preserve">Obsahuje </w:t>
      </w:r>
      <w:proofErr w:type="spellStart"/>
      <w:r w:rsidRPr="00D5033E">
        <w:rPr>
          <w:sz w:val="22"/>
          <w:szCs w:val="22"/>
        </w:rPr>
        <w:t>sorbitol</w:t>
      </w:r>
      <w:proofErr w:type="spellEnd"/>
      <w:r w:rsidRPr="00D5033E">
        <w:rPr>
          <w:sz w:val="22"/>
          <w:szCs w:val="22"/>
        </w:rPr>
        <w:t>. Pacienti so zriedkavými dedičnými problémami intolerancie fruktózy nesmú užívať tento liek.</w:t>
      </w:r>
    </w:p>
    <w:p w:rsidR="00DF5D12" w:rsidRPr="00BD33CB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Pr="009A35B0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 w:rsidRPr="001B4889">
        <w:rPr>
          <w:b/>
          <w:bCs/>
          <w:sz w:val="22"/>
          <w:szCs w:val="20"/>
        </w:rPr>
        <w:t xml:space="preserve">4.5 </w:t>
      </w:r>
      <w:r w:rsidR="00D558C5" w:rsidRPr="001B4889">
        <w:rPr>
          <w:b/>
          <w:bCs/>
          <w:sz w:val="22"/>
          <w:szCs w:val="20"/>
        </w:rPr>
        <w:tab/>
      </w:r>
      <w:r w:rsidRPr="009A35B0">
        <w:rPr>
          <w:b/>
          <w:bCs/>
          <w:sz w:val="22"/>
          <w:szCs w:val="20"/>
        </w:rPr>
        <w:t>Liekové a iné interakcie</w:t>
      </w:r>
    </w:p>
    <w:p w:rsidR="00DF5D12" w:rsidRPr="00E76C4F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Pr="009A35B0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 w:rsidRPr="003051A9"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 w:rsidRPr="009A35B0">
        <w:rPr>
          <w:sz w:val="22"/>
          <w:szCs w:val="20"/>
        </w:rPr>
        <w:t>rhexidín</w:t>
      </w:r>
      <w:proofErr w:type="spellEnd"/>
      <w:r w:rsidRPr="009A35B0">
        <w:rPr>
          <w:sz w:val="22"/>
          <w:szCs w:val="20"/>
        </w:rPr>
        <w:t xml:space="preserve"> je inkompatibilný s aniónovými látkami, ktoré tvoria zložku bežných zubných pást. Preto</w:t>
      </w:r>
    </w:p>
    <w:p w:rsidR="00DF5D12" w:rsidRPr="00E76C4F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 w:rsidRPr="00E76C4F">
        <w:rPr>
          <w:sz w:val="22"/>
          <w:szCs w:val="20"/>
        </w:rPr>
        <w:t xml:space="preserve">je potrebné používať zubnú pastu a </w:t>
      </w:r>
      <w:proofErr w:type="spellStart"/>
      <w:r w:rsidRPr="00E76C4F">
        <w:rPr>
          <w:sz w:val="22"/>
          <w:szCs w:val="20"/>
        </w:rPr>
        <w:t>Septofort</w:t>
      </w:r>
      <w:proofErr w:type="spellEnd"/>
      <w:r w:rsidRPr="00E76C4F">
        <w:rPr>
          <w:sz w:val="22"/>
          <w:szCs w:val="20"/>
        </w:rPr>
        <w:t xml:space="preserve"> 2 mg s patričným časovým odstupom.</w:t>
      </w:r>
    </w:p>
    <w:p w:rsidR="00DF5D12" w:rsidRPr="003051A9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Pr="00AA4C58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 w:rsidRPr="004D5FD8">
        <w:rPr>
          <w:b/>
          <w:bCs/>
          <w:sz w:val="22"/>
          <w:szCs w:val="20"/>
        </w:rPr>
        <w:t xml:space="preserve">4.6 </w:t>
      </w:r>
      <w:r w:rsidR="00D558C5" w:rsidRPr="004D5FD8">
        <w:rPr>
          <w:b/>
          <w:bCs/>
          <w:sz w:val="22"/>
          <w:szCs w:val="20"/>
        </w:rPr>
        <w:tab/>
      </w:r>
      <w:proofErr w:type="spellStart"/>
      <w:r w:rsidR="00D558C5" w:rsidRPr="00AA4C58">
        <w:rPr>
          <w:b/>
          <w:bCs/>
          <w:sz w:val="22"/>
          <w:szCs w:val="20"/>
        </w:rPr>
        <w:t>Fertilita</w:t>
      </w:r>
      <w:proofErr w:type="spellEnd"/>
      <w:r w:rsidR="00D558C5" w:rsidRPr="00AA4C58">
        <w:rPr>
          <w:b/>
          <w:bCs/>
          <w:sz w:val="22"/>
          <w:szCs w:val="20"/>
        </w:rPr>
        <w:t>, gravidita a laktácia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58C5" w:rsidRPr="00D5033E" w:rsidRDefault="00D558C5" w:rsidP="0078258D">
      <w:pPr>
        <w:autoSpaceDE w:val="0"/>
        <w:autoSpaceDN w:val="0"/>
        <w:adjustRightInd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Gravidita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V súčasnosti nie sú dostupné informácie o tom, že by </w:t>
      </w: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v používaných dávkach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poškodzoval vývoj plodu u človeka.</w:t>
      </w:r>
    </w:p>
    <w:p w:rsidR="00D558C5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558C5" w:rsidRPr="00D5033E" w:rsidRDefault="00D558C5" w:rsidP="0078258D">
      <w:pPr>
        <w:autoSpaceDE w:val="0"/>
        <w:autoSpaceDN w:val="0"/>
        <w:adjustRightInd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Dojčenie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Nie je známe, či sa </w:t>
      </w: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vylučuje do materského mlieka.</w:t>
      </w:r>
    </w:p>
    <w:p w:rsidR="00D558C5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Počas gravidity a v období </w:t>
      </w:r>
      <w:r w:rsidR="0050020D">
        <w:rPr>
          <w:sz w:val="22"/>
          <w:szCs w:val="20"/>
        </w:rPr>
        <w:t xml:space="preserve">dojčenia </w:t>
      </w:r>
      <w:r>
        <w:rPr>
          <w:sz w:val="22"/>
          <w:szCs w:val="20"/>
        </w:rPr>
        <w:t xml:space="preserve">sa </w:t>
      </w: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mg môže používať iba vtedy, pokiaľ sú na to vážne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dôvody.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4.7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Ovplyvnenie schopnosti viesť vozidlá a obsluhovať stroje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C10B19" w:rsidRDefault="00D558C5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Netýka sa.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4.8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Nežiaduce účinky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2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Po dlhodobom používaní lieku </w:t>
      </w: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mg sa môže vyvinúť žltohnedé zafarbenie zubov a jazyka,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ktorému sa dá čiastočne zabrániť pravidelným energickým čistením zubov. Hnedé sfarbenie zubov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môže pretrvávať aj po ukončení liečby liekom </w:t>
      </w:r>
      <w:proofErr w:type="spellStart"/>
      <w:r>
        <w:rPr>
          <w:sz w:val="22"/>
          <w:szCs w:val="20"/>
        </w:rPr>
        <w:t>Septofort</w:t>
      </w:r>
      <w:proofErr w:type="spellEnd"/>
      <w:r>
        <w:rPr>
          <w:sz w:val="22"/>
          <w:szCs w:val="20"/>
        </w:rPr>
        <w:t xml:space="preserve"> 2 g.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Na začiatku terapie sa môže objaviť prechodná porucha vnímania chuti a </w:t>
      </w:r>
      <w:proofErr w:type="spellStart"/>
      <w:r>
        <w:rPr>
          <w:sz w:val="22"/>
          <w:szCs w:val="20"/>
        </w:rPr>
        <w:t>pálivý</w:t>
      </w:r>
      <w:proofErr w:type="spellEnd"/>
      <w:r>
        <w:rPr>
          <w:sz w:val="22"/>
          <w:szCs w:val="20"/>
        </w:rPr>
        <w:t xml:space="preserve"> pocit na jazyku, ktorý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vymizne spontánne počas ďalšieho používania.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U osôb neznášajúcich </w:t>
      </w:r>
      <w:proofErr w:type="spellStart"/>
      <w:r>
        <w:rPr>
          <w:sz w:val="22"/>
          <w:szCs w:val="20"/>
        </w:rPr>
        <w:t>sorbitol</w:t>
      </w:r>
      <w:proofErr w:type="spellEnd"/>
      <w:r>
        <w:rPr>
          <w:sz w:val="22"/>
          <w:szCs w:val="20"/>
        </w:rPr>
        <w:t xml:space="preserve"> môže liek vyvolať hnačku.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Veľmi zriedkavo sa môžu vyskytnúť alergické reakcie, </w:t>
      </w:r>
      <w:proofErr w:type="spellStart"/>
      <w:r>
        <w:rPr>
          <w:sz w:val="22"/>
          <w:szCs w:val="20"/>
        </w:rPr>
        <w:t>erytém</w:t>
      </w:r>
      <w:proofErr w:type="spellEnd"/>
      <w:r>
        <w:rPr>
          <w:sz w:val="22"/>
          <w:szCs w:val="20"/>
        </w:rPr>
        <w:t xml:space="preserve">, exantém, </w:t>
      </w:r>
      <w:proofErr w:type="spellStart"/>
      <w:r>
        <w:rPr>
          <w:sz w:val="22"/>
          <w:szCs w:val="20"/>
        </w:rPr>
        <w:t>pruritus</w:t>
      </w:r>
      <w:proofErr w:type="spellEnd"/>
      <w:r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dyspnoe</w:t>
      </w:r>
      <w:proofErr w:type="spellEnd"/>
      <w:r>
        <w:rPr>
          <w:sz w:val="22"/>
          <w:szCs w:val="20"/>
        </w:rPr>
        <w:t>, edém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tváre.</w:t>
      </w:r>
    </w:p>
    <w:p w:rsidR="0078258D" w:rsidRPr="0078258D" w:rsidRDefault="0078258D" w:rsidP="0078258D">
      <w:pPr>
        <w:autoSpaceDE w:val="0"/>
        <w:autoSpaceDN w:val="0"/>
        <w:adjustRightInd w:val="0"/>
        <w:rPr>
          <w:sz w:val="22"/>
          <w:szCs w:val="22"/>
        </w:rPr>
      </w:pPr>
    </w:p>
    <w:p w:rsidR="00C71F90" w:rsidRPr="003408D9" w:rsidRDefault="00C71F90" w:rsidP="00C71F90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408D9">
        <w:rPr>
          <w:sz w:val="22"/>
          <w:szCs w:val="22"/>
          <w:u w:val="single"/>
        </w:rPr>
        <w:t>Hlásenie podozrení na nežiaduce reakcie</w:t>
      </w:r>
    </w:p>
    <w:p w:rsidR="00C854AC" w:rsidRDefault="00C854AC" w:rsidP="00C85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sz w:val="22"/>
        </w:rPr>
      </w:pPr>
      <w:r>
        <w:rPr>
          <w:sz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>
        <w:rPr>
          <w:sz w:val="22"/>
          <w:shd w:val="clear" w:color="auto" w:fill="C0C0C0"/>
        </w:rPr>
        <w:t>národné centrum hlásenia uvedené v </w:t>
      </w:r>
      <w:hyperlink r:id="rId7" w:history="1">
        <w:r>
          <w:rPr>
            <w:rStyle w:val="Hypertextovprepojenie"/>
            <w:sz w:val="22"/>
            <w:shd w:val="clear" w:color="auto" w:fill="C0C0C0"/>
          </w:rPr>
          <w:t>Prílohe V</w:t>
        </w:r>
      </w:hyperlink>
      <w:r>
        <w:rPr>
          <w:rStyle w:val="Hypertextovprepojenie"/>
          <w:sz w:val="22"/>
        </w:rPr>
        <w:t>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4.9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Predávkovanie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sa z tráviaceho ústrojenstva zle absorbuje. Celkový účinok je nepravdepodobný, môže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sa prejaviť po užití veľkého množstva liečiva. V tomto prípade je potrebné urobiť výplach žalúdka 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podať neutralizujúce látky - mlieko, vaječný bielok, roztok želatíny.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5. </w:t>
      </w:r>
      <w:r w:rsidR="00D558C5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FARMAKOLOGICKÉ VLASTNOSTI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5.1 </w:t>
      </w:r>
      <w:r w:rsidR="00D558C5">
        <w:rPr>
          <w:b/>
          <w:bCs/>
          <w:sz w:val="22"/>
          <w:szCs w:val="20"/>
        </w:rPr>
        <w:tab/>
      </w:r>
      <w:proofErr w:type="spellStart"/>
      <w:r>
        <w:rPr>
          <w:b/>
          <w:bCs/>
          <w:sz w:val="22"/>
          <w:szCs w:val="20"/>
        </w:rPr>
        <w:t>Farmakodynamické</w:t>
      </w:r>
      <w:proofErr w:type="spellEnd"/>
      <w:r>
        <w:rPr>
          <w:b/>
          <w:bCs/>
          <w:sz w:val="22"/>
          <w:szCs w:val="20"/>
        </w:rPr>
        <w:t xml:space="preserve"> vlastnosti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Farmakoterapeutická</w:t>
      </w:r>
      <w:proofErr w:type="spellEnd"/>
      <w:r>
        <w:rPr>
          <w:sz w:val="22"/>
          <w:szCs w:val="20"/>
        </w:rPr>
        <w:t xml:space="preserve"> skupina: </w:t>
      </w:r>
      <w:r w:rsidR="0078258D">
        <w:rPr>
          <w:sz w:val="22"/>
          <w:szCs w:val="20"/>
        </w:rPr>
        <w:t> </w:t>
      </w:r>
      <w:proofErr w:type="spellStart"/>
      <w:r w:rsidR="0078258D">
        <w:rPr>
          <w:sz w:val="22"/>
          <w:szCs w:val="20"/>
        </w:rPr>
        <w:t>laryngologiká</w:t>
      </w:r>
      <w:proofErr w:type="spellEnd"/>
      <w:r w:rsidR="0078258D">
        <w:rPr>
          <w:sz w:val="22"/>
          <w:szCs w:val="20"/>
        </w:rPr>
        <w:t xml:space="preserve">, antiseptiká, </w:t>
      </w:r>
      <w:r>
        <w:rPr>
          <w:sz w:val="22"/>
          <w:szCs w:val="20"/>
        </w:rPr>
        <w:t>ATC kód R02AA05.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je </w:t>
      </w:r>
      <w:proofErr w:type="spellStart"/>
      <w:r>
        <w:rPr>
          <w:sz w:val="22"/>
          <w:szCs w:val="20"/>
        </w:rPr>
        <w:t>biguanidové</w:t>
      </w:r>
      <w:proofErr w:type="spellEnd"/>
      <w:r>
        <w:rPr>
          <w:sz w:val="22"/>
          <w:szCs w:val="20"/>
        </w:rPr>
        <w:t xml:space="preserve"> antiseptikum s baktericídnymi a </w:t>
      </w:r>
      <w:proofErr w:type="spellStart"/>
      <w:r>
        <w:rPr>
          <w:sz w:val="22"/>
          <w:szCs w:val="20"/>
        </w:rPr>
        <w:t>bakteriostatickými</w:t>
      </w:r>
      <w:proofErr w:type="spellEnd"/>
      <w:r>
        <w:rPr>
          <w:sz w:val="22"/>
          <w:szCs w:val="20"/>
        </w:rPr>
        <w:t xml:space="preserve"> účinkami na široké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spektrum </w:t>
      </w:r>
      <w:proofErr w:type="spellStart"/>
      <w:r>
        <w:rPr>
          <w:sz w:val="22"/>
          <w:szCs w:val="20"/>
        </w:rPr>
        <w:t>grampozitívnych</w:t>
      </w:r>
      <w:proofErr w:type="spellEnd"/>
      <w:r>
        <w:rPr>
          <w:sz w:val="22"/>
          <w:szCs w:val="20"/>
        </w:rPr>
        <w:t xml:space="preserve"> a </w:t>
      </w:r>
      <w:proofErr w:type="spellStart"/>
      <w:r>
        <w:rPr>
          <w:sz w:val="22"/>
          <w:szCs w:val="20"/>
        </w:rPr>
        <w:t>gramnegatívnych</w:t>
      </w:r>
      <w:proofErr w:type="spellEnd"/>
      <w:r>
        <w:rPr>
          <w:sz w:val="22"/>
          <w:szCs w:val="20"/>
        </w:rPr>
        <w:t xml:space="preserve"> baktérií.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Inhibuje</w:t>
      </w:r>
      <w:proofErr w:type="spellEnd"/>
      <w:r>
        <w:rPr>
          <w:sz w:val="22"/>
          <w:szCs w:val="20"/>
        </w:rPr>
        <w:t xml:space="preserve"> rast </w:t>
      </w:r>
      <w:proofErr w:type="spellStart"/>
      <w:r>
        <w:rPr>
          <w:sz w:val="22"/>
          <w:szCs w:val="20"/>
        </w:rPr>
        <w:t>mykobaktérií</w:t>
      </w:r>
      <w:proofErr w:type="spellEnd"/>
      <w:r>
        <w:rPr>
          <w:sz w:val="22"/>
          <w:szCs w:val="20"/>
        </w:rPr>
        <w:t xml:space="preserve">. Niektoré druhy </w:t>
      </w:r>
      <w:proofErr w:type="spellStart"/>
      <w:r>
        <w:rPr>
          <w:sz w:val="22"/>
          <w:szCs w:val="20"/>
        </w:rPr>
        <w:t>Pseudomonas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sp</w:t>
      </w:r>
      <w:proofErr w:type="spellEnd"/>
      <w:r>
        <w:rPr>
          <w:sz w:val="22"/>
          <w:szCs w:val="20"/>
        </w:rPr>
        <w:t xml:space="preserve">. a </w:t>
      </w:r>
      <w:proofErr w:type="spellStart"/>
      <w:r>
        <w:rPr>
          <w:sz w:val="22"/>
          <w:szCs w:val="20"/>
        </w:rPr>
        <w:t>Proteus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sp</w:t>
      </w:r>
      <w:proofErr w:type="spellEnd"/>
      <w:r>
        <w:rPr>
          <w:sz w:val="22"/>
          <w:szCs w:val="20"/>
        </w:rPr>
        <w:t>. sú menej vnímavé.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pri izbovej teplote nepôsobí na spóry. </w:t>
      </w: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pôsobí inhibične aj proti niektorým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vírusom a ples</w:t>
      </w:r>
      <w:r w:rsidR="00C73B09">
        <w:rPr>
          <w:sz w:val="22"/>
          <w:szCs w:val="20"/>
        </w:rPr>
        <w:t>nia</w:t>
      </w:r>
      <w:r>
        <w:rPr>
          <w:sz w:val="22"/>
          <w:szCs w:val="20"/>
        </w:rPr>
        <w:t>m.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5.2 </w:t>
      </w:r>
      <w:r w:rsidR="0078258D">
        <w:rPr>
          <w:b/>
          <w:bCs/>
          <w:sz w:val="22"/>
          <w:szCs w:val="20"/>
        </w:rPr>
        <w:tab/>
      </w:r>
      <w:proofErr w:type="spellStart"/>
      <w:r>
        <w:rPr>
          <w:b/>
          <w:bCs/>
          <w:sz w:val="22"/>
          <w:szCs w:val="20"/>
        </w:rPr>
        <w:t>Farmakokinetické</w:t>
      </w:r>
      <w:proofErr w:type="spellEnd"/>
      <w:r>
        <w:rPr>
          <w:b/>
          <w:bCs/>
          <w:sz w:val="22"/>
          <w:szCs w:val="20"/>
        </w:rPr>
        <w:t xml:space="preserve"> vlastnosti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proofErr w:type="spellEnd"/>
      <w:r>
        <w:rPr>
          <w:sz w:val="22"/>
          <w:szCs w:val="20"/>
        </w:rPr>
        <w:t xml:space="preserve"> sa pri rozpúšťaní pastilky pozvoľna uvoľňuje do tekutiny v ústnej dutine. Perorálne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podaný </w:t>
      </w: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</w:t>
      </w:r>
      <w:r w:rsidR="009A35B0">
        <w:rPr>
          <w:sz w:val="22"/>
          <w:szCs w:val="20"/>
        </w:rPr>
        <w:t>i</w:t>
      </w:r>
      <w:r>
        <w:rPr>
          <w:sz w:val="22"/>
          <w:szCs w:val="20"/>
        </w:rPr>
        <w:t>u</w:t>
      </w:r>
      <w:r w:rsidR="009A35B0">
        <w:rPr>
          <w:sz w:val="22"/>
          <w:szCs w:val="20"/>
        </w:rPr>
        <w:t>mdiglukonát</w:t>
      </w:r>
      <w:proofErr w:type="spellEnd"/>
      <w:r>
        <w:rPr>
          <w:sz w:val="22"/>
          <w:szCs w:val="20"/>
        </w:rPr>
        <w:t xml:space="preserve"> sa z tráviaceho ústrojenstva veľmi zle absorbuje. Po </w:t>
      </w:r>
      <w:proofErr w:type="spellStart"/>
      <w:r>
        <w:rPr>
          <w:sz w:val="22"/>
          <w:szCs w:val="20"/>
        </w:rPr>
        <w:t>p.o</w:t>
      </w:r>
      <w:proofErr w:type="spellEnd"/>
      <w:r>
        <w:rPr>
          <w:sz w:val="22"/>
          <w:szCs w:val="20"/>
        </w:rPr>
        <w:t>. podaní 300</w:t>
      </w:r>
      <w:r w:rsidR="009A35B0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mg látky dosahuje </w:t>
      </w:r>
      <w:proofErr w:type="spellStart"/>
      <w:r>
        <w:rPr>
          <w:sz w:val="22"/>
          <w:szCs w:val="20"/>
        </w:rPr>
        <w:t>glukonát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chl</w:t>
      </w:r>
      <w:r w:rsidR="009A35B0">
        <w:rPr>
          <w:sz w:val="22"/>
          <w:szCs w:val="20"/>
        </w:rPr>
        <w:t>ó</w:t>
      </w:r>
      <w:r>
        <w:rPr>
          <w:sz w:val="22"/>
          <w:szCs w:val="20"/>
        </w:rPr>
        <w:t>rhexidínu</w:t>
      </w:r>
      <w:proofErr w:type="spellEnd"/>
      <w:r>
        <w:rPr>
          <w:sz w:val="22"/>
          <w:szCs w:val="20"/>
        </w:rPr>
        <w:t xml:space="preserve"> maximálnu hladinu v plazme (cca 0,2 </w:t>
      </w:r>
      <w:proofErr w:type="spellStart"/>
      <w:r>
        <w:rPr>
          <w:sz w:val="22"/>
          <w:szCs w:val="20"/>
        </w:rPr>
        <w:t>μg</w:t>
      </w:r>
      <w:proofErr w:type="spellEnd"/>
      <w:r>
        <w:rPr>
          <w:sz w:val="22"/>
          <w:szCs w:val="20"/>
        </w:rPr>
        <w:t>/g) do 30 minút a</w:t>
      </w:r>
      <w:r w:rsidR="009A35B0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zistiteľné množstvo v plazme zotrváva počas 12 hodín po podaní. Asi 90 % </w:t>
      </w:r>
      <w:proofErr w:type="spellStart"/>
      <w:r>
        <w:rPr>
          <w:sz w:val="22"/>
          <w:szCs w:val="20"/>
        </w:rPr>
        <w:t>p.o</w:t>
      </w:r>
      <w:proofErr w:type="spellEnd"/>
      <w:r>
        <w:rPr>
          <w:sz w:val="22"/>
          <w:szCs w:val="20"/>
        </w:rPr>
        <w:t>. podanej látky sa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neabsorbované vylučuje stolicou, menej ako 1% sa vylúči močom.</w:t>
      </w:r>
    </w:p>
    <w:p w:rsidR="00EA70C8" w:rsidRPr="00EA70C8" w:rsidRDefault="004D5FD8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Približne </w:t>
      </w:r>
      <w:r w:rsidR="00EA70C8" w:rsidRPr="00EA70C8">
        <w:rPr>
          <w:sz w:val="22"/>
          <w:szCs w:val="20"/>
        </w:rPr>
        <w:t xml:space="preserve">30 % kladne nabitého </w:t>
      </w:r>
      <w:proofErr w:type="spellStart"/>
      <w:r w:rsidR="00EA70C8" w:rsidRPr="00EA70C8">
        <w:rPr>
          <w:sz w:val="22"/>
          <w:szCs w:val="20"/>
        </w:rPr>
        <w:t>chlórhexidínu</w:t>
      </w:r>
      <w:proofErr w:type="spellEnd"/>
      <w:r w:rsidR="00EA70C8" w:rsidRPr="00EA70C8">
        <w:rPr>
          <w:sz w:val="22"/>
          <w:szCs w:val="20"/>
        </w:rPr>
        <w:t xml:space="preserve"> je absorbovaných v záporne nabitej ústnej dutine do proteínov v tenkej vrstve slín pokrývajúcej zuby a sliznicu. Potom sa absorbované liečivo pomaly uvoľňuje do slín počas 24 hodín. Antibakteriálny účinok trvá 8-12 hodín. Dlhodobý antibakteriálny účinok </w:t>
      </w:r>
      <w:proofErr w:type="spellStart"/>
      <w:r w:rsidR="00EA70C8" w:rsidRPr="00EA70C8">
        <w:rPr>
          <w:sz w:val="22"/>
          <w:szCs w:val="20"/>
        </w:rPr>
        <w:t>chlórhexidínu</w:t>
      </w:r>
      <w:proofErr w:type="spellEnd"/>
      <w:r w:rsidR="00EA70C8" w:rsidRPr="00EA70C8">
        <w:rPr>
          <w:sz w:val="22"/>
          <w:szCs w:val="20"/>
        </w:rPr>
        <w:t xml:space="preserve"> je pravdepodobne výsledkom okamžitého baktericídneho pôsobenia počiatočných vysokých koncentrácií, po ktorých nasleduje </w:t>
      </w:r>
      <w:proofErr w:type="spellStart"/>
      <w:r w:rsidR="00EA70C8" w:rsidRPr="00EA70C8">
        <w:rPr>
          <w:sz w:val="22"/>
          <w:szCs w:val="20"/>
        </w:rPr>
        <w:t>bakteriostatické</w:t>
      </w:r>
      <w:proofErr w:type="spellEnd"/>
      <w:r w:rsidR="00EA70C8" w:rsidRPr="00EA70C8">
        <w:rPr>
          <w:sz w:val="22"/>
          <w:szCs w:val="20"/>
        </w:rPr>
        <w:t xml:space="preserve"> pôsobenie </w:t>
      </w:r>
      <w:proofErr w:type="spellStart"/>
      <w:r w:rsidR="00EA70C8" w:rsidRPr="00EA70C8">
        <w:rPr>
          <w:sz w:val="22"/>
          <w:szCs w:val="20"/>
        </w:rPr>
        <w:t>chlórhexidínu</w:t>
      </w:r>
      <w:proofErr w:type="spellEnd"/>
      <w:r w:rsidR="00EA70C8" w:rsidRPr="00EA70C8">
        <w:rPr>
          <w:sz w:val="22"/>
          <w:szCs w:val="20"/>
        </w:rPr>
        <w:t xml:space="preserve"> pomaly uvoľňovaného zo sliznice dutiny ústnej, kde sa nachádza v nízkych koncentráciách.</w:t>
      </w:r>
    </w:p>
    <w:p w:rsidR="00EA70C8" w:rsidRDefault="00EA70C8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5.3 </w:t>
      </w:r>
      <w:r w:rsidR="0078258D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Predklinické údaje o bezpečnosti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9A35B0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Chló</w:t>
      </w:r>
      <w:r w:rsidR="00DF5D12">
        <w:rPr>
          <w:sz w:val="22"/>
          <w:szCs w:val="20"/>
        </w:rPr>
        <w:t>rhexidín</w:t>
      </w:r>
      <w:proofErr w:type="spellEnd"/>
      <w:r w:rsidR="00DF5D12">
        <w:rPr>
          <w:sz w:val="22"/>
          <w:szCs w:val="20"/>
        </w:rPr>
        <w:t xml:space="preserve"> je látka, ktorá je už dlhé roky používaná v klinickej praxi a nové experimentálne údaje nie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sú k dispozícii.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 </w:t>
      </w:r>
      <w:r w:rsidR="0078258D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FARMACEUTICKÉ INFORMÁCIE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6.1 </w:t>
      </w:r>
      <w:r w:rsidR="0078258D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Zoznam pomocných látok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C73B09" w:rsidRDefault="0078258D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Sorbitol</w:t>
      </w:r>
      <w:proofErr w:type="spellEnd"/>
    </w:p>
    <w:p w:rsidR="00C73B09" w:rsidRDefault="0078258D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aróma mäty piepornej</w:t>
      </w:r>
    </w:p>
    <w:p w:rsidR="00C73B09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aspart</w:t>
      </w:r>
      <w:r w:rsidR="002E43B4">
        <w:rPr>
          <w:sz w:val="22"/>
          <w:szCs w:val="20"/>
        </w:rPr>
        <w:t>a</w:t>
      </w:r>
      <w:r>
        <w:rPr>
          <w:sz w:val="22"/>
          <w:szCs w:val="20"/>
        </w:rPr>
        <w:t>m</w:t>
      </w:r>
      <w:proofErr w:type="spellEnd"/>
    </w:p>
    <w:p w:rsidR="00C73B09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stearan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horečnatý</w:t>
      </w:r>
      <w:proofErr w:type="spellEnd"/>
    </w:p>
    <w:p w:rsidR="00C854AC" w:rsidRDefault="00C854AC" w:rsidP="0078258D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AE7993">
        <w:rPr>
          <w:sz w:val="22"/>
          <w:szCs w:val="22"/>
          <w:shd w:val="clear" w:color="auto" w:fill="FFFFFF"/>
        </w:rPr>
        <w:t>MF mätová zelená P-WS E-141</w:t>
      </w:r>
    </w:p>
    <w:p w:rsidR="0078258D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kukuričný škrob.</w:t>
      </w:r>
    </w:p>
    <w:p w:rsidR="0078258D" w:rsidRDefault="0078258D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6.2 </w:t>
      </w:r>
      <w:r w:rsidR="0078258D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Inkompatibility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2F01B9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Neaplikovateľné.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6.3 </w:t>
      </w:r>
      <w:r w:rsidR="0078258D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Čas použiteľnosti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2F01B9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lastRenderedPageBreak/>
        <w:t>2 roky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6.4 </w:t>
      </w:r>
      <w:r w:rsidR="0078258D">
        <w:rPr>
          <w:b/>
          <w:bCs/>
          <w:sz w:val="22"/>
          <w:szCs w:val="20"/>
        </w:rPr>
        <w:tab/>
      </w:r>
      <w:r w:rsidR="0021403C">
        <w:rPr>
          <w:b/>
          <w:bCs/>
          <w:sz w:val="22"/>
          <w:szCs w:val="20"/>
        </w:rPr>
        <w:t>Špeciálne upozornenia na uchovávanie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Uchováva</w:t>
      </w:r>
      <w:r w:rsidR="0021403C">
        <w:rPr>
          <w:sz w:val="22"/>
          <w:szCs w:val="20"/>
        </w:rPr>
        <w:t>jte</w:t>
      </w:r>
      <w:r>
        <w:rPr>
          <w:sz w:val="22"/>
          <w:szCs w:val="20"/>
        </w:rPr>
        <w:t xml:space="preserve"> pri teplote neprevyšujúcej 25</w:t>
      </w:r>
      <w:r w:rsidR="002F01B9">
        <w:rPr>
          <w:sz w:val="22"/>
          <w:szCs w:val="20"/>
        </w:rPr>
        <w:t xml:space="preserve"> </w:t>
      </w:r>
      <w:r>
        <w:rPr>
          <w:sz w:val="22"/>
          <w:szCs w:val="20"/>
        </w:rPr>
        <w:t>ºC na suchom mieste, chrá</w:t>
      </w:r>
      <w:r w:rsidR="0021403C">
        <w:rPr>
          <w:sz w:val="22"/>
          <w:szCs w:val="20"/>
        </w:rPr>
        <w:t>ňte</w:t>
      </w:r>
      <w:r>
        <w:rPr>
          <w:sz w:val="22"/>
          <w:szCs w:val="20"/>
        </w:rPr>
        <w:t xml:space="preserve"> pred </w:t>
      </w:r>
      <w:r w:rsidR="00161091" w:rsidRPr="00161091">
        <w:rPr>
          <w:sz w:val="22"/>
          <w:szCs w:val="20"/>
        </w:rPr>
        <w:t>svetlom a vlhkom</w:t>
      </w:r>
      <w:r>
        <w:rPr>
          <w:sz w:val="22"/>
          <w:szCs w:val="20"/>
        </w:rPr>
        <w:t>.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6.5 </w:t>
      </w:r>
      <w:r w:rsidR="0078258D">
        <w:rPr>
          <w:b/>
          <w:bCs/>
          <w:sz w:val="22"/>
          <w:szCs w:val="20"/>
        </w:rPr>
        <w:tab/>
      </w:r>
      <w:r w:rsidR="0021403C">
        <w:rPr>
          <w:b/>
          <w:bCs/>
          <w:sz w:val="22"/>
          <w:szCs w:val="20"/>
        </w:rPr>
        <w:t xml:space="preserve">Druh </w:t>
      </w:r>
      <w:r>
        <w:rPr>
          <w:b/>
          <w:bCs/>
          <w:sz w:val="22"/>
          <w:szCs w:val="20"/>
        </w:rPr>
        <w:t>obalu</w:t>
      </w:r>
      <w:r w:rsidR="0021403C">
        <w:rPr>
          <w:b/>
          <w:bCs/>
          <w:sz w:val="22"/>
          <w:szCs w:val="20"/>
        </w:rPr>
        <w:t xml:space="preserve"> a obsah</w:t>
      </w:r>
      <w:r>
        <w:rPr>
          <w:b/>
          <w:bCs/>
          <w:sz w:val="22"/>
          <w:szCs w:val="20"/>
        </w:rPr>
        <w:t xml:space="preserve"> balenia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PVC/PVDC/A</w:t>
      </w:r>
      <w:r w:rsidR="002E43B4">
        <w:rPr>
          <w:sz w:val="22"/>
          <w:szCs w:val="20"/>
        </w:rPr>
        <w:t>LU</w:t>
      </w:r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blister</w:t>
      </w:r>
      <w:proofErr w:type="spellEnd"/>
      <w:r>
        <w:rPr>
          <w:sz w:val="22"/>
          <w:szCs w:val="20"/>
        </w:rPr>
        <w:t>, písomná informácia pre používateľ</w:t>
      </w:r>
      <w:r w:rsidR="0021403C">
        <w:rPr>
          <w:sz w:val="22"/>
          <w:szCs w:val="20"/>
        </w:rPr>
        <w:t>a</w:t>
      </w:r>
      <w:r>
        <w:rPr>
          <w:sz w:val="22"/>
          <w:szCs w:val="20"/>
        </w:rPr>
        <w:t xml:space="preserve">, papierová </w:t>
      </w:r>
      <w:r w:rsidR="0021403C">
        <w:rPr>
          <w:sz w:val="22"/>
          <w:szCs w:val="20"/>
        </w:rPr>
        <w:t>škatuľka</w:t>
      </w:r>
      <w:r>
        <w:rPr>
          <w:sz w:val="22"/>
          <w:szCs w:val="20"/>
        </w:rPr>
        <w:t>.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Balenie: 12, 24 pastiliek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6.6 </w:t>
      </w:r>
      <w:r w:rsidR="0078258D">
        <w:rPr>
          <w:b/>
          <w:bCs/>
          <w:sz w:val="22"/>
          <w:szCs w:val="20"/>
        </w:rPr>
        <w:tab/>
      </w:r>
      <w:r w:rsidR="0021403C">
        <w:rPr>
          <w:b/>
          <w:bCs/>
          <w:sz w:val="22"/>
          <w:szCs w:val="20"/>
        </w:rPr>
        <w:t xml:space="preserve">Špeciálne upozornenia na likvidáciu a iné </w:t>
      </w:r>
      <w:r>
        <w:rPr>
          <w:b/>
          <w:bCs/>
          <w:sz w:val="22"/>
          <w:szCs w:val="20"/>
        </w:rPr>
        <w:t>zaobchádzani</w:t>
      </w:r>
      <w:r w:rsidR="0021403C">
        <w:rPr>
          <w:b/>
          <w:bCs/>
          <w:sz w:val="22"/>
          <w:szCs w:val="20"/>
        </w:rPr>
        <w:t>e</w:t>
      </w:r>
      <w:r>
        <w:rPr>
          <w:b/>
          <w:bCs/>
          <w:sz w:val="22"/>
          <w:szCs w:val="20"/>
        </w:rPr>
        <w:t xml:space="preserve"> s liekom</w:t>
      </w:r>
    </w:p>
    <w:p w:rsidR="0078258D" w:rsidRDefault="0078258D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Pastilky sa nechajú voľne rozplynúť v ústach.</w:t>
      </w:r>
    </w:p>
    <w:p w:rsidR="007F1E1C" w:rsidRDefault="007F1E1C" w:rsidP="0078258D">
      <w:pPr>
        <w:autoSpaceDE w:val="0"/>
        <w:autoSpaceDN w:val="0"/>
        <w:adjustRightInd w:val="0"/>
        <w:rPr>
          <w:sz w:val="22"/>
          <w:szCs w:val="22"/>
        </w:rPr>
      </w:pPr>
    </w:p>
    <w:p w:rsidR="00DF5D12" w:rsidRDefault="007F1E1C" w:rsidP="0078258D">
      <w:pPr>
        <w:autoSpaceDE w:val="0"/>
        <w:autoSpaceDN w:val="0"/>
        <w:adjustRightInd w:val="0"/>
        <w:rPr>
          <w:sz w:val="22"/>
          <w:szCs w:val="22"/>
        </w:rPr>
      </w:pPr>
      <w:r w:rsidRPr="007F1E1C">
        <w:rPr>
          <w:sz w:val="22"/>
          <w:szCs w:val="22"/>
        </w:rPr>
        <w:t>Všetok nepoužitý liek alebo odpad vzniknutý z lieku sa má zlikvidovať v súlade s národnými požiadavkami</w:t>
      </w:r>
      <w:r w:rsidR="00F00DB5">
        <w:rPr>
          <w:sz w:val="22"/>
          <w:szCs w:val="22"/>
        </w:rPr>
        <w:t>.</w:t>
      </w:r>
    </w:p>
    <w:p w:rsidR="002E43B4" w:rsidRDefault="002E43B4" w:rsidP="0078258D">
      <w:pPr>
        <w:autoSpaceDE w:val="0"/>
        <w:autoSpaceDN w:val="0"/>
        <w:adjustRightInd w:val="0"/>
        <w:rPr>
          <w:sz w:val="22"/>
          <w:szCs w:val="22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2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7. </w:t>
      </w:r>
      <w:r w:rsidR="0021403C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DRŽITEĽ ROZHODNUTIA O REGISTRÁCII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21403C" w:rsidRDefault="003051A9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WALMARK,</w:t>
      </w:r>
      <w:r w:rsidR="00DF5D12">
        <w:rPr>
          <w:sz w:val="22"/>
          <w:szCs w:val="20"/>
        </w:rPr>
        <w:t xml:space="preserve"> a.s</w:t>
      </w:r>
      <w:r w:rsidR="0021403C">
        <w:rPr>
          <w:sz w:val="22"/>
          <w:szCs w:val="20"/>
        </w:rPr>
        <w:t>.</w:t>
      </w:r>
    </w:p>
    <w:p w:rsidR="0021403C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proofErr w:type="spellStart"/>
      <w:r>
        <w:rPr>
          <w:sz w:val="22"/>
          <w:szCs w:val="20"/>
        </w:rPr>
        <w:t>Oldřichovice</w:t>
      </w:r>
      <w:proofErr w:type="spellEnd"/>
      <w:r>
        <w:rPr>
          <w:sz w:val="22"/>
          <w:szCs w:val="20"/>
        </w:rPr>
        <w:t xml:space="preserve"> 44</w:t>
      </w:r>
    </w:p>
    <w:p w:rsidR="0021403C" w:rsidRDefault="0021403C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 xml:space="preserve">739 61 </w:t>
      </w:r>
      <w:proofErr w:type="spellStart"/>
      <w:r w:rsidR="00DF5D12">
        <w:rPr>
          <w:sz w:val="22"/>
          <w:szCs w:val="20"/>
        </w:rPr>
        <w:t>Třinec</w:t>
      </w:r>
      <w:proofErr w:type="spellEnd"/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Česká republika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8. </w:t>
      </w:r>
      <w:r w:rsidR="0021403C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REGISTRAČNÉ ČÍSLO</w:t>
      </w:r>
    </w:p>
    <w:p w:rsidR="0021403C" w:rsidRDefault="0021403C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69/0289/94-S</w:t>
      </w: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9. </w:t>
      </w:r>
      <w:r w:rsidR="0021403C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 xml:space="preserve">DÁTUM </w:t>
      </w:r>
      <w:r w:rsidR="0021403C">
        <w:rPr>
          <w:b/>
          <w:bCs/>
          <w:sz w:val="22"/>
          <w:szCs w:val="20"/>
        </w:rPr>
        <w:t>PRVEJ REGISTRÁCIE/</w:t>
      </w:r>
      <w:r>
        <w:rPr>
          <w:b/>
          <w:bCs/>
          <w:sz w:val="22"/>
          <w:szCs w:val="20"/>
        </w:rPr>
        <w:t>PREDĹŽENIA REGISTRÁCIE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Pr="00146AD8" w:rsidRDefault="00146AD8" w:rsidP="0078258D">
      <w:pPr>
        <w:autoSpaceDE w:val="0"/>
        <w:autoSpaceDN w:val="0"/>
        <w:adjustRightInd w:val="0"/>
        <w:rPr>
          <w:bCs/>
          <w:sz w:val="22"/>
          <w:szCs w:val="20"/>
        </w:rPr>
      </w:pPr>
      <w:r w:rsidRPr="00146AD8">
        <w:rPr>
          <w:bCs/>
          <w:sz w:val="22"/>
          <w:szCs w:val="20"/>
        </w:rPr>
        <w:t>Dátum prvej registrácie:</w:t>
      </w:r>
      <w:r>
        <w:rPr>
          <w:bCs/>
          <w:sz w:val="22"/>
          <w:szCs w:val="20"/>
        </w:rPr>
        <w:t xml:space="preserve"> 18. mája 1994</w:t>
      </w:r>
    </w:p>
    <w:p w:rsidR="00146AD8" w:rsidRDefault="00146AD8" w:rsidP="0078258D">
      <w:pPr>
        <w:autoSpaceDE w:val="0"/>
        <w:autoSpaceDN w:val="0"/>
        <w:adjustRightInd w:val="0"/>
        <w:rPr>
          <w:bCs/>
          <w:sz w:val="22"/>
          <w:szCs w:val="20"/>
        </w:rPr>
      </w:pPr>
      <w:r w:rsidRPr="00146AD8">
        <w:rPr>
          <w:bCs/>
          <w:sz w:val="22"/>
          <w:szCs w:val="20"/>
        </w:rPr>
        <w:t xml:space="preserve">Dátum posledného predĺženia registrácie: </w:t>
      </w:r>
      <w:r w:rsidR="00C721E1">
        <w:rPr>
          <w:bCs/>
          <w:sz w:val="22"/>
          <w:szCs w:val="20"/>
        </w:rPr>
        <w:t>29</w:t>
      </w:r>
      <w:r w:rsidRPr="00146AD8">
        <w:rPr>
          <w:bCs/>
          <w:sz w:val="22"/>
          <w:szCs w:val="20"/>
        </w:rPr>
        <w:t>. marca 2006</w:t>
      </w:r>
    </w:p>
    <w:p w:rsidR="00146AD8" w:rsidRPr="00146AD8" w:rsidRDefault="00146AD8" w:rsidP="0078258D">
      <w:pPr>
        <w:autoSpaceDE w:val="0"/>
        <w:autoSpaceDN w:val="0"/>
        <w:adjustRightInd w:val="0"/>
        <w:rPr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</w:p>
    <w:p w:rsidR="00DF5D12" w:rsidRDefault="00DF5D12" w:rsidP="0078258D">
      <w:pPr>
        <w:autoSpaceDE w:val="0"/>
        <w:autoSpaceDN w:val="0"/>
        <w:adjustRightInd w:val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10. </w:t>
      </w:r>
      <w:r w:rsidR="0021403C"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>DÁTUM POSLEDNEJ REVÍZIE TEXTU</w:t>
      </w:r>
    </w:p>
    <w:p w:rsidR="00DF5D12" w:rsidRDefault="00DF5D12" w:rsidP="0078258D">
      <w:pPr>
        <w:autoSpaceDE w:val="0"/>
        <w:autoSpaceDN w:val="0"/>
        <w:adjustRightInd w:val="0"/>
        <w:rPr>
          <w:sz w:val="22"/>
          <w:szCs w:val="20"/>
        </w:rPr>
      </w:pPr>
    </w:p>
    <w:p w:rsidR="00DF5D12" w:rsidRDefault="00425E6A" w:rsidP="0078258D">
      <w:pPr>
        <w:rPr>
          <w:sz w:val="22"/>
        </w:rPr>
      </w:pPr>
      <w:r>
        <w:rPr>
          <w:sz w:val="22"/>
          <w:szCs w:val="20"/>
        </w:rPr>
        <w:t>Jún 2019</w:t>
      </w:r>
    </w:p>
    <w:sectPr w:rsidR="00DF5D12" w:rsidSect="00D558C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418" w:bottom="1134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1F" w:rsidRDefault="008D0B1F" w:rsidP="00D558C5">
      <w:r>
        <w:separator/>
      </w:r>
    </w:p>
  </w:endnote>
  <w:endnote w:type="continuationSeparator" w:id="0">
    <w:p w:rsidR="008D0B1F" w:rsidRDefault="008D0B1F" w:rsidP="00D5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8" w:rsidRPr="002E43B4" w:rsidRDefault="00146AD8">
    <w:pPr>
      <w:pStyle w:val="Pta"/>
      <w:jc w:val="center"/>
      <w:rPr>
        <w:sz w:val="18"/>
        <w:szCs w:val="18"/>
      </w:rPr>
    </w:pPr>
    <w:r w:rsidRPr="002E43B4">
      <w:rPr>
        <w:sz w:val="18"/>
        <w:szCs w:val="18"/>
      </w:rPr>
      <w:fldChar w:fldCharType="begin"/>
    </w:r>
    <w:r w:rsidRPr="002E43B4">
      <w:rPr>
        <w:sz w:val="18"/>
        <w:szCs w:val="18"/>
      </w:rPr>
      <w:instrText>PAGE   \* MERGEFORMAT</w:instrText>
    </w:r>
    <w:r w:rsidRPr="002E43B4">
      <w:rPr>
        <w:sz w:val="18"/>
        <w:szCs w:val="18"/>
      </w:rPr>
      <w:fldChar w:fldCharType="separate"/>
    </w:r>
    <w:r w:rsidR="009073B2">
      <w:rPr>
        <w:noProof/>
        <w:sz w:val="18"/>
        <w:szCs w:val="18"/>
      </w:rPr>
      <w:t>4</w:t>
    </w:r>
    <w:r w:rsidRPr="002E43B4">
      <w:rPr>
        <w:sz w:val="18"/>
        <w:szCs w:val="18"/>
      </w:rPr>
      <w:fldChar w:fldCharType="end"/>
    </w:r>
  </w:p>
  <w:p w:rsidR="00146AD8" w:rsidRDefault="00146AD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C5" w:rsidRPr="00D558C5" w:rsidRDefault="00D558C5">
    <w:pPr>
      <w:pStyle w:val="Pta"/>
      <w:jc w:val="center"/>
      <w:rPr>
        <w:sz w:val="18"/>
        <w:szCs w:val="18"/>
      </w:rPr>
    </w:pPr>
    <w:r w:rsidRPr="00D558C5">
      <w:rPr>
        <w:sz w:val="18"/>
        <w:szCs w:val="18"/>
      </w:rPr>
      <w:fldChar w:fldCharType="begin"/>
    </w:r>
    <w:r w:rsidRPr="00D558C5">
      <w:rPr>
        <w:sz w:val="18"/>
        <w:szCs w:val="18"/>
      </w:rPr>
      <w:instrText>PAGE   \* MERGEFORMAT</w:instrText>
    </w:r>
    <w:r w:rsidRPr="00D558C5">
      <w:rPr>
        <w:sz w:val="18"/>
        <w:szCs w:val="18"/>
      </w:rPr>
      <w:fldChar w:fldCharType="separate"/>
    </w:r>
    <w:r w:rsidR="009073B2">
      <w:rPr>
        <w:noProof/>
        <w:sz w:val="18"/>
        <w:szCs w:val="18"/>
      </w:rPr>
      <w:t>1</w:t>
    </w:r>
    <w:r w:rsidRPr="00D558C5">
      <w:rPr>
        <w:sz w:val="18"/>
        <w:szCs w:val="18"/>
      </w:rPr>
      <w:fldChar w:fldCharType="end"/>
    </w:r>
  </w:p>
  <w:p w:rsidR="00D558C5" w:rsidRDefault="00D558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1F" w:rsidRDefault="008D0B1F" w:rsidP="00D558C5">
      <w:r>
        <w:separator/>
      </w:r>
    </w:p>
  </w:footnote>
  <w:footnote w:type="continuationSeparator" w:id="0">
    <w:p w:rsidR="008D0B1F" w:rsidRDefault="008D0B1F" w:rsidP="00D5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46" w:rsidRPr="0036422D" w:rsidRDefault="00D05F46" w:rsidP="00D05F46">
    <w:pPr>
      <w:pStyle w:val="Hlavika"/>
      <w:rPr>
        <w:sz w:val="18"/>
        <w:szCs w:val="18"/>
      </w:rPr>
    </w:pPr>
    <w:r>
      <w:rPr>
        <w:sz w:val="18"/>
        <w:szCs w:val="18"/>
      </w:rPr>
      <w:t>Príloha č. 1 k notifikácii o zmene, ev. č.: 2019/02705-Z1B</w:t>
    </w:r>
  </w:p>
  <w:p w:rsidR="00D558C5" w:rsidRDefault="00D558C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C5" w:rsidRDefault="00D558C5">
    <w:pPr>
      <w:pStyle w:val="Hlavika"/>
      <w:rPr>
        <w:sz w:val="18"/>
        <w:szCs w:val="18"/>
      </w:rPr>
    </w:pPr>
  </w:p>
  <w:p w:rsidR="00C854AC" w:rsidRPr="0036422D" w:rsidRDefault="00C854AC" w:rsidP="00C854AC">
    <w:pPr>
      <w:pStyle w:val="Hlavika"/>
      <w:rPr>
        <w:sz w:val="18"/>
        <w:szCs w:val="18"/>
      </w:rPr>
    </w:pPr>
    <w:r>
      <w:rPr>
        <w:sz w:val="18"/>
        <w:szCs w:val="18"/>
      </w:rPr>
      <w:t>Príloha č. 1 k notifikácii o zmene, ev. č.: 2019/0</w:t>
    </w:r>
    <w:r w:rsidR="00932FAF">
      <w:rPr>
        <w:sz w:val="18"/>
        <w:szCs w:val="18"/>
      </w:rPr>
      <w:t>2705-Z1B</w:t>
    </w:r>
  </w:p>
  <w:p w:rsidR="00C854AC" w:rsidRPr="00D558C5" w:rsidRDefault="00C854AC">
    <w:pPr>
      <w:pStyle w:val="Hlavika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2E"/>
    <w:rsid w:val="00092F3C"/>
    <w:rsid w:val="000F0B6E"/>
    <w:rsid w:val="0013710A"/>
    <w:rsid w:val="00146AD8"/>
    <w:rsid w:val="00161091"/>
    <w:rsid w:val="001B4889"/>
    <w:rsid w:val="0021403C"/>
    <w:rsid w:val="0023516B"/>
    <w:rsid w:val="00246F74"/>
    <w:rsid w:val="002B7128"/>
    <w:rsid w:val="002E43B4"/>
    <w:rsid w:val="002F01B9"/>
    <w:rsid w:val="003051A9"/>
    <w:rsid w:val="00413ED9"/>
    <w:rsid w:val="004201A5"/>
    <w:rsid w:val="00424418"/>
    <w:rsid w:val="00425E6A"/>
    <w:rsid w:val="0046472E"/>
    <w:rsid w:val="00465B9A"/>
    <w:rsid w:val="004D5FD8"/>
    <w:rsid w:val="0050020D"/>
    <w:rsid w:val="00575ED3"/>
    <w:rsid w:val="005B15CB"/>
    <w:rsid w:val="0078258D"/>
    <w:rsid w:val="00791F1A"/>
    <w:rsid w:val="007E7C5A"/>
    <w:rsid w:val="007F1E1C"/>
    <w:rsid w:val="007F2EA6"/>
    <w:rsid w:val="0087293F"/>
    <w:rsid w:val="008D0B1F"/>
    <w:rsid w:val="008E3259"/>
    <w:rsid w:val="009073B2"/>
    <w:rsid w:val="00932FAF"/>
    <w:rsid w:val="009A35B0"/>
    <w:rsid w:val="009C0313"/>
    <w:rsid w:val="00AA4C58"/>
    <w:rsid w:val="00BD33CB"/>
    <w:rsid w:val="00BE3B17"/>
    <w:rsid w:val="00C10B19"/>
    <w:rsid w:val="00C71F90"/>
    <w:rsid w:val="00C721E1"/>
    <w:rsid w:val="00C73B09"/>
    <w:rsid w:val="00C854AC"/>
    <w:rsid w:val="00CF0F3E"/>
    <w:rsid w:val="00D05F46"/>
    <w:rsid w:val="00D5033E"/>
    <w:rsid w:val="00D558C5"/>
    <w:rsid w:val="00DF5D12"/>
    <w:rsid w:val="00E247F5"/>
    <w:rsid w:val="00E76C4F"/>
    <w:rsid w:val="00EA70C8"/>
    <w:rsid w:val="00F00DB5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autoSpaceDE w:val="0"/>
      <w:autoSpaceDN w:val="0"/>
      <w:adjustRightInd w:val="0"/>
      <w:jc w:val="both"/>
      <w:outlineLvl w:val="0"/>
    </w:pPr>
    <w:rPr>
      <w:b/>
      <w:bCs/>
      <w:sz w:val="18"/>
      <w:szCs w:val="16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6472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558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558C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558C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558C5"/>
    <w:rPr>
      <w:sz w:val="24"/>
      <w:szCs w:val="24"/>
    </w:rPr>
  </w:style>
  <w:style w:type="character" w:styleId="Hypertextovprepojenie">
    <w:name w:val="Hyperlink"/>
    <w:rsid w:val="0078258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5033E"/>
    <w:pPr>
      <w:widowControl w:val="0"/>
      <w:jc w:val="center"/>
    </w:pPr>
    <w:rPr>
      <w:b/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D5033E"/>
    <w:rPr>
      <w:b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autoSpaceDE w:val="0"/>
      <w:autoSpaceDN w:val="0"/>
      <w:adjustRightInd w:val="0"/>
      <w:jc w:val="both"/>
      <w:outlineLvl w:val="0"/>
    </w:pPr>
    <w:rPr>
      <w:b/>
      <w:bCs/>
      <w:sz w:val="18"/>
      <w:szCs w:val="16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6472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558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558C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558C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558C5"/>
    <w:rPr>
      <w:sz w:val="24"/>
      <w:szCs w:val="24"/>
    </w:rPr>
  </w:style>
  <w:style w:type="character" w:styleId="Hypertextovprepojenie">
    <w:name w:val="Hyperlink"/>
    <w:rsid w:val="0078258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5033E"/>
    <w:pPr>
      <w:widowControl w:val="0"/>
      <w:jc w:val="center"/>
    </w:pPr>
    <w:rPr>
      <w:b/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D5033E"/>
    <w:rPr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6742</CharactersWithSpaces>
  <SharedDoc>false</SharedDoc>
  <HLinks>
    <vt:vector size="12" baseType="variant">
      <vt:variant>
        <vt:i4>5898285</vt:i4>
      </vt:variant>
      <vt:variant>
        <vt:i4>3</vt:i4>
      </vt:variant>
      <vt:variant>
        <vt:i4>0</vt:i4>
      </vt:variant>
      <vt:variant>
        <vt:i4>5</vt:i4>
      </vt:variant>
      <vt:variant>
        <vt:lpwstr>mailto:neziaduce.ucinky@sukl.sk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RegPharm Slovakia</dc:creator>
  <cp:lastModifiedBy>EM</cp:lastModifiedBy>
  <cp:revision>4</cp:revision>
  <dcterms:created xsi:type="dcterms:W3CDTF">2019-06-26T05:48:00Z</dcterms:created>
  <dcterms:modified xsi:type="dcterms:W3CDTF">2019-06-26T05:53:00Z</dcterms:modified>
</cp:coreProperties>
</file>