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94180" w14:textId="77777777" w:rsidR="00EE7539" w:rsidRPr="005713B4" w:rsidRDefault="00EE7539" w:rsidP="005713B4">
      <w:pPr>
        <w:tabs>
          <w:tab w:val="left" w:pos="680"/>
        </w:tabs>
        <w:spacing w:after="0" w:line="240" w:lineRule="auto"/>
        <w:ind w:right="-20"/>
        <w:jc w:val="center"/>
        <w:rPr>
          <w:rFonts w:ascii="Times New Roman" w:hAnsi="Times New Roman"/>
          <w:b/>
          <w:bCs/>
          <w:lang w:val="pt-BR"/>
        </w:rPr>
      </w:pPr>
      <w:bookmarkStart w:id="0" w:name="_GoBack"/>
      <w:bookmarkEnd w:id="0"/>
    </w:p>
    <w:p w14:paraId="21829E13" w14:textId="77777777" w:rsidR="00EE7539" w:rsidRPr="00B80AD7" w:rsidRDefault="00EE7539" w:rsidP="005713B4">
      <w:pPr>
        <w:tabs>
          <w:tab w:val="left" w:pos="680"/>
        </w:tabs>
        <w:spacing w:after="0" w:line="240" w:lineRule="auto"/>
        <w:ind w:right="-20"/>
        <w:jc w:val="center"/>
        <w:rPr>
          <w:rFonts w:ascii="Times New Roman" w:hAnsi="Times New Roman"/>
          <w:b/>
          <w:bCs/>
          <w:lang w:val="pt-BR"/>
        </w:rPr>
      </w:pPr>
      <w:r w:rsidRPr="00B80AD7">
        <w:rPr>
          <w:rFonts w:ascii="Times New Roman" w:hAnsi="Times New Roman"/>
          <w:b/>
          <w:bCs/>
          <w:lang w:val="pt-BR"/>
        </w:rPr>
        <w:t>SÚHRN CHARAKTERISTICKÝCH VLASTNOSTÍ LIEKU</w:t>
      </w:r>
    </w:p>
    <w:p w14:paraId="2AF6F8D3" w14:textId="77777777" w:rsidR="00EE7539" w:rsidRPr="00B80AD7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bCs/>
          <w:lang w:val="pt-BR"/>
        </w:rPr>
      </w:pPr>
    </w:p>
    <w:p w14:paraId="5FB479C9" w14:textId="77777777" w:rsidR="00EE7539" w:rsidRPr="00B80AD7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bCs/>
          <w:lang w:val="pt-BR"/>
        </w:rPr>
      </w:pPr>
    </w:p>
    <w:p w14:paraId="29B10AA2" w14:textId="77777777" w:rsidR="00EE7539" w:rsidRPr="00B80AD7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pt-BR"/>
        </w:rPr>
      </w:pPr>
      <w:r w:rsidRPr="00B80AD7">
        <w:rPr>
          <w:rFonts w:ascii="Times New Roman" w:hAnsi="Times New Roman"/>
          <w:b/>
          <w:bCs/>
          <w:lang w:val="pt-BR"/>
        </w:rPr>
        <w:t>1.</w:t>
      </w:r>
      <w:r w:rsidRPr="00B80AD7">
        <w:rPr>
          <w:rFonts w:ascii="Times New Roman" w:hAnsi="Times New Roman"/>
          <w:b/>
          <w:bCs/>
          <w:lang w:val="pt-BR"/>
        </w:rPr>
        <w:tab/>
        <w:t>NÁZOV LIEKU</w:t>
      </w:r>
    </w:p>
    <w:p w14:paraId="07F1B0F0" w14:textId="77777777" w:rsidR="00EE7539" w:rsidRPr="00B80AD7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5E1D909F" w14:textId="77777777" w:rsidR="00EE7539" w:rsidRPr="00B80AD7" w:rsidRDefault="00EE7539" w:rsidP="00B01281">
      <w:pPr>
        <w:spacing w:after="0" w:line="240" w:lineRule="auto"/>
        <w:ind w:right="-2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Memolan</w:t>
      </w:r>
      <w:r w:rsidRPr="00B80AD7">
        <w:rPr>
          <w:rFonts w:ascii="Times New Roman" w:hAnsi="Times New Roman"/>
          <w:lang w:val="pt-BR"/>
        </w:rPr>
        <w:t xml:space="preserve"> 10 mg filmom obalené tablety</w:t>
      </w:r>
    </w:p>
    <w:p w14:paraId="2F420EC3" w14:textId="77777777" w:rsidR="00EE7539" w:rsidRPr="00B80AD7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143D1101" w14:textId="77777777" w:rsidR="00EE7539" w:rsidRPr="00B80AD7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05C215C1" w14:textId="77777777" w:rsidR="00EE7539" w:rsidRPr="00B80AD7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pt-BR"/>
        </w:rPr>
      </w:pPr>
      <w:r w:rsidRPr="00B80AD7">
        <w:rPr>
          <w:rFonts w:ascii="Times New Roman" w:hAnsi="Times New Roman"/>
          <w:b/>
          <w:bCs/>
          <w:lang w:val="pt-BR"/>
        </w:rPr>
        <w:t>2.</w:t>
      </w:r>
      <w:r w:rsidRPr="00B80AD7">
        <w:rPr>
          <w:rFonts w:ascii="Times New Roman" w:hAnsi="Times New Roman"/>
          <w:b/>
          <w:bCs/>
          <w:lang w:val="pt-BR"/>
        </w:rPr>
        <w:tab/>
        <w:t>KVALITATÍVNE A KVANTITATÍVNE ZLOŽENIE</w:t>
      </w:r>
    </w:p>
    <w:p w14:paraId="01C93E0C" w14:textId="77777777" w:rsidR="00EE7539" w:rsidRPr="00B80AD7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205DF6ED" w14:textId="77777777" w:rsidR="00EE7539" w:rsidRPr="00B80AD7" w:rsidRDefault="00EE7539" w:rsidP="00B01281">
      <w:pPr>
        <w:spacing w:after="0" w:line="240" w:lineRule="auto"/>
        <w:ind w:right="126"/>
        <w:rPr>
          <w:rFonts w:ascii="Times New Roman" w:hAnsi="Times New Roman"/>
          <w:lang w:val="pt-BR"/>
        </w:rPr>
      </w:pPr>
      <w:r w:rsidRPr="00B80AD7">
        <w:rPr>
          <w:rFonts w:ascii="Times New Roman" w:hAnsi="Times New Roman"/>
          <w:lang w:val="pt-BR"/>
        </w:rPr>
        <w:t>Každá filmom obalená tableta obsahuje 10 mg memantín</w:t>
      </w:r>
      <w:r>
        <w:rPr>
          <w:rFonts w:ascii="Times New Roman" w:hAnsi="Times New Roman"/>
          <w:lang w:val="pt-BR"/>
        </w:rPr>
        <w:t>ium</w:t>
      </w:r>
      <w:r w:rsidRPr="00B80AD7">
        <w:rPr>
          <w:rFonts w:ascii="Times New Roman" w:hAnsi="Times New Roman"/>
          <w:lang w:val="pt-BR"/>
        </w:rPr>
        <w:t>chloridu, čo zodpovedá 8,31 mg memantínu.</w:t>
      </w:r>
    </w:p>
    <w:p w14:paraId="4FD6AE27" w14:textId="77777777" w:rsidR="00EE7539" w:rsidRPr="00B80AD7" w:rsidRDefault="00EE7539" w:rsidP="00B01281">
      <w:pPr>
        <w:spacing w:after="0" w:line="240" w:lineRule="auto"/>
        <w:ind w:right="126"/>
        <w:rPr>
          <w:rFonts w:ascii="Times New Roman" w:hAnsi="Times New Roman"/>
          <w:lang w:val="pt-BR"/>
        </w:rPr>
      </w:pPr>
    </w:p>
    <w:p w14:paraId="79E3E6A8" w14:textId="0176E2FA" w:rsidR="00EE7539" w:rsidRPr="00D628C8" w:rsidRDefault="00EE7539" w:rsidP="00D628C8">
      <w:pPr>
        <w:spacing w:after="0" w:line="240" w:lineRule="auto"/>
        <w:ind w:right="126"/>
        <w:rPr>
          <w:rFonts w:ascii="Times New Roman" w:hAnsi="Times New Roman"/>
          <w:lang w:val="sk-SK"/>
        </w:rPr>
      </w:pPr>
      <w:r w:rsidRPr="00D628C8">
        <w:rPr>
          <w:rFonts w:ascii="Times New Roman" w:hAnsi="Times New Roman"/>
          <w:lang w:val="sk-SK"/>
        </w:rPr>
        <w:t xml:space="preserve">Pomocná látka so známym účinkom: laktóza </w:t>
      </w:r>
      <w:r w:rsidR="00F8763C">
        <w:rPr>
          <w:rFonts w:ascii="Times New Roman" w:hAnsi="Times New Roman"/>
          <w:lang w:val="sk-SK"/>
        </w:rPr>
        <w:t>82,75</w:t>
      </w:r>
      <w:r w:rsidRPr="00D628C8">
        <w:rPr>
          <w:rFonts w:ascii="Times New Roman" w:hAnsi="Times New Roman"/>
          <w:lang w:val="sk-SK"/>
        </w:rPr>
        <w:t xml:space="preserve"> mg (ako monohydrát laktózy)</w:t>
      </w:r>
    </w:p>
    <w:p w14:paraId="3714A8BA" w14:textId="77777777" w:rsidR="00EE7539" w:rsidRPr="00B80AD7" w:rsidRDefault="00EE7539" w:rsidP="00B01281">
      <w:pPr>
        <w:spacing w:after="0" w:line="240" w:lineRule="auto"/>
        <w:ind w:right="126"/>
        <w:rPr>
          <w:rFonts w:ascii="Times New Roman" w:hAnsi="Times New Roman"/>
          <w:lang w:val="pt-BR"/>
        </w:rPr>
      </w:pPr>
    </w:p>
    <w:p w14:paraId="2E99BE6A" w14:textId="77777777" w:rsidR="00EE7539" w:rsidRPr="00B80AD7" w:rsidRDefault="00EE7539" w:rsidP="00B01281">
      <w:pPr>
        <w:spacing w:after="0" w:line="240" w:lineRule="auto"/>
        <w:ind w:right="126"/>
        <w:rPr>
          <w:rFonts w:ascii="Times New Roman" w:hAnsi="Times New Roman"/>
          <w:lang w:val="pt-BR"/>
        </w:rPr>
      </w:pPr>
      <w:r w:rsidRPr="00B80AD7">
        <w:rPr>
          <w:rFonts w:ascii="Times New Roman" w:hAnsi="Times New Roman"/>
          <w:lang w:val="pt-BR"/>
        </w:rPr>
        <w:t>Úplný zoznam pomocných látok, pozri časť 6.1.</w:t>
      </w:r>
    </w:p>
    <w:p w14:paraId="5B2AAFFD" w14:textId="77777777" w:rsidR="00EE7539" w:rsidRPr="00B80AD7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0FAE61B1" w14:textId="77777777" w:rsidR="00EE7539" w:rsidRPr="00B80AD7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2FE6828B" w14:textId="77777777" w:rsidR="00EE7539" w:rsidRPr="005713B4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b/>
          <w:bCs/>
          <w:lang w:val="pt-BR"/>
        </w:rPr>
        <w:t>3.</w:t>
      </w:r>
      <w:r w:rsidRPr="0050247A">
        <w:rPr>
          <w:rFonts w:ascii="Times New Roman" w:hAnsi="Times New Roman"/>
          <w:b/>
          <w:bCs/>
          <w:lang w:val="pt-BR"/>
        </w:rPr>
        <w:tab/>
      </w:r>
      <w:r w:rsidRPr="005713B4">
        <w:rPr>
          <w:rFonts w:ascii="Times New Roman" w:hAnsi="Times New Roman"/>
          <w:b/>
          <w:bCs/>
          <w:lang w:val="pt-BR"/>
        </w:rPr>
        <w:t>LIEKOVÁ FORMA</w:t>
      </w:r>
    </w:p>
    <w:p w14:paraId="392ACDA9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3A20AAF4" w14:textId="77777777" w:rsidR="00EE7539" w:rsidRDefault="00EE7539" w:rsidP="00B01281">
      <w:pPr>
        <w:spacing w:after="0" w:line="240" w:lineRule="auto"/>
        <w:ind w:right="-20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pt-BR"/>
        </w:rPr>
        <w:t xml:space="preserve">Filmom </w:t>
      </w:r>
      <w:r w:rsidRPr="00B80AD7">
        <w:rPr>
          <w:rFonts w:ascii="Times New Roman" w:hAnsi="Times New Roman"/>
          <w:lang w:val="pt-BR"/>
        </w:rPr>
        <w:t>obalené tablety.</w:t>
      </w:r>
    </w:p>
    <w:p w14:paraId="124B3553" w14:textId="77777777" w:rsidR="007461DF" w:rsidRPr="005713B4" w:rsidRDefault="007461DF" w:rsidP="00B01281">
      <w:pPr>
        <w:spacing w:after="0" w:line="240" w:lineRule="auto"/>
        <w:ind w:right="-20"/>
        <w:rPr>
          <w:rFonts w:ascii="Times New Roman" w:hAnsi="Times New Roman"/>
          <w:lang w:val="pt-BR"/>
        </w:rPr>
      </w:pPr>
    </w:p>
    <w:p w14:paraId="6A496D18" w14:textId="77777777" w:rsidR="00EE7539" w:rsidRDefault="00EE7539" w:rsidP="00D628C8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6B2008">
        <w:rPr>
          <w:rFonts w:ascii="Times New Roman" w:hAnsi="Times New Roman"/>
          <w:lang w:val="sk-SK"/>
        </w:rPr>
        <w:t xml:space="preserve">Biele až belavé, podlhovasté, dvojvypuklé, filmom </w:t>
      </w:r>
      <w:r>
        <w:rPr>
          <w:rFonts w:ascii="Times New Roman" w:hAnsi="Times New Roman"/>
          <w:lang w:val="sk-SK"/>
        </w:rPr>
        <w:t>obalené</w:t>
      </w:r>
      <w:r w:rsidRPr="006B2008">
        <w:rPr>
          <w:rFonts w:ascii="Times New Roman" w:hAnsi="Times New Roman"/>
          <w:lang w:val="sk-SK"/>
        </w:rPr>
        <w:t xml:space="preserve"> tablety s deliacou čiarou na oboch stranách.</w:t>
      </w:r>
    </w:p>
    <w:p w14:paraId="1DEB178C" w14:textId="77777777" w:rsidR="00EE7539" w:rsidRPr="006B2008" w:rsidRDefault="00EE7539" w:rsidP="00D628C8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5EF329ED" w14:textId="77777777" w:rsidR="00EE7539" w:rsidRPr="00D628C8" w:rsidRDefault="00EE7539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6B2008">
        <w:rPr>
          <w:rFonts w:ascii="Times New Roman" w:hAnsi="Times New Roman"/>
          <w:lang w:val="sk-SK"/>
        </w:rPr>
        <w:t>Tableta sa môže rozdeliť na rovnaké dávky.</w:t>
      </w:r>
    </w:p>
    <w:p w14:paraId="319C61A9" w14:textId="77777777" w:rsidR="00EE7539" w:rsidRPr="00D628C8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575B4DD6" w14:textId="77777777" w:rsidR="00EE7539" w:rsidRPr="00D628C8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64C5E27B" w14:textId="77777777" w:rsidR="00EE7539" w:rsidRPr="0041770A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b/>
          <w:bCs/>
          <w:lang w:val="sk-SK"/>
        </w:rPr>
        <w:t>4.</w:t>
      </w:r>
      <w:r w:rsidRPr="0041770A">
        <w:rPr>
          <w:rFonts w:ascii="Times New Roman" w:hAnsi="Times New Roman"/>
          <w:b/>
          <w:bCs/>
          <w:lang w:val="sk-SK"/>
        </w:rPr>
        <w:tab/>
        <w:t>KLINICKÉ ÚDAJE</w:t>
      </w:r>
    </w:p>
    <w:p w14:paraId="168E7D6D" w14:textId="77777777" w:rsidR="00EE7539" w:rsidRPr="0041770A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736E71EC" w14:textId="77777777" w:rsidR="00EE7539" w:rsidRPr="0041770A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b/>
          <w:bCs/>
          <w:lang w:val="sk-SK"/>
        </w:rPr>
        <w:t>4.1</w:t>
      </w:r>
      <w:r w:rsidRPr="0041770A">
        <w:rPr>
          <w:rFonts w:ascii="Times New Roman" w:hAnsi="Times New Roman"/>
          <w:b/>
          <w:bCs/>
          <w:lang w:val="sk-SK"/>
        </w:rPr>
        <w:tab/>
        <w:t>Terapeutické indikácie</w:t>
      </w:r>
    </w:p>
    <w:p w14:paraId="6F1554D5" w14:textId="77777777" w:rsidR="00EE7539" w:rsidRPr="0041770A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20645103" w14:textId="48EE50CF" w:rsidR="00EE7539" w:rsidRPr="0041770A" w:rsidRDefault="00EE7539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lang w:val="sk-SK"/>
        </w:rPr>
        <w:t>Liečba pacientov s Alzheimerovou chorobou stredného až</w:t>
      </w:r>
      <w:r w:rsidR="007461DF">
        <w:rPr>
          <w:rFonts w:ascii="Times New Roman" w:hAnsi="Times New Roman"/>
          <w:lang w:val="sk-SK"/>
        </w:rPr>
        <w:t xml:space="preserve"> závažného</w:t>
      </w:r>
      <w:r w:rsidRPr="0041770A">
        <w:rPr>
          <w:rFonts w:ascii="Times New Roman" w:hAnsi="Times New Roman"/>
          <w:lang w:val="sk-SK"/>
        </w:rPr>
        <w:t xml:space="preserve"> stupňa.</w:t>
      </w:r>
    </w:p>
    <w:p w14:paraId="4384ADA4" w14:textId="77777777" w:rsidR="00EE7539" w:rsidRPr="0041770A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54064657" w14:textId="77777777" w:rsidR="00EE7539" w:rsidRPr="0041770A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b/>
          <w:bCs/>
          <w:lang w:val="sk-SK"/>
        </w:rPr>
        <w:t>4.2</w:t>
      </w:r>
      <w:r w:rsidRPr="0041770A">
        <w:rPr>
          <w:rFonts w:ascii="Times New Roman" w:hAnsi="Times New Roman"/>
          <w:b/>
          <w:bCs/>
          <w:lang w:val="sk-SK"/>
        </w:rPr>
        <w:tab/>
        <w:t>Dávkovanie a spôsob podávania</w:t>
      </w:r>
    </w:p>
    <w:p w14:paraId="0FC568AD" w14:textId="77777777" w:rsidR="00EE7539" w:rsidRPr="0041770A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234D6BFF" w14:textId="77777777" w:rsidR="00F8763C" w:rsidRDefault="00EE7539" w:rsidP="00D628C8">
      <w:pPr>
        <w:spacing w:after="0" w:line="240" w:lineRule="auto"/>
        <w:ind w:right="81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lang w:val="sk-SK"/>
        </w:rPr>
        <w:t xml:space="preserve">Liečbu má začať a sledovať lekár, skúsený v diagnostike a liečbe Alzheimerovej demencie. </w:t>
      </w:r>
    </w:p>
    <w:p w14:paraId="6C34E37C" w14:textId="77777777" w:rsidR="00F8763C" w:rsidRDefault="00F8763C" w:rsidP="00D628C8">
      <w:pPr>
        <w:spacing w:after="0" w:line="240" w:lineRule="auto"/>
        <w:ind w:right="81"/>
        <w:rPr>
          <w:rFonts w:ascii="Times New Roman" w:hAnsi="Times New Roman"/>
          <w:lang w:val="sk-SK"/>
        </w:rPr>
      </w:pPr>
    </w:p>
    <w:p w14:paraId="440801AF" w14:textId="77777777" w:rsidR="00F8763C" w:rsidRDefault="00F8763C" w:rsidP="00D628C8">
      <w:pPr>
        <w:spacing w:after="0" w:line="240" w:lineRule="auto"/>
        <w:ind w:right="81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Dávkovanie</w:t>
      </w:r>
    </w:p>
    <w:p w14:paraId="02357750" w14:textId="12D94C83" w:rsidR="00EE7539" w:rsidRPr="0041770A" w:rsidRDefault="00EE7539" w:rsidP="00D628C8">
      <w:pPr>
        <w:spacing w:after="0" w:line="240" w:lineRule="auto"/>
        <w:ind w:right="81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lang w:val="sk-SK"/>
        </w:rPr>
        <w:t xml:space="preserve">Terapia sa má začať len vtedy, ak je opatrovník schopný pravidelne kontrolovať, ako pacient užíva liek. Diagnóza má byť stanovená podľa súčasných diagnostických odporúčaní. Tolerancia a dávkovanie memantínu majú byť pravidelne prehodnocované, pokiaľ možno do troch mesiacov po začatí liečby. Ďalej má byť klinický prínos memantínu a tolerancia liečby vyhodnocovaná v pravidelných intervaloch podľa aktuálnych </w:t>
      </w:r>
      <w:r w:rsidRPr="002A2691">
        <w:rPr>
          <w:rFonts w:ascii="Times New Roman" w:hAnsi="Times New Roman"/>
          <w:lang w:val="sk-SK"/>
        </w:rPr>
        <w:t>terapeutických postupov</w:t>
      </w:r>
      <w:r w:rsidRPr="0041770A">
        <w:rPr>
          <w:rFonts w:ascii="Times New Roman" w:hAnsi="Times New Roman"/>
          <w:lang w:val="sk-SK"/>
        </w:rPr>
        <w:t xml:space="preserve">. V udržiavacej liečbe sa môže pokračovať, pokiaľ je </w:t>
      </w:r>
      <w:r w:rsidR="007461DF">
        <w:rPr>
          <w:rFonts w:ascii="Times New Roman" w:hAnsi="Times New Roman"/>
          <w:lang w:val="sk-SK"/>
        </w:rPr>
        <w:t>liečebný</w:t>
      </w:r>
      <w:r w:rsidRPr="0041770A">
        <w:rPr>
          <w:rFonts w:ascii="Times New Roman" w:hAnsi="Times New Roman"/>
          <w:lang w:val="sk-SK"/>
        </w:rPr>
        <w:t xml:space="preserve"> prínos</w:t>
      </w:r>
      <w:r w:rsidR="007461DF">
        <w:rPr>
          <w:rFonts w:ascii="Times New Roman" w:hAnsi="Times New Roman"/>
          <w:lang w:val="sk-SK"/>
        </w:rPr>
        <w:t xml:space="preserve"> priaznivý</w:t>
      </w:r>
      <w:r w:rsidRPr="0041770A">
        <w:rPr>
          <w:rFonts w:ascii="Times New Roman" w:hAnsi="Times New Roman"/>
          <w:lang w:val="sk-SK"/>
        </w:rPr>
        <w:t xml:space="preserve"> a</w:t>
      </w:r>
      <w:r w:rsidR="007461DF">
        <w:rPr>
          <w:rFonts w:ascii="Times New Roman" w:hAnsi="Times New Roman"/>
          <w:lang w:val="sk-SK"/>
        </w:rPr>
        <w:t> pacient</w:t>
      </w:r>
      <w:r w:rsidRPr="0041770A">
        <w:rPr>
          <w:rFonts w:ascii="Times New Roman" w:hAnsi="Times New Roman"/>
          <w:lang w:val="sk-SK"/>
        </w:rPr>
        <w:t xml:space="preserve"> liečbu memantínom toleruje. Prerušenie liečby memantínom sa má zvážiť v prípade, keď nebude prítomný preukázateľný terapeutický prínos alebo pacient nebude tolerovať liečbu.</w:t>
      </w:r>
    </w:p>
    <w:p w14:paraId="582ED848" w14:textId="77777777" w:rsidR="00EE7539" w:rsidRPr="0041770A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182C200C" w14:textId="3558FDA8" w:rsidR="00EE7539" w:rsidRPr="0041770A" w:rsidRDefault="00EE7539" w:rsidP="00B01281">
      <w:pPr>
        <w:spacing w:after="0" w:line="240" w:lineRule="auto"/>
        <w:ind w:right="7813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i/>
          <w:lang w:val="sk-SK"/>
        </w:rPr>
        <w:t>Dospelí</w:t>
      </w:r>
    </w:p>
    <w:p w14:paraId="6FD62753" w14:textId="77777777" w:rsidR="00F8763C" w:rsidRDefault="00F8763C" w:rsidP="00B01281">
      <w:pPr>
        <w:spacing w:after="0" w:line="240" w:lineRule="auto"/>
        <w:ind w:right="7813"/>
        <w:rPr>
          <w:rFonts w:ascii="Times New Roman" w:hAnsi="Times New Roman"/>
          <w:lang w:val="sk-SK"/>
        </w:rPr>
      </w:pPr>
    </w:p>
    <w:p w14:paraId="05AF997C" w14:textId="77777777" w:rsidR="00EE7539" w:rsidRPr="00AA61BF" w:rsidRDefault="00EE7539" w:rsidP="00B01281">
      <w:pPr>
        <w:spacing w:after="0" w:line="240" w:lineRule="auto"/>
        <w:ind w:right="7813"/>
        <w:rPr>
          <w:rFonts w:ascii="Times New Roman" w:hAnsi="Times New Roman"/>
          <w:b/>
          <w:lang w:val="sk-SK"/>
        </w:rPr>
      </w:pPr>
      <w:r w:rsidRPr="00AA61BF">
        <w:rPr>
          <w:rFonts w:ascii="Times New Roman" w:hAnsi="Times New Roman"/>
          <w:b/>
          <w:lang w:val="sk-SK"/>
        </w:rPr>
        <w:t>Titrácia dávky</w:t>
      </w:r>
    </w:p>
    <w:p w14:paraId="5D721ECC" w14:textId="77777777" w:rsidR="00EE7539" w:rsidRPr="0041770A" w:rsidRDefault="00EE7539" w:rsidP="00B01281">
      <w:pPr>
        <w:spacing w:after="0" w:line="240" w:lineRule="auto"/>
        <w:ind w:right="267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lang w:val="sk-SK"/>
        </w:rPr>
        <w:t>Maximálna denná dávka je 20 mg denne. Aby sa znížilo riziko nežiaducich účinkov, udržiavacia dávka sa dosahuje vzostupnou titráciou o 5 mg týždenne počas prvých 3 týždňov liečby nasledovne:</w:t>
      </w:r>
    </w:p>
    <w:p w14:paraId="7E145B16" w14:textId="77777777" w:rsidR="00EE7539" w:rsidRPr="0041770A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6DF7592B" w14:textId="3207D51F" w:rsidR="00EE7539" w:rsidRPr="00AA61BF" w:rsidRDefault="00EE7539" w:rsidP="00B01281">
      <w:pPr>
        <w:spacing w:after="0" w:line="240" w:lineRule="auto"/>
        <w:ind w:right="-20"/>
        <w:rPr>
          <w:rFonts w:ascii="Times New Roman" w:hAnsi="Times New Roman"/>
          <w:i/>
          <w:lang w:val="sk-SK"/>
        </w:rPr>
      </w:pPr>
      <w:r w:rsidRPr="00AA61BF">
        <w:rPr>
          <w:rFonts w:ascii="Times New Roman" w:hAnsi="Times New Roman"/>
          <w:i/>
          <w:lang w:val="sk-SK"/>
        </w:rPr>
        <w:lastRenderedPageBreak/>
        <w:t>Týždeň č. 1 (deň 1-7)</w:t>
      </w:r>
    </w:p>
    <w:p w14:paraId="4524C254" w14:textId="77777777" w:rsidR="00EE7539" w:rsidRPr="0041770A" w:rsidRDefault="00EE7539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lang w:val="sk-SK"/>
        </w:rPr>
        <w:t>Pacient má užívať polovicu 10 mg filmom obalenej tablety (5 mg) denne počas 7 dní.</w:t>
      </w:r>
    </w:p>
    <w:p w14:paraId="2E3FE629" w14:textId="77777777" w:rsidR="00EE7539" w:rsidRPr="0041770A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646D7DF9" w14:textId="7187DDDA" w:rsidR="00EE7539" w:rsidRPr="00AA61BF" w:rsidRDefault="00EE7539" w:rsidP="00B01281">
      <w:pPr>
        <w:spacing w:after="0" w:line="240" w:lineRule="auto"/>
        <w:ind w:right="-20"/>
        <w:rPr>
          <w:rFonts w:ascii="Times New Roman" w:hAnsi="Times New Roman"/>
          <w:i/>
          <w:lang w:val="sk-SK"/>
        </w:rPr>
      </w:pPr>
      <w:r w:rsidRPr="00AA61BF">
        <w:rPr>
          <w:rFonts w:ascii="Times New Roman" w:hAnsi="Times New Roman"/>
          <w:i/>
          <w:lang w:val="sk-SK"/>
        </w:rPr>
        <w:t>Týždeň č. 2 (deň 8-14)</w:t>
      </w:r>
    </w:p>
    <w:p w14:paraId="57869372" w14:textId="77777777" w:rsidR="00EE7539" w:rsidRPr="0041770A" w:rsidRDefault="00EE7539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lang w:val="sk-SK"/>
        </w:rPr>
        <w:t>Pacient má užívať jednu 10 mg filmom obalenú tabletu (10 mg) denne počas 7 dní.</w:t>
      </w:r>
    </w:p>
    <w:p w14:paraId="60D35C05" w14:textId="77777777" w:rsidR="00EE7539" w:rsidRPr="0041770A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277E2354" w14:textId="0456DB00" w:rsidR="00EE7539" w:rsidRPr="00AA61BF" w:rsidRDefault="00EE7539" w:rsidP="00B01281">
      <w:pPr>
        <w:spacing w:after="0" w:line="240" w:lineRule="auto"/>
        <w:ind w:right="-20"/>
        <w:rPr>
          <w:rFonts w:ascii="Times New Roman" w:hAnsi="Times New Roman"/>
          <w:i/>
          <w:lang w:val="sk-SK"/>
        </w:rPr>
      </w:pPr>
      <w:r w:rsidRPr="00AA61BF">
        <w:rPr>
          <w:rFonts w:ascii="Times New Roman" w:hAnsi="Times New Roman"/>
          <w:i/>
          <w:lang w:val="sk-SK"/>
        </w:rPr>
        <w:t>Týždeň č. 3 (deň 15-21)</w:t>
      </w:r>
    </w:p>
    <w:p w14:paraId="2D1E1C7E" w14:textId="77777777" w:rsidR="00EE7539" w:rsidRPr="0041770A" w:rsidRDefault="00EE7539" w:rsidP="00B01281">
      <w:pPr>
        <w:spacing w:after="0" w:line="240" w:lineRule="auto"/>
        <w:ind w:right="1241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lang w:val="sk-SK"/>
        </w:rPr>
        <w:t>Pacient má užívať jednu a pol 10 mg filmom obalenej tablety (15 mg) denne počas 7 dní.</w:t>
      </w:r>
    </w:p>
    <w:p w14:paraId="7737D27B" w14:textId="77777777" w:rsidR="00EE7539" w:rsidRPr="0041770A" w:rsidRDefault="00EE7539" w:rsidP="00B01281">
      <w:pPr>
        <w:spacing w:after="0" w:line="240" w:lineRule="auto"/>
        <w:ind w:right="1241"/>
        <w:rPr>
          <w:rFonts w:ascii="Times New Roman" w:hAnsi="Times New Roman"/>
          <w:lang w:val="sk-SK"/>
        </w:rPr>
      </w:pPr>
    </w:p>
    <w:p w14:paraId="3392A82E" w14:textId="131C4A92" w:rsidR="00EE7539" w:rsidRPr="00AA61BF" w:rsidRDefault="00EE7539" w:rsidP="00B01281">
      <w:pPr>
        <w:spacing w:after="0" w:line="240" w:lineRule="auto"/>
        <w:ind w:right="1241"/>
        <w:rPr>
          <w:rFonts w:ascii="Times New Roman" w:hAnsi="Times New Roman"/>
          <w:i/>
          <w:lang w:val="sk-SK"/>
        </w:rPr>
      </w:pPr>
      <w:r w:rsidRPr="00AA61BF">
        <w:rPr>
          <w:rFonts w:ascii="Times New Roman" w:hAnsi="Times New Roman"/>
          <w:i/>
          <w:lang w:val="sk-SK"/>
        </w:rPr>
        <w:t>Od týždňa č. 4 ďalej</w:t>
      </w:r>
    </w:p>
    <w:p w14:paraId="1C4AAAFB" w14:textId="77777777" w:rsidR="00EE7539" w:rsidRPr="0041770A" w:rsidRDefault="00EE7539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lang w:val="sk-SK"/>
        </w:rPr>
        <w:t>Pacient má užívať dve 10 mg filmom obalené tablety (20 mg) denne.</w:t>
      </w:r>
    </w:p>
    <w:p w14:paraId="778E107C" w14:textId="77777777" w:rsidR="00EE7539" w:rsidRPr="00AA61BF" w:rsidRDefault="00EE7539" w:rsidP="00B01281">
      <w:pPr>
        <w:spacing w:after="0" w:line="240" w:lineRule="auto"/>
        <w:rPr>
          <w:rFonts w:ascii="Times New Roman" w:hAnsi="Times New Roman"/>
          <w:b/>
          <w:lang w:val="sk-SK"/>
        </w:rPr>
      </w:pPr>
    </w:p>
    <w:p w14:paraId="201B52D2" w14:textId="3F658606" w:rsidR="00EE7539" w:rsidRPr="00AA61BF" w:rsidRDefault="00EE7539" w:rsidP="00B01281">
      <w:pPr>
        <w:spacing w:after="0" w:line="240" w:lineRule="auto"/>
        <w:ind w:right="-20"/>
        <w:rPr>
          <w:rFonts w:ascii="Times New Roman" w:hAnsi="Times New Roman"/>
          <w:b/>
          <w:lang w:val="sk-SK"/>
        </w:rPr>
      </w:pPr>
      <w:r w:rsidRPr="00AA61BF">
        <w:rPr>
          <w:rFonts w:ascii="Times New Roman" w:hAnsi="Times New Roman"/>
          <w:b/>
          <w:lang w:val="sk-SK"/>
        </w:rPr>
        <w:t>Udržiavacia dávka</w:t>
      </w:r>
    </w:p>
    <w:p w14:paraId="5344F9CF" w14:textId="77777777" w:rsidR="00EE7539" w:rsidRDefault="00EE7539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lang w:val="sk-SK"/>
        </w:rPr>
        <w:t>Odporúčaná udržiavacia dávka je 20 mg denne.</w:t>
      </w:r>
    </w:p>
    <w:p w14:paraId="18306AE5" w14:textId="77777777" w:rsidR="00EE7539" w:rsidRDefault="00EE7539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14818DDD" w14:textId="77777777" w:rsidR="00EE7539" w:rsidRPr="00AA61BF" w:rsidRDefault="00EE7539" w:rsidP="00A54F30">
      <w:pPr>
        <w:suppressAutoHyphens/>
        <w:spacing w:after="0" w:line="280" w:lineRule="exact"/>
        <w:jc w:val="both"/>
        <w:rPr>
          <w:rFonts w:ascii="Times New Roman" w:hAnsi="Times New Roman"/>
          <w:u w:val="single"/>
          <w:lang w:val="sk-SK"/>
        </w:rPr>
      </w:pPr>
      <w:r w:rsidRPr="00AA61BF">
        <w:rPr>
          <w:rFonts w:ascii="Times New Roman" w:hAnsi="Times New Roman"/>
          <w:i/>
          <w:u w:val="single"/>
          <w:lang w:val="sk-SK"/>
        </w:rPr>
        <w:t>Špeciálna populácia</w:t>
      </w:r>
    </w:p>
    <w:p w14:paraId="492C1361" w14:textId="77777777" w:rsidR="00EE7539" w:rsidRPr="0041770A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3AF03DA4" w14:textId="34D37CDB" w:rsidR="00F8763C" w:rsidRDefault="00EE7539" w:rsidP="00B01281">
      <w:pPr>
        <w:spacing w:after="0" w:line="240" w:lineRule="auto"/>
        <w:ind w:right="264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Starší pacienti </w:t>
      </w:r>
    </w:p>
    <w:p w14:paraId="2D798868" w14:textId="77777777" w:rsidR="00EE7539" w:rsidRPr="0041770A" w:rsidRDefault="00EE7539" w:rsidP="00B01281">
      <w:pPr>
        <w:spacing w:after="0" w:line="240" w:lineRule="auto"/>
        <w:ind w:right="264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lang w:val="sk-SK"/>
        </w:rPr>
        <w:t>Na základe klinických štúdií je dávka odporúčaná pre pacientov nad 65 rokov 20 mg denne (dve 10 mg tablety jedenkrát denne), ako bolo popísané vyššie.</w:t>
      </w:r>
    </w:p>
    <w:p w14:paraId="2A72D0BA" w14:textId="77777777" w:rsidR="00EE7539" w:rsidRPr="0041770A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11BE4C56" w14:textId="61408626" w:rsidR="00CC0CC1" w:rsidRDefault="00EE7539" w:rsidP="00B01281">
      <w:pPr>
        <w:spacing w:after="0" w:line="240" w:lineRule="auto"/>
        <w:ind w:right="-20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>Po</w:t>
      </w:r>
      <w:r w:rsidR="007461DF">
        <w:rPr>
          <w:rFonts w:ascii="Times New Roman" w:hAnsi="Times New Roman"/>
          <w:i/>
          <w:lang w:val="sk-SK"/>
        </w:rPr>
        <w:t>rucha</w:t>
      </w:r>
      <w:r>
        <w:rPr>
          <w:rFonts w:ascii="Times New Roman" w:hAnsi="Times New Roman"/>
          <w:i/>
          <w:lang w:val="sk-SK"/>
        </w:rPr>
        <w:t xml:space="preserve"> funkcie obličiek</w:t>
      </w:r>
    </w:p>
    <w:p w14:paraId="5F7FD70D" w14:textId="19AAEAFE" w:rsidR="00EE7539" w:rsidRPr="0041770A" w:rsidRDefault="00EE7539" w:rsidP="00AA61BF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lang w:val="sk-SK"/>
        </w:rPr>
        <w:t>U pacientov s miern</w:t>
      </w:r>
      <w:r w:rsidR="007461DF">
        <w:rPr>
          <w:rFonts w:ascii="Times New Roman" w:hAnsi="Times New Roman"/>
          <w:lang w:val="sk-SK"/>
        </w:rPr>
        <w:t>ou</w:t>
      </w:r>
      <w:r w:rsidRPr="0041770A">
        <w:rPr>
          <w:rFonts w:ascii="Times New Roman" w:hAnsi="Times New Roman"/>
          <w:lang w:val="sk-SK"/>
        </w:rPr>
        <w:t xml:space="preserve"> po</w:t>
      </w:r>
      <w:r w:rsidR="007461DF">
        <w:rPr>
          <w:rFonts w:ascii="Times New Roman" w:hAnsi="Times New Roman"/>
          <w:lang w:val="sk-SK"/>
        </w:rPr>
        <w:t>ruchou</w:t>
      </w:r>
      <w:r w:rsidRPr="0041770A">
        <w:rPr>
          <w:rFonts w:ascii="Times New Roman" w:hAnsi="Times New Roman"/>
          <w:lang w:val="sk-SK"/>
        </w:rPr>
        <w:t xml:space="preserve"> funkci</w:t>
      </w:r>
      <w:r w:rsidR="007461DF">
        <w:rPr>
          <w:rFonts w:ascii="Times New Roman" w:hAnsi="Times New Roman"/>
          <w:lang w:val="sk-SK"/>
        </w:rPr>
        <w:t>e</w:t>
      </w:r>
      <w:r w:rsidRPr="0041770A">
        <w:rPr>
          <w:rFonts w:ascii="Times New Roman" w:hAnsi="Times New Roman"/>
          <w:lang w:val="sk-SK"/>
        </w:rPr>
        <w:t xml:space="preserve"> obličiek (klírens kreatinínu 50</w:t>
      </w:r>
      <w:r w:rsidR="00CC0CC1">
        <w:rPr>
          <w:rFonts w:ascii="Times New Roman" w:hAnsi="Times New Roman"/>
          <w:lang w:val="sk-SK"/>
        </w:rPr>
        <w:t xml:space="preserve"> </w:t>
      </w:r>
      <w:r w:rsidRPr="0041770A">
        <w:rPr>
          <w:rFonts w:ascii="Times New Roman" w:hAnsi="Times New Roman"/>
          <w:lang w:val="sk-SK"/>
        </w:rPr>
        <w:t>-</w:t>
      </w:r>
      <w:r w:rsidR="00CC0CC1">
        <w:rPr>
          <w:rFonts w:ascii="Times New Roman" w:hAnsi="Times New Roman"/>
          <w:lang w:val="sk-SK"/>
        </w:rPr>
        <w:t xml:space="preserve"> </w:t>
      </w:r>
      <w:r w:rsidRPr="0041770A">
        <w:rPr>
          <w:rFonts w:ascii="Times New Roman" w:hAnsi="Times New Roman"/>
          <w:lang w:val="sk-SK"/>
        </w:rPr>
        <w:t xml:space="preserve">80 ml/min) sa nevyžaduje úprava dávky. U pacientov so stredne </w:t>
      </w:r>
      <w:r w:rsidR="007461DF">
        <w:rPr>
          <w:rFonts w:ascii="Times New Roman" w:hAnsi="Times New Roman"/>
          <w:lang w:val="sk-SK"/>
        </w:rPr>
        <w:t>závažným</w:t>
      </w:r>
      <w:r w:rsidRPr="0041770A">
        <w:rPr>
          <w:rFonts w:ascii="Times New Roman" w:hAnsi="Times New Roman"/>
          <w:lang w:val="sk-SK"/>
        </w:rPr>
        <w:t xml:space="preserve"> obličkovým poškodením (klírens kreatinínu 30</w:t>
      </w:r>
      <w:r w:rsidR="00CC0CC1">
        <w:rPr>
          <w:rFonts w:ascii="Times New Roman" w:hAnsi="Times New Roman"/>
          <w:lang w:val="sk-SK"/>
        </w:rPr>
        <w:t xml:space="preserve"> </w:t>
      </w:r>
      <w:r w:rsidRPr="0041770A">
        <w:rPr>
          <w:rFonts w:ascii="Times New Roman" w:hAnsi="Times New Roman"/>
          <w:lang w:val="sk-SK"/>
        </w:rPr>
        <w:t>-</w:t>
      </w:r>
      <w:r w:rsidR="00CC0CC1">
        <w:rPr>
          <w:rFonts w:ascii="Times New Roman" w:hAnsi="Times New Roman"/>
          <w:lang w:val="sk-SK"/>
        </w:rPr>
        <w:t xml:space="preserve"> </w:t>
      </w:r>
      <w:r w:rsidRPr="0041770A">
        <w:rPr>
          <w:rFonts w:ascii="Times New Roman" w:hAnsi="Times New Roman"/>
          <w:lang w:val="sk-SK"/>
        </w:rPr>
        <w:t xml:space="preserve">49 ml/min) má byť denná dávka 10 mg denne. Ak dávka je dobre tolerovaná </w:t>
      </w:r>
      <w:r w:rsidR="002E52E3">
        <w:rPr>
          <w:rFonts w:ascii="Times New Roman" w:hAnsi="Times New Roman"/>
          <w:lang w:val="sk-SK"/>
        </w:rPr>
        <w:t xml:space="preserve">aj po </w:t>
      </w:r>
      <w:r w:rsidRPr="0041770A">
        <w:rPr>
          <w:rFonts w:ascii="Times New Roman" w:hAnsi="Times New Roman"/>
          <w:lang w:val="sk-SK"/>
        </w:rPr>
        <w:t>minimálne 7 d</w:t>
      </w:r>
      <w:r w:rsidR="00617CE0">
        <w:rPr>
          <w:rFonts w:ascii="Times New Roman" w:hAnsi="Times New Roman"/>
          <w:lang w:val="sk-SK"/>
        </w:rPr>
        <w:t>ňoch</w:t>
      </w:r>
      <w:r w:rsidRPr="0041770A">
        <w:rPr>
          <w:rFonts w:ascii="Times New Roman" w:hAnsi="Times New Roman"/>
          <w:lang w:val="sk-SK"/>
        </w:rPr>
        <w:t xml:space="preserve"> liečby, môže byť zvýšená až do 20 mg/deň podľa štandardnej titračnej schémy.</w:t>
      </w:r>
      <w:r w:rsidR="002E52E3">
        <w:rPr>
          <w:rFonts w:ascii="Times New Roman" w:hAnsi="Times New Roman"/>
          <w:lang w:val="sk-SK"/>
        </w:rPr>
        <w:t xml:space="preserve"> </w:t>
      </w:r>
      <w:r w:rsidRPr="0041770A">
        <w:rPr>
          <w:rFonts w:ascii="Times New Roman" w:hAnsi="Times New Roman"/>
          <w:lang w:val="sk-SK"/>
        </w:rPr>
        <w:t>U pacientov s</w:t>
      </w:r>
      <w:r w:rsidR="007461DF">
        <w:rPr>
          <w:rFonts w:ascii="Times New Roman" w:hAnsi="Times New Roman"/>
          <w:lang w:val="sk-SK"/>
        </w:rPr>
        <w:t>o závažnou poruchou</w:t>
      </w:r>
      <w:r w:rsidRPr="0041770A">
        <w:rPr>
          <w:rFonts w:ascii="Times New Roman" w:hAnsi="Times New Roman"/>
          <w:lang w:val="sk-SK"/>
        </w:rPr>
        <w:t xml:space="preserve"> funkci</w:t>
      </w:r>
      <w:r w:rsidR="007461DF">
        <w:rPr>
          <w:rFonts w:ascii="Times New Roman" w:hAnsi="Times New Roman"/>
          <w:lang w:val="sk-SK"/>
        </w:rPr>
        <w:t>e</w:t>
      </w:r>
      <w:r w:rsidRPr="0041770A">
        <w:rPr>
          <w:rFonts w:ascii="Times New Roman" w:hAnsi="Times New Roman"/>
          <w:lang w:val="sk-SK"/>
        </w:rPr>
        <w:t xml:space="preserve"> obličiek (klírens kreatinínu 5</w:t>
      </w:r>
      <w:r w:rsidR="00CC0CC1">
        <w:rPr>
          <w:rFonts w:ascii="Times New Roman" w:hAnsi="Times New Roman"/>
          <w:lang w:val="sk-SK"/>
        </w:rPr>
        <w:t xml:space="preserve"> </w:t>
      </w:r>
      <w:r w:rsidRPr="0041770A">
        <w:rPr>
          <w:rFonts w:ascii="Times New Roman" w:hAnsi="Times New Roman"/>
          <w:lang w:val="sk-SK"/>
        </w:rPr>
        <w:t>-</w:t>
      </w:r>
      <w:r w:rsidR="00CC0CC1">
        <w:rPr>
          <w:rFonts w:ascii="Times New Roman" w:hAnsi="Times New Roman"/>
          <w:lang w:val="sk-SK"/>
        </w:rPr>
        <w:t xml:space="preserve"> </w:t>
      </w:r>
      <w:r w:rsidRPr="0041770A">
        <w:rPr>
          <w:rFonts w:ascii="Times New Roman" w:hAnsi="Times New Roman"/>
          <w:lang w:val="sk-SK"/>
        </w:rPr>
        <w:t>29 ml/min) má byť denná dávka 10 mg denne.</w:t>
      </w:r>
    </w:p>
    <w:p w14:paraId="4669EA8F" w14:textId="77777777" w:rsidR="00EE7539" w:rsidRPr="0041770A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68584BCF" w14:textId="73C4CE4C" w:rsidR="00CC0CC1" w:rsidRDefault="00EE7539" w:rsidP="00C547FB">
      <w:pPr>
        <w:spacing w:after="0" w:line="240" w:lineRule="auto"/>
        <w:ind w:right="-20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>Po</w:t>
      </w:r>
      <w:r w:rsidR="007461DF">
        <w:rPr>
          <w:rFonts w:ascii="Times New Roman" w:hAnsi="Times New Roman"/>
          <w:i/>
          <w:lang w:val="sk-SK"/>
        </w:rPr>
        <w:t>rucha</w:t>
      </w:r>
      <w:r>
        <w:rPr>
          <w:rFonts w:ascii="Times New Roman" w:hAnsi="Times New Roman"/>
          <w:i/>
          <w:lang w:val="sk-SK"/>
        </w:rPr>
        <w:t xml:space="preserve"> funkcie pečene</w:t>
      </w:r>
    </w:p>
    <w:p w14:paraId="1E613891" w14:textId="077CB84D" w:rsidR="00EE7539" w:rsidRPr="005713B4" w:rsidRDefault="00EE7539" w:rsidP="00C547FB">
      <w:pPr>
        <w:spacing w:after="0" w:line="240" w:lineRule="auto"/>
        <w:ind w:right="-20"/>
        <w:rPr>
          <w:rFonts w:ascii="Times New Roman" w:hAnsi="Times New Roman"/>
          <w:lang w:val="pt-BR"/>
        </w:rPr>
      </w:pPr>
      <w:r w:rsidRPr="0041770A">
        <w:rPr>
          <w:rFonts w:ascii="Times New Roman" w:hAnsi="Times New Roman"/>
          <w:lang w:val="sk-SK"/>
        </w:rPr>
        <w:t xml:space="preserve">U pacientov s mierne až stredne </w:t>
      </w:r>
      <w:r w:rsidR="00421A73">
        <w:rPr>
          <w:rFonts w:ascii="Times New Roman" w:hAnsi="Times New Roman"/>
          <w:lang w:val="sk-SK"/>
        </w:rPr>
        <w:t>závažnou</w:t>
      </w:r>
      <w:r w:rsidRPr="0041770A">
        <w:rPr>
          <w:rFonts w:ascii="Times New Roman" w:hAnsi="Times New Roman"/>
          <w:lang w:val="sk-SK"/>
        </w:rPr>
        <w:t xml:space="preserve"> po</w:t>
      </w:r>
      <w:r w:rsidR="00421A73">
        <w:rPr>
          <w:rFonts w:ascii="Times New Roman" w:hAnsi="Times New Roman"/>
          <w:lang w:val="sk-SK"/>
        </w:rPr>
        <w:t>ruchou</w:t>
      </w:r>
      <w:r w:rsidRPr="0041770A">
        <w:rPr>
          <w:rFonts w:ascii="Times New Roman" w:hAnsi="Times New Roman"/>
          <w:lang w:val="sk-SK"/>
        </w:rPr>
        <w:t xml:space="preserve"> funkci</w:t>
      </w:r>
      <w:r w:rsidR="00421A73">
        <w:rPr>
          <w:rFonts w:ascii="Times New Roman" w:hAnsi="Times New Roman"/>
          <w:lang w:val="sk-SK"/>
        </w:rPr>
        <w:t>e</w:t>
      </w:r>
      <w:r w:rsidRPr="0041770A">
        <w:rPr>
          <w:rFonts w:ascii="Times New Roman" w:hAnsi="Times New Roman"/>
          <w:lang w:val="sk-SK"/>
        </w:rPr>
        <w:t xml:space="preserve"> pečene (Child-Pugh</w:t>
      </w:r>
      <w:r w:rsidRPr="005713B4">
        <w:rPr>
          <w:rFonts w:ascii="Times New Roman" w:hAnsi="Times New Roman"/>
          <w:lang w:val="sk-SK"/>
        </w:rPr>
        <w:t xml:space="preserve"> A a Child-Pugh B) nie je potrebná úprava dávky. U pacientov s</w:t>
      </w:r>
      <w:r w:rsidR="00421A73">
        <w:rPr>
          <w:rFonts w:ascii="Times New Roman" w:hAnsi="Times New Roman"/>
          <w:lang w:val="sk-SK"/>
        </w:rPr>
        <w:t>o</w:t>
      </w:r>
      <w:r w:rsidRPr="005713B4">
        <w:rPr>
          <w:rFonts w:ascii="Times New Roman" w:hAnsi="Times New Roman"/>
          <w:lang w:val="sk-SK"/>
        </w:rPr>
        <w:t xml:space="preserve"> </w:t>
      </w:r>
      <w:r w:rsidR="00421A73">
        <w:rPr>
          <w:rFonts w:ascii="Times New Roman" w:hAnsi="Times New Roman"/>
          <w:lang w:val="sk-SK"/>
        </w:rPr>
        <w:t>z</w:t>
      </w:r>
      <w:r w:rsidRPr="005713B4">
        <w:rPr>
          <w:rFonts w:ascii="Times New Roman" w:hAnsi="Times New Roman"/>
          <w:lang w:val="sk-SK"/>
        </w:rPr>
        <w:t>á</w:t>
      </w:r>
      <w:r w:rsidR="00421A73">
        <w:rPr>
          <w:rFonts w:ascii="Times New Roman" w:hAnsi="Times New Roman"/>
          <w:lang w:val="sk-SK"/>
        </w:rPr>
        <w:t>va</w:t>
      </w:r>
      <w:r w:rsidRPr="005713B4">
        <w:rPr>
          <w:rFonts w:ascii="Times New Roman" w:hAnsi="Times New Roman"/>
          <w:lang w:val="sk-SK"/>
        </w:rPr>
        <w:t>žn</w:t>
      </w:r>
      <w:r w:rsidR="00421A73">
        <w:rPr>
          <w:rFonts w:ascii="Times New Roman" w:hAnsi="Times New Roman"/>
          <w:lang w:val="sk-SK"/>
        </w:rPr>
        <w:t>ou</w:t>
      </w:r>
      <w:r w:rsidRPr="005713B4">
        <w:rPr>
          <w:rFonts w:ascii="Times New Roman" w:hAnsi="Times New Roman"/>
          <w:lang w:val="sk-SK"/>
        </w:rPr>
        <w:t xml:space="preserve"> p</w:t>
      </w:r>
      <w:r w:rsidR="00421A73">
        <w:rPr>
          <w:rFonts w:ascii="Times New Roman" w:hAnsi="Times New Roman"/>
          <w:lang w:val="sk-SK"/>
        </w:rPr>
        <w:t>oruchou</w:t>
      </w:r>
      <w:r w:rsidRPr="005713B4">
        <w:rPr>
          <w:rFonts w:ascii="Times New Roman" w:hAnsi="Times New Roman"/>
          <w:lang w:val="sk-SK"/>
        </w:rPr>
        <w:t xml:space="preserve"> funkci</w:t>
      </w:r>
      <w:r w:rsidR="00421A73">
        <w:rPr>
          <w:rFonts w:ascii="Times New Roman" w:hAnsi="Times New Roman"/>
          <w:lang w:val="sk-SK"/>
        </w:rPr>
        <w:t>e</w:t>
      </w:r>
      <w:r w:rsidRPr="005713B4">
        <w:rPr>
          <w:rFonts w:ascii="Times New Roman" w:hAnsi="Times New Roman"/>
          <w:lang w:val="sk-SK"/>
        </w:rPr>
        <w:t xml:space="preserve"> pečene nie sú dostupné údaje o užívaní memantínu. </w:t>
      </w:r>
      <w:r w:rsidRPr="005713B4">
        <w:rPr>
          <w:rFonts w:ascii="Times New Roman" w:hAnsi="Times New Roman"/>
          <w:lang w:val="pt-BR"/>
        </w:rPr>
        <w:t xml:space="preserve">Podanie </w:t>
      </w:r>
      <w:r>
        <w:rPr>
          <w:rFonts w:ascii="Times New Roman" w:hAnsi="Times New Roman"/>
          <w:lang w:val="sk-SK"/>
        </w:rPr>
        <w:t>Memolanu</w:t>
      </w:r>
      <w:r w:rsidRPr="005713B4">
        <w:rPr>
          <w:rFonts w:ascii="Times New Roman" w:hAnsi="Times New Roman"/>
          <w:lang w:val="pt-BR"/>
        </w:rPr>
        <w:t xml:space="preserve"> sa neodporúča pacientom s</w:t>
      </w:r>
      <w:r w:rsidR="00421A73">
        <w:rPr>
          <w:rFonts w:ascii="Times New Roman" w:hAnsi="Times New Roman"/>
          <w:lang w:val="pt-BR"/>
        </w:rPr>
        <w:t>o</w:t>
      </w:r>
      <w:r w:rsidRPr="005713B4">
        <w:rPr>
          <w:rFonts w:ascii="Times New Roman" w:hAnsi="Times New Roman"/>
          <w:lang w:val="pt-BR"/>
        </w:rPr>
        <w:t xml:space="preserve"> </w:t>
      </w:r>
      <w:r w:rsidR="00421A73">
        <w:rPr>
          <w:rFonts w:ascii="Times New Roman" w:hAnsi="Times New Roman"/>
          <w:lang w:val="pt-BR"/>
        </w:rPr>
        <w:t>závažnou</w:t>
      </w:r>
      <w:r w:rsidRPr="005713B4">
        <w:rPr>
          <w:rFonts w:ascii="Times New Roman" w:hAnsi="Times New Roman"/>
          <w:lang w:val="pt-BR"/>
        </w:rPr>
        <w:t xml:space="preserve"> po</w:t>
      </w:r>
      <w:r w:rsidR="00421A73">
        <w:rPr>
          <w:rFonts w:ascii="Times New Roman" w:hAnsi="Times New Roman"/>
          <w:lang w:val="pt-BR"/>
        </w:rPr>
        <w:t>ruchou</w:t>
      </w:r>
      <w:r w:rsidRPr="005713B4">
        <w:rPr>
          <w:rFonts w:ascii="Times New Roman" w:hAnsi="Times New Roman"/>
          <w:lang w:val="pt-BR"/>
        </w:rPr>
        <w:t xml:space="preserve"> funkci</w:t>
      </w:r>
      <w:r w:rsidR="00421A73">
        <w:rPr>
          <w:rFonts w:ascii="Times New Roman" w:hAnsi="Times New Roman"/>
          <w:lang w:val="pt-BR"/>
        </w:rPr>
        <w:t>e</w:t>
      </w:r>
      <w:r w:rsidRPr="005713B4">
        <w:rPr>
          <w:rFonts w:ascii="Times New Roman" w:hAnsi="Times New Roman"/>
          <w:lang w:val="pt-BR"/>
        </w:rPr>
        <w:t xml:space="preserve"> pečene.</w:t>
      </w:r>
    </w:p>
    <w:p w14:paraId="12C3C987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7C16F204" w14:textId="56B7093C" w:rsidR="00CC0CC1" w:rsidRDefault="00EE7539" w:rsidP="006B2008">
      <w:pPr>
        <w:spacing w:after="0" w:line="240" w:lineRule="auto"/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>Pediatrická populácia</w:t>
      </w:r>
    </w:p>
    <w:p w14:paraId="174F8994" w14:textId="1F61DEFE" w:rsidR="00EE7539" w:rsidRPr="005713B4" w:rsidRDefault="00291B97" w:rsidP="006B2008">
      <w:pPr>
        <w:spacing w:after="0" w:line="24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K dispozícii nie sú žiadne</w:t>
      </w:r>
      <w:r w:rsidR="00CC0CC1">
        <w:rPr>
          <w:rFonts w:ascii="Times New Roman" w:hAnsi="Times New Roman"/>
          <w:lang w:val="pt-BR"/>
        </w:rPr>
        <w:t xml:space="preserve"> údaje.</w:t>
      </w:r>
    </w:p>
    <w:p w14:paraId="615DABA2" w14:textId="77777777" w:rsidR="00EE7539" w:rsidRPr="005713B4" w:rsidRDefault="00EE7539" w:rsidP="006B2008">
      <w:pPr>
        <w:spacing w:after="0" w:line="240" w:lineRule="auto"/>
        <w:rPr>
          <w:rFonts w:ascii="Times New Roman" w:hAnsi="Times New Roman"/>
          <w:lang w:val="pt-BR"/>
        </w:rPr>
      </w:pPr>
    </w:p>
    <w:p w14:paraId="618E60E2" w14:textId="77777777" w:rsidR="00EE7539" w:rsidRPr="006B2008" w:rsidRDefault="00EE7539" w:rsidP="00D628C8">
      <w:pPr>
        <w:spacing w:after="0" w:line="240" w:lineRule="auto"/>
        <w:rPr>
          <w:rFonts w:ascii="Times New Roman" w:hAnsi="Times New Roman"/>
          <w:u w:val="single"/>
          <w:lang w:val="sk-SK"/>
        </w:rPr>
      </w:pPr>
      <w:r w:rsidRPr="006B2008">
        <w:rPr>
          <w:rFonts w:ascii="Times New Roman" w:hAnsi="Times New Roman"/>
          <w:u w:val="single"/>
          <w:lang w:val="sk-SK"/>
        </w:rPr>
        <w:t>Spôsob podávania</w:t>
      </w:r>
    </w:p>
    <w:p w14:paraId="2E27A1AF" w14:textId="77777777" w:rsidR="00EE7539" w:rsidRPr="0041770A" w:rsidRDefault="00EE7539" w:rsidP="00D628C8">
      <w:pPr>
        <w:spacing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Memolan</w:t>
      </w:r>
      <w:r w:rsidRPr="006B2008">
        <w:rPr>
          <w:rFonts w:ascii="Times New Roman" w:hAnsi="Times New Roman"/>
          <w:lang w:val="sk-SK"/>
        </w:rPr>
        <w:t xml:space="preserve"> sa má podávať jedenkrát denne a má sa užívať vždy v rovnakú dennú dobu. Filmom obalené tablety sa môžu užívať s jedlom alebo bez jedla.</w:t>
      </w:r>
    </w:p>
    <w:p w14:paraId="41727969" w14:textId="77777777" w:rsidR="00EE7539" w:rsidRPr="0041770A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5FA88BE2" w14:textId="77777777" w:rsidR="00EE7539" w:rsidRPr="0041770A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b/>
          <w:bCs/>
          <w:lang w:val="sk-SK"/>
        </w:rPr>
        <w:t>4.3</w:t>
      </w:r>
      <w:r w:rsidRPr="0041770A">
        <w:rPr>
          <w:rFonts w:ascii="Times New Roman" w:hAnsi="Times New Roman"/>
          <w:b/>
          <w:bCs/>
          <w:lang w:val="sk-SK"/>
        </w:rPr>
        <w:tab/>
        <w:t>Kontraindikácie</w:t>
      </w:r>
    </w:p>
    <w:p w14:paraId="600B35AA" w14:textId="77777777" w:rsidR="00EE7539" w:rsidRPr="0041770A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2916AF6C" w14:textId="77777777" w:rsidR="00EE7539" w:rsidRPr="0041770A" w:rsidRDefault="00EE7539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lang w:val="sk-SK"/>
        </w:rPr>
        <w:t>Precitlivenosť na liečivo alebo na ktorúkoľvek z pomocných látok</w:t>
      </w:r>
      <w:r w:rsidR="00CC0CC1">
        <w:rPr>
          <w:rFonts w:ascii="Times New Roman" w:hAnsi="Times New Roman"/>
          <w:lang w:val="sk-SK"/>
        </w:rPr>
        <w:t xml:space="preserve"> uvedených v časti 6.1</w:t>
      </w:r>
      <w:r w:rsidRPr="0041770A">
        <w:rPr>
          <w:rFonts w:ascii="Times New Roman" w:hAnsi="Times New Roman"/>
          <w:lang w:val="sk-SK"/>
        </w:rPr>
        <w:t>.</w:t>
      </w:r>
    </w:p>
    <w:p w14:paraId="665494F4" w14:textId="77777777" w:rsidR="00EE7539" w:rsidRPr="0041770A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55E342DC" w14:textId="77777777" w:rsidR="00EE7539" w:rsidRPr="005713B4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b/>
          <w:bCs/>
          <w:lang w:val="pt-BR"/>
        </w:rPr>
        <w:t>4.4</w:t>
      </w:r>
      <w:r w:rsidRPr="0050247A">
        <w:rPr>
          <w:rFonts w:ascii="Times New Roman" w:hAnsi="Times New Roman"/>
          <w:b/>
          <w:bCs/>
          <w:lang w:val="pt-BR"/>
        </w:rPr>
        <w:tab/>
      </w:r>
      <w:r w:rsidRPr="005713B4">
        <w:rPr>
          <w:rFonts w:ascii="Times New Roman" w:hAnsi="Times New Roman"/>
          <w:b/>
          <w:bCs/>
          <w:lang w:val="pt-BR"/>
        </w:rPr>
        <w:t>Osobitné upozornenia a opatrenia pri používaní</w:t>
      </w:r>
    </w:p>
    <w:p w14:paraId="0A88D32F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3E1A5CB5" w14:textId="77777777" w:rsidR="00EE7539" w:rsidRPr="005713B4" w:rsidRDefault="00EE7539" w:rsidP="00B01281">
      <w:pPr>
        <w:spacing w:after="0" w:line="240" w:lineRule="auto"/>
        <w:ind w:right="819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pt-BR"/>
        </w:rPr>
        <w:t>U pacientov s epilepsiou, so záchvatmi kŕčov v minulosti alebo s predispozičnými faktormi na epilepsiu sa odporúča opatrnosť.</w:t>
      </w:r>
    </w:p>
    <w:p w14:paraId="14637328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4645927C" w14:textId="46A8AAB8" w:rsidR="00EE7539" w:rsidRPr="005713B4" w:rsidRDefault="00EE7539" w:rsidP="00B01281">
      <w:pPr>
        <w:spacing w:after="0" w:line="240" w:lineRule="auto"/>
        <w:ind w:right="59" w:firstLine="1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pt-BR"/>
        </w:rPr>
        <w:t>Sú</w:t>
      </w:r>
      <w:r w:rsidR="00421A73">
        <w:rPr>
          <w:rFonts w:ascii="Times New Roman" w:hAnsi="Times New Roman"/>
          <w:lang w:val="pt-BR"/>
        </w:rPr>
        <w:t>bež</w:t>
      </w:r>
      <w:r w:rsidRPr="005713B4">
        <w:rPr>
          <w:rFonts w:ascii="Times New Roman" w:hAnsi="Times New Roman"/>
          <w:lang w:val="pt-BR"/>
        </w:rPr>
        <w:t>nému užívaniu N-metyl-D-aspartát (NMDA)-antagonistov ako je amantadín, ketamín alebo dextrometorfán s memantínom sa má vyhýbať. Tieto liečivá účinkujú na ten istý receptorový systém ako memantín, preto pri ich sú</w:t>
      </w:r>
      <w:r w:rsidR="00421A73">
        <w:rPr>
          <w:rFonts w:ascii="Times New Roman" w:hAnsi="Times New Roman"/>
          <w:lang w:val="pt-BR"/>
        </w:rPr>
        <w:t>bežnom</w:t>
      </w:r>
      <w:r w:rsidRPr="005713B4">
        <w:rPr>
          <w:rFonts w:ascii="Times New Roman" w:hAnsi="Times New Roman"/>
          <w:lang w:val="pt-BR"/>
        </w:rPr>
        <w:t xml:space="preserve"> užívaní by mohli byť častejšie alebo výraznejšie nežiaduce reakcie (</w:t>
      </w:r>
      <w:r w:rsidR="00421A73">
        <w:rPr>
          <w:rFonts w:ascii="Times New Roman" w:hAnsi="Times New Roman"/>
          <w:lang w:val="pt-BR"/>
        </w:rPr>
        <w:t>prevažne</w:t>
      </w:r>
      <w:r w:rsidRPr="005713B4">
        <w:rPr>
          <w:rFonts w:ascii="Times New Roman" w:hAnsi="Times New Roman"/>
          <w:lang w:val="pt-BR"/>
        </w:rPr>
        <w:t xml:space="preserve"> týkajúce sa centrálneho nervového systému (CNS)) (pozri tiež časť 4.5).</w:t>
      </w:r>
    </w:p>
    <w:p w14:paraId="7611676D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14B9AC46" w14:textId="4FAA374D" w:rsidR="00EE7539" w:rsidRPr="005713B4" w:rsidRDefault="00EE7539" w:rsidP="00B01281">
      <w:pPr>
        <w:spacing w:after="0" w:line="240" w:lineRule="auto"/>
        <w:ind w:right="190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pt-BR"/>
        </w:rPr>
        <w:t xml:space="preserve">Niektoré faktory, ktoré môžu zvýšiť pH moču (pozri časť 5.2 „Eliminácia“), vyžadujú starostlivé sledovanie pacienta. Tieto faktory zahŕňajú drastické zmeny diéty, napr. z mäsitej na vegetariánsku, alebo masívny príjem alkalizujúcich žalúdočných pufrov. Močové pH sa môže zvýšiť tiež pri stavoch renálnej tubulárnej acidózy (RTA) alebo pri </w:t>
      </w:r>
      <w:r w:rsidR="00421A73">
        <w:rPr>
          <w:rFonts w:ascii="Times New Roman" w:hAnsi="Times New Roman"/>
          <w:lang w:val="pt-BR"/>
        </w:rPr>
        <w:t>závažných</w:t>
      </w:r>
      <w:r w:rsidRPr="005713B4">
        <w:rPr>
          <w:rFonts w:ascii="Times New Roman" w:hAnsi="Times New Roman"/>
          <w:lang w:val="pt-BR"/>
        </w:rPr>
        <w:t xml:space="preserve"> infekciách močového traktu bakteriálnymi kmeňmi </w:t>
      </w:r>
      <w:r w:rsidRPr="005713B4">
        <w:rPr>
          <w:rFonts w:ascii="Times New Roman" w:hAnsi="Times New Roman"/>
          <w:i/>
          <w:lang w:val="pt-BR"/>
        </w:rPr>
        <w:t>Proteus.</w:t>
      </w:r>
    </w:p>
    <w:p w14:paraId="3212ADA8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119CD0AA" w14:textId="5018525F" w:rsidR="00EE7539" w:rsidRPr="005713B4" w:rsidRDefault="00EE7539" w:rsidP="00B01281">
      <w:pPr>
        <w:spacing w:after="0" w:line="240" w:lineRule="auto"/>
        <w:ind w:right="355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pt-BR"/>
        </w:rPr>
        <w:t xml:space="preserve">Vo väčšine klinických </w:t>
      </w:r>
      <w:r w:rsidR="00421A73">
        <w:rPr>
          <w:rFonts w:ascii="Times New Roman" w:hAnsi="Times New Roman"/>
          <w:lang w:val="pt-BR"/>
        </w:rPr>
        <w:t>skúšaní</w:t>
      </w:r>
      <w:r w:rsidRPr="005713B4">
        <w:rPr>
          <w:rFonts w:ascii="Times New Roman" w:hAnsi="Times New Roman"/>
          <w:lang w:val="pt-BR"/>
        </w:rPr>
        <w:t xml:space="preserve"> boli vylúčení pacienti s nedávnym infarktom myokardu, dekompenzovaným kongestívnym srdcovým zlyhaním (NYHA III-IV) alebo nekontrolovanou hypertenziou. Dôsledkom toho je fakt, že k dispozícii je len obmedzené množstvo údajov a pacienti s týmito ochoreniami majú byť starostlivo sledovaní.</w:t>
      </w:r>
    </w:p>
    <w:p w14:paraId="47FDB9F0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6BD2FE28" w14:textId="77777777" w:rsidR="00EE7539" w:rsidRPr="006B2008" w:rsidRDefault="00EE7539" w:rsidP="00B01281">
      <w:pPr>
        <w:spacing w:after="0" w:line="240" w:lineRule="auto"/>
        <w:rPr>
          <w:rFonts w:ascii="Times New Roman" w:hAnsi="Times New Roman"/>
          <w:u w:val="single"/>
          <w:lang w:val="sk-SK"/>
        </w:rPr>
      </w:pPr>
      <w:r w:rsidRPr="006B2008">
        <w:rPr>
          <w:rFonts w:ascii="Times New Roman" w:hAnsi="Times New Roman"/>
          <w:u w:val="single"/>
          <w:lang w:val="sk-SK"/>
        </w:rPr>
        <w:t>Upozornenie</w:t>
      </w:r>
    </w:p>
    <w:p w14:paraId="186D39CC" w14:textId="3B78FFAB" w:rsidR="00EE7539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  <w:r w:rsidRPr="006B2008">
        <w:rPr>
          <w:rFonts w:ascii="Times New Roman" w:hAnsi="Times New Roman"/>
          <w:lang w:val="sk-SK"/>
        </w:rPr>
        <w:t xml:space="preserve">Tento </w:t>
      </w:r>
      <w:r w:rsidR="00CF3975">
        <w:rPr>
          <w:rFonts w:ascii="Times New Roman" w:hAnsi="Times New Roman"/>
          <w:lang w:val="sk-SK"/>
        </w:rPr>
        <w:t>liek</w:t>
      </w:r>
      <w:r w:rsidR="00CF3975" w:rsidRPr="006B2008">
        <w:rPr>
          <w:rFonts w:ascii="Times New Roman" w:hAnsi="Times New Roman"/>
          <w:lang w:val="sk-SK"/>
        </w:rPr>
        <w:t xml:space="preserve"> </w:t>
      </w:r>
      <w:r w:rsidRPr="006B2008">
        <w:rPr>
          <w:rFonts w:ascii="Times New Roman" w:hAnsi="Times New Roman"/>
          <w:lang w:val="sk-SK"/>
        </w:rPr>
        <w:t xml:space="preserve">obsahuje laktózu. Pacienti so zriedkavými dedičnými problémami galaktózovej intolerancie, </w:t>
      </w:r>
      <w:r w:rsidR="00492B51">
        <w:rPr>
          <w:rFonts w:ascii="Times New Roman" w:hAnsi="Times New Roman"/>
          <w:lang w:val="sk-SK"/>
        </w:rPr>
        <w:t>celkovým</w:t>
      </w:r>
      <w:r w:rsidR="00492B51" w:rsidRPr="006B2008">
        <w:rPr>
          <w:rFonts w:ascii="Times New Roman" w:hAnsi="Times New Roman"/>
          <w:lang w:val="sk-SK"/>
        </w:rPr>
        <w:t xml:space="preserve"> </w:t>
      </w:r>
      <w:r w:rsidRPr="006B2008">
        <w:rPr>
          <w:rFonts w:ascii="Times New Roman" w:hAnsi="Times New Roman"/>
          <w:lang w:val="sk-SK"/>
        </w:rPr>
        <w:t>deficit</w:t>
      </w:r>
      <w:r w:rsidR="00492B51">
        <w:rPr>
          <w:rFonts w:ascii="Times New Roman" w:hAnsi="Times New Roman"/>
          <w:lang w:val="sk-SK"/>
        </w:rPr>
        <w:t>om</w:t>
      </w:r>
      <w:r w:rsidRPr="006B2008">
        <w:rPr>
          <w:rFonts w:ascii="Times New Roman" w:hAnsi="Times New Roman"/>
          <w:lang w:val="sk-SK"/>
        </w:rPr>
        <w:t xml:space="preserve"> laktázy alebo </w:t>
      </w:r>
      <w:r w:rsidR="00492B51">
        <w:rPr>
          <w:rFonts w:ascii="Times New Roman" w:hAnsi="Times New Roman"/>
          <w:lang w:val="sk-SK"/>
        </w:rPr>
        <w:t xml:space="preserve">glukózo-galaktózovou </w:t>
      </w:r>
      <w:r w:rsidRPr="006B2008">
        <w:rPr>
          <w:rFonts w:ascii="Times New Roman" w:hAnsi="Times New Roman"/>
          <w:lang w:val="sk-SK"/>
        </w:rPr>
        <w:t xml:space="preserve">malabsorpciou </w:t>
      </w:r>
      <w:r w:rsidR="00492B51" w:rsidRPr="006B2008">
        <w:rPr>
          <w:rFonts w:ascii="Times New Roman" w:hAnsi="Times New Roman"/>
          <w:lang w:val="sk-SK"/>
        </w:rPr>
        <w:t>ne</w:t>
      </w:r>
      <w:r w:rsidR="00492B51">
        <w:rPr>
          <w:rFonts w:ascii="Times New Roman" w:hAnsi="Times New Roman"/>
          <w:lang w:val="sk-SK"/>
        </w:rPr>
        <w:t>smú užívať</w:t>
      </w:r>
      <w:r w:rsidR="00492B51" w:rsidRPr="006B2008">
        <w:rPr>
          <w:rFonts w:ascii="Times New Roman" w:hAnsi="Times New Roman"/>
          <w:lang w:val="sk-SK"/>
        </w:rPr>
        <w:t xml:space="preserve"> </w:t>
      </w:r>
      <w:r w:rsidRPr="006B2008">
        <w:rPr>
          <w:rFonts w:ascii="Times New Roman" w:hAnsi="Times New Roman"/>
          <w:lang w:val="sk-SK"/>
        </w:rPr>
        <w:t>tento liek.</w:t>
      </w:r>
    </w:p>
    <w:p w14:paraId="314F04ED" w14:textId="77777777" w:rsidR="00EE7539" w:rsidRPr="009C2F83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3F7CCC51" w14:textId="77777777" w:rsidR="00EE7539" w:rsidRPr="0041770A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b/>
          <w:bCs/>
          <w:lang w:val="sk-SK"/>
        </w:rPr>
        <w:t>4.5</w:t>
      </w:r>
      <w:r w:rsidRPr="0041770A">
        <w:rPr>
          <w:rFonts w:ascii="Times New Roman" w:hAnsi="Times New Roman"/>
          <w:b/>
          <w:bCs/>
          <w:lang w:val="sk-SK"/>
        </w:rPr>
        <w:tab/>
        <w:t>Liekové a iné interakcie</w:t>
      </w:r>
    </w:p>
    <w:p w14:paraId="31B71F8F" w14:textId="77777777" w:rsidR="00EE7539" w:rsidRPr="0041770A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69155614" w14:textId="2BF5110D" w:rsidR="00EE7539" w:rsidRPr="0041770A" w:rsidRDefault="00EE7539" w:rsidP="00AA61BF">
      <w:pPr>
        <w:spacing w:after="0" w:line="240" w:lineRule="auto"/>
        <w:ind w:right="196"/>
        <w:rPr>
          <w:rFonts w:ascii="Times New Roman" w:hAnsi="Times New Roman"/>
          <w:sz w:val="20"/>
          <w:lang w:val="sk-SK"/>
        </w:rPr>
      </w:pPr>
      <w:r w:rsidRPr="0041770A">
        <w:rPr>
          <w:rFonts w:ascii="Times New Roman" w:hAnsi="Times New Roman"/>
          <w:lang w:val="sk-SK"/>
        </w:rPr>
        <w:t>V dôsledku farmakologických efektov a mechanizmu účinku memantínu sa môžu objaviť nasledovné interakcie:</w:t>
      </w:r>
    </w:p>
    <w:p w14:paraId="72942AF5" w14:textId="732F4C59" w:rsidR="00EE7539" w:rsidRPr="0041770A" w:rsidRDefault="00EE7539" w:rsidP="009C2F83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823" w:hanging="284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lang w:val="sk-SK"/>
        </w:rPr>
        <w:t>Mechanizmus účinku naznačuje, že účinky L-dopy, dopamínergických agonistov a anticholínergík môžu byť pri sú</w:t>
      </w:r>
      <w:r w:rsidR="00F43F3A">
        <w:rPr>
          <w:rFonts w:ascii="Times New Roman" w:hAnsi="Times New Roman"/>
          <w:lang w:val="sk-SK"/>
        </w:rPr>
        <w:t>bež</w:t>
      </w:r>
      <w:r w:rsidRPr="0041770A">
        <w:rPr>
          <w:rFonts w:ascii="Times New Roman" w:hAnsi="Times New Roman"/>
          <w:lang w:val="sk-SK"/>
        </w:rPr>
        <w:t>n</w:t>
      </w:r>
      <w:r w:rsidR="00F43F3A">
        <w:rPr>
          <w:rFonts w:ascii="Times New Roman" w:hAnsi="Times New Roman"/>
          <w:lang w:val="sk-SK"/>
        </w:rPr>
        <w:t>ej</w:t>
      </w:r>
      <w:r w:rsidRPr="0041770A">
        <w:rPr>
          <w:rFonts w:ascii="Times New Roman" w:hAnsi="Times New Roman"/>
          <w:lang w:val="sk-SK"/>
        </w:rPr>
        <w:t xml:space="preserve"> </w:t>
      </w:r>
      <w:r w:rsidR="00F43F3A">
        <w:rPr>
          <w:rFonts w:ascii="Times New Roman" w:hAnsi="Times New Roman"/>
          <w:lang w:val="sk-SK"/>
        </w:rPr>
        <w:t>liečbe</w:t>
      </w:r>
      <w:r w:rsidRPr="0041770A">
        <w:rPr>
          <w:rFonts w:ascii="Times New Roman" w:hAnsi="Times New Roman"/>
          <w:lang w:val="sk-SK"/>
        </w:rPr>
        <w:t xml:space="preserve"> NMDA-antagonist</w:t>
      </w:r>
      <w:r w:rsidR="00F43F3A">
        <w:rPr>
          <w:rFonts w:ascii="Times New Roman" w:hAnsi="Times New Roman"/>
          <w:lang w:val="sk-SK"/>
        </w:rPr>
        <w:t>ami</w:t>
      </w:r>
      <w:r w:rsidRPr="0041770A">
        <w:rPr>
          <w:rFonts w:ascii="Times New Roman" w:hAnsi="Times New Roman"/>
          <w:lang w:val="sk-SK"/>
        </w:rPr>
        <w:t xml:space="preserve">, ako je memantín, zosilnené. Účinky barbiturátov </w:t>
      </w:r>
      <w:r w:rsidRPr="00940A7B">
        <w:rPr>
          <w:rFonts w:ascii="Times New Roman" w:hAnsi="Times New Roman"/>
          <w:lang w:val="sk-SK"/>
        </w:rPr>
        <w:t>a</w:t>
      </w:r>
      <w:r w:rsidRPr="0041770A">
        <w:rPr>
          <w:rFonts w:ascii="Times New Roman" w:hAnsi="Times New Roman"/>
          <w:lang w:val="sk-SK"/>
        </w:rPr>
        <w:t xml:space="preserve"> neuroleptík môžu byť znížené. Sú</w:t>
      </w:r>
      <w:r w:rsidR="00AA61BF">
        <w:rPr>
          <w:rFonts w:ascii="Times New Roman" w:hAnsi="Times New Roman"/>
          <w:lang w:val="sk-SK"/>
        </w:rPr>
        <w:t>bežné</w:t>
      </w:r>
      <w:r w:rsidRPr="0041770A">
        <w:rPr>
          <w:rFonts w:ascii="Times New Roman" w:hAnsi="Times New Roman"/>
          <w:lang w:val="sk-SK"/>
        </w:rPr>
        <w:t>podávanie memantínu a myorelaxancií, dantrolénu alebo baklofénu, môže modifikovať ich účinky a vyžadovať úpravu dávok.</w:t>
      </w:r>
    </w:p>
    <w:p w14:paraId="3940F636" w14:textId="77777777" w:rsidR="00EE7539" w:rsidRPr="0041770A" w:rsidRDefault="00EE7539" w:rsidP="009C2F83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20" w:hanging="284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lang w:val="sk-SK"/>
        </w:rPr>
        <w:t xml:space="preserve">Musí sa vyhnúť súčasnému užitiu memantínu a amantadínu, a to pre riziko farmakotoxickej psychózy. Obe </w:t>
      </w:r>
      <w:r>
        <w:rPr>
          <w:rFonts w:ascii="Times New Roman" w:hAnsi="Times New Roman"/>
          <w:lang w:val="sk-SK"/>
        </w:rPr>
        <w:t xml:space="preserve">liečivá </w:t>
      </w:r>
      <w:r w:rsidRPr="0041770A">
        <w:rPr>
          <w:rFonts w:ascii="Times New Roman" w:hAnsi="Times New Roman"/>
          <w:lang w:val="sk-SK"/>
        </w:rPr>
        <w:t xml:space="preserve">sú chemicky príbuzné NMDA-antagonistom. To isté môže platiť pre ketamín a dextrometorfán (pozri tiež časť 4.4). Existuje len jedna publikovaná kazuistika </w:t>
      </w:r>
      <w:r w:rsidRPr="00940A7B">
        <w:rPr>
          <w:rFonts w:ascii="Times New Roman" w:hAnsi="Times New Roman"/>
          <w:lang w:val="sk-SK"/>
        </w:rPr>
        <w:t>možn</w:t>
      </w:r>
      <w:r>
        <w:rPr>
          <w:rFonts w:ascii="Times New Roman" w:hAnsi="Times New Roman"/>
          <w:lang w:val="sk-SK"/>
        </w:rPr>
        <w:t>ého</w:t>
      </w:r>
      <w:r w:rsidRPr="00940A7B">
        <w:rPr>
          <w:rFonts w:ascii="Times New Roman" w:hAnsi="Times New Roman"/>
          <w:lang w:val="sk-SK"/>
        </w:rPr>
        <w:t xml:space="preserve"> rizik</w:t>
      </w:r>
      <w:r>
        <w:rPr>
          <w:rFonts w:ascii="Times New Roman" w:hAnsi="Times New Roman"/>
          <w:lang w:val="sk-SK"/>
        </w:rPr>
        <w:t>a</w:t>
      </w:r>
      <w:r w:rsidRPr="0041770A">
        <w:rPr>
          <w:rFonts w:ascii="Times New Roman" w:hAnsi="Times New Roman"/>
          <w:lang w:val="sk-SK"/>
        </w:rPr>
        <w:t xml:space="preserve"> kombinácie memantínu a fenytoínu.</w:t>
      </w:r>
    </w:p>
    <w:p w14:paraId="0C323D2D" w14:textId="77777777" w:rsidR="00EE7539" w:rsidRPr="0041770A" w:rsidRDefault="00EE7539" w:rsidP="009C2F83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20" w:hanging="284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lang w:val="sk-SK"/>
        </w:rPr>
        <w:t>Iné liečivá, ako sú cimetidín, ranitidín, prokaínamid, chinidín, chinín a nikotín, ktoré používajú ten istý obličkový katiónový transportný systém ako amantadín, môžu tiež interagovať s memantínom a viesť tak k potenciálnemu riziku zvýšených plazmatických hladín.</w:t>
      </w:r>
    </w:p>
    <w:p w14:paraId="7E61ACBA" w14:textId="4DD39398" w:rsidR="00EE7539" w:rsidRPr="0041770A" w:rsidRDefault="00EE7539" w:rsidP="009C2F83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20" w:hanging="284"/>
        <w:rPr>
          <w:rFonts w:ascii="Times New Roman" w:hAnsi="Times New Roman"/>
          <w:lang w:val="sk-SK"/>
        </w:rPr>
      </w:pPr>
      <w:r w:rsidRPr="0041770A">
        <w:rPr>
          <w:rFonts w:ascii="Times New Roman" w:hAnsi="Times New Roman"/>
          <w:lang w:val="sk-SK"/>
        </w:rPr>
        <w:t>Ak sa memantín používa sú</w:t>
      </w:r>
      <w:r w:rsidR="00F43F3A">
        <w:rPr>
          <w:rFonts w:ascii="Times New Roman" w:hAnsi="Times New Roman"/>
          <w:lang w:val="sk-SK"/>
        </w:rPr>
        <w:t>bežne</w:t>
      </w:r>
      <w:r w:rsidRPr="0041770A">
        <w:rPr>
          <w:rFonts w:ascii="Times New Roman" w:hAnsi="Times New Roman"/>
          <w:lang w:val="sk-SK"/>
        </w:rPr>
        <w:t xml:space="preserve"> s hydrochlórotiazidom (HCT) alebo akoukoľvek kombináciou HCT, je tu možnosť zníženia sérovej hladiny HCT.</w:t>
      </w:r>
    </w:p>
    <w:p w14:paraId="042C636B" w14:textId="3D694F2A" w:rsidR="00EE7539" w:rsidRPr="00A0288E" w:rsidRDefault="00EE7539" w:rsidP="009C2F83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153" w:hanging="284"/>
        <w:rPr>
          <w:rFonts w:ascii="Times New Roman" w:hAnsi="Times New Roman"/>
          <w:lang w:val="sk-SK"/>
        </w:rPr>
      </w:pPr>
      <w:r w:rsidRPr="00A0288E">
        <w:rPr>
          <w:rFonts w:ascii="Times New Roman" w:hAnsi="Times New Roman"/>
          <w:lang w:val="sk-SK"/>
        </w:rPr>
        <w:t xml:space="preserve">Pri postmarketingovom </w:t>
      </w:r>
      <w:r w:rsidRPr="005B0DED">
        <w:rPr>
          <w:rFonts w:ascii="Times New Roman" w:hAnsi="Times New Roman"/>
          <w:lang w:val="sk-SK"/>
        </w:rPr>
        <w:t>sledovaní</w:t>
      </w:r>
      <w:r w:rsidRPr="00A0288E">
        <w:rPr>
          <w:rFonts w:ascii="Times New Roman" w:hAnsi="Times New Roman"/>
          <w:lang w:val="sk-SK"/>
        </w:rPr>
        <w:t xml:space="preserve"> boli zaznamenané ojedinelé prípady zvýšenia hodnôt medzinárodného normalizovaného pomeru (INR) u pacientov užívajúcich súčasne warfarín. Aj keď priama súvislosť nebola potvrdená, u pacientov, ktorí sú súčasne liečení perorálnymi antikoagulanciami, sa </w:t>
      </w:r>
      <w:r w:rsidR="00480BF5">
        <w:rPr>
          <w:rFonts w:ascii="Times New Roman" w:hAnsi="Times New Roman"/>
          <w:lang w:val="sk-SK"/>
        </w:rPr>
        <w:t>odporúča</w:t>
      </w:r>
      <w:r w:rsidR="00480BF5" w:rsidRPr="00A0288E">
        <w:rPr>
          <w:rFonts w:ascii="Times New Roman" w:hAnsi="Times New Roman"/>
          <w:lang w:val="sk-SK"/>
        </w:rPr>
        <w:t xml:space="preserve"> </w:t>
      </w:r>
      <w:r w:rsidRPr="00A0288E">
        <w:rPr>
          <w:rFonts w:ascii="Times New Roman" w:hAnsi="Times New Roman"/>
          <w:lang w:val="sk-SK"/>
        </w:rPr>
        <w:t xml:space="preserve">dôkladné sledovanie protrombínového času </w:t>
      </w:r>
      <w:r>
        <w:rPr>
          <w:rFonts w:ascii="Times New Roman" w:hAnsi="Times New Roman"/>
          <w:lang w:val="sk-SK"/>
        </w:rPr>
        <w:t xml:space="preserve">alebo </w:t>
      </w:r>
      <w:r w:rsidRPr="00A0288E">
        <w:rPr>
          <w:rFonts w:ascii="Times New Roman" w:hAnsi="Times New Roman"/>
          <w:lang w:val="sk-SK"/>
        </w:rPr>
        <w:t>INR.</w:t>
      </w:r>
    </w:p>
    <w:p w14:paraId="35EEBF7C" w14:textId="77777777" w:rsidR="00EE7539" w:rsidRPr="00A0288E" w:rsidRDefault="00EE7539" w:rsidP="009C2F83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lang w:val="sk-SK"/>
        </w:rPr>
      </w:pPr>
    </w:p>
    <w:p w14:paraId="2334DA0E" w14:textId="0C0ECD3C" w:rsidR="00EE7539" w:rsidRPr="00A0288E" w:rsidRDefault="00EE7539" w:rsidP="00B01281">
      <w:pPr>
        <w:spacing w:after="0" w:line="240" w:lineRule="auto"/>
        <w:ind w:right="156"/>
        <w:rPr>
          <w:rFonts w:ascii="Times New Roman" w:hAnsi="Times New Roman"/>
          <w:lang w:val="sk-SK"/>
        </w:rPr>
      </w:pPr>
      <w:r w:rsidRPr="00A0288E">
        <w:rPr>
          <w:rFonts w:ascii="Times New Roman" w:hAnsi="Times New Roman"/>
          <w:lang w:val="sk-SK"/>
        </w:rPr>
        <w:t xml:space="preserve">Pri </w:t>
      </w:r>
      <w:r w:rsidR="00480BF5" w:rsidRPr="00A0288E">
        <w:rPr>
          <w:rFonts w:ascii="Times New Roman" w:hAnsi="Times New Roman"/>
          <w:lang w:val="sk-SK"/>
        </w:rPr>
        <w:t>jednorazovej</w:t>
      </w:r>
      <w:r w:rsidRPr="00A0288E">
        <w:rPr>
          <w:rFonts w:ascii="Times New Roman" w:hAnsi="Times New Roman"/>
          <w:lang w:val="sk-SK"/>
        </w:rPr>
        <w:t xml:space="preserve"> dávke vo farmakokinet</w:t>
      </w:r>
      <w:r w:rsidR="00F56C0B">
        <w:rPr>
          <w:rFonts w:ascii="Times New Roman" w:hAnsi="Times New Roman"/>
          <w:lang w:val="sk-SK"/>
        </w:rPr>
        <w:t>i</w:t>
      </w:r>
      <w:r w:rsidRPr="00A0288E">
        <w:rPr>
          <w:rFonts w:ascii="Times New Roman" w:hAnsi="Times New Roman"/>
          <w:lang w:val="sk-SK"/>
        </w:rPr>
        <w:t>ckých (FK) štúdiách u mladých zdravých dobrovoľníkov nebola pozorovaná žiadna významná interakcia liečiv memantínu s glyburidom/metformínom alebo s donepezilom.</w:t>
      </w:r>
    </w:p>
    <w:p w14:paraId="3D9E150A" w14:textId="77777777" w:rsidR="00EE7539" w:rsidRPr="00A0288E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749A052F" w14:textId="77777777" w:rsidR="00EE7539" w:rsidRPr="00A0288E" w:rsidRDefault="00EE7539" w:rsidP="00B01281">
      <w:pPr>
        <w:spacing w:after="0" w:line="240" w:lineRule="auto"/>
        <w:ind w:right="1018"/>
        <w:rPr>
          <w:rFonts w:ascii="Times New Roman" w:hAnsi="Times New Roman"/>
          <w:lang w:val="sk-SK"/>
        </w:rPr>
      </w:pPr>
      <w:r w:rsidRPr="00A0288E">
        <w:rPr>
          <w:rFonts w:ascii="Times New Roman" w:hAnsi="Times New Roman"/>
          <w:lang w:val="sk-SK"/>
        </w:rPr>
        <w:t>V klinickej štúdii u mladých zdravých jedincov nebol pozorovaný žiaden významný účinok memantínu na farmakokinetiku galantamínu.</w:t>
      </w:r>
    </w:p>
    <w:p w14:paraId="53C5D322" w14:textId="77777777" w:rsidR="00EE7539" w:rsidRPr="00A0288E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6741B151" w14:textId="77777777" w:rsidR="00EE7539" w:rsidRPr="00A0288E" w:rsidRDefault="00EE7539" w:rsidP="00B01281">
      <w:pPr>
        <w:spacing w:after="0" w:line="240" w:lineRule="auto"/>
        <w:ind w:right="155"/>
        <w:rPr>
          <w:rFonts w:ascii="Times New Roman" w:hAnsi="Times New Roman"/>
          <w:lang w:val="sk-SK"/>
        </w:rPr>
      </w:pPr>
      <w:r w:rsidRPr="00A0288E">
        <w:rPr>
          <w:rFonts w:ascii="Times New Roman" w:hAnsi="Times New Roman"/>
          <w:lang w:val="sk-SK"/>
        </w:rPr>
        <w:t xml:space="preserve">Memantín </w:t>
      </w:r>
      <w:r w:rsidRPr="00A0288E">
        <w:rPr>
          <w:rFonts w:ascii="Times New Roman" w:hAnsi="Times New Roman"/>
          <w:i/>
          <w:lang w:val="sk-SK"/>
        </w:rPr>
        <w:t xml:space="preserve">in vitro </w:t>
      </w:r>
      <w:r w:rsidRPr="00A0288E">
        <w:rPr>
          <w:rFonts w:ascii="Times New Roman" w:hAnsi="Times New Roman"/>
          <w:lang w:val="sk-SK"/>
        </w:rPr>
        <w:t>neinhibuje CYP 1A2, 2A6, 2C9, 2D6, 2E1, 3A, flavín obsahujúcu monoxygenázu, epoxid hydrolázu alebo sulfatión.</w:t>
      </w:r>
    </w:p>
    <w:p w14:paraId="5E3C54D4" w14:textId="77777777" w:rsidR="00EE7539" w:rsidRPr="00A0288E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4B8F3224" w14:textId="77777777" w:rsidR="00EE7539" w:rsidRPr="00A0288E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A0288E">
        <w:rPr>
          <w:rFonts w:ascii="Times New Roman" w:hAnsi="Times New Roman"/>
          <w:b/>
          <w:bCs/>
          <w:lang w:val="sk-SK"/>
        </w:rPr>
        <w:t>4.6</w:t>
      </w:r>
      <w:r w:rsidRPr="00A0288E">
        <w:rPr>
          <w:rFonts w:ascii="Times New Roman" w:hAnsi="Times New Roman"/>
          <w:b/>
          <w:bCs/>
          <w:lang w:val="sk-SK"/>
        </w:rPr>
        <w:tab/>
      </w:r>
      <w:r w:rsidRPr="0041770A">
        <w:rPr>
          <w:rFonts w:ascii="Times New Roman" w:hAnsi="Times New Roman"/>
          <w:b/>
          <w:bCs/>
          <w:lang w:val="sk-SK"/>
        </w:rPr>
        <w:t>Fertilita, gravidita a laktácia</w:t>
      </w:r>
    </w:p>
    <w:p w14:paraId="4F8362D9" w14:textId="77777777" w:rsidR="00EE7539" w:rsidRPr="00A0288E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7E73FB84" w14:textId="77777777" w:rsidR="00EE7539" w:rsidRPr="00852BB4" w:rsidRDefault="00EE7539" w:rsidP="00B01281">
      <w:pPr>
        <w:spacing w:after="0" w:line="240" w:lineRule="auto"/>
        <w:ind w:right="51"/>
        <w:rPr>
          <w:rFonts w:ascii="Times New Roman" w:hAnsi="Times New Roman"/>
          <w:u w:val="single"/>
          <w:lang w:val="sk-SK"/>
        </w:rPr>
      </w:pPr>
      <w:r w:rsidRPr="00852BB4">
        <w:rPr>
          <w:rFonts w:ascii="Times New Roman" w:hAnsi="Times New Roman"/>
          <w:u w:val="single"/>
          <w:lang w:val="sk-SK"/>
        </w:rPr>
        <w:t>Gravidita</w:t>
      </w:r>
    </w:p>
    <w:p w14:paraId="4284EB3E" w14:textId="04CBB35C" w:rsidR="00EE7539" w:rsidRDefault="00480BF5" w:rsidP="005B0DED">
      <w:pPr>
        <w:spacing w:after="0" w:line="240" w:lineRule="auto"/>
        <w:ind w:right="51"/>
        <w:rPr>
          <w:rFonts w:ascii="TimesNewRomanPSMT" w:hAnsi="TimesNewRomanPSMT" w:cs="TimesNewRomanPSMT"/>
          <w:lang w:val="sk-SK" w:eastAsia="sk-SK"/>
        </w:rPr>
      </w:pPr>
      <w:r w:rsidRPr="00AA61BF">
        <w:rPr>
          <w:rFonts w:ascii="Times New Roman" w:hAnsi="Times New Roman"/>
          <w:lang w:val="sk-SK"/>
        </w:rPr>
        <w:t xml:space="preserve">Nie sú žiadne alebo </w:t>
      </w:r>
      <w:r>
        <w:rPr>
          <w:rFonts w:ascii="Times New Roman" w:hAnsi="Times New Roman"/>
          <w:lang w:val="sk-SK"/>
        </w:rPr>
        <w:t xml:space="preserve">len </w:t>
      </w:r>
      <w:r w:rsidRPr="00AA61BF">
        <w:rPr>
          <w:rFonts w:ascii="Times New Roman" w:hAnsi="Times New Roman"/>
          <w:lang w:val="sk-SK"/>
        </w:rPr>
        <w:t>obmedzené údaje o použití memantínu u tehotných žien</w:t>
      </w:r>
      <w:r>
        <w:rPr>
          <w:rFonts w:ascii="Times New Roman" w:hAnsi="Times New Roman"/>
          <w:lang w:val="sk-SK"/>
        </w:rPr>
        <w:t>.</w:t>
      </w:r>
      <w:r w:rsidRPr="00480BF5" w:rsidDel="00480BF5">
        <w:rPr>
          <w:rFonts w:ascii="Times New Roman" w:hAnsi="Times New Roman"/>
          <w:lang w:val="sk-SK"/>
        </w:rPr>
        <w:t xml:space="preserve"> </w:t>
      </w:r>
      <w:r w:rsidR="00EE7539" w:rsidRPr="00A0288E">
        <w:rPr>
          <w:rFonts w:ascii="Times New Roman" w:hAnsi="Times New Roman"/>
          <w:lang w:val="sk-SK"/>
        </w:rPr>
        <w:t>Štúdie na zvieratách naznačujú potenciál pre znížený vnútromaternicový rast pri expozičných hladinách</w:t>
      </w:r>
      <w:r w:rsidR="00DB4C36">
        <w:rPr>
          <w:rFonts w:ascii="Times New Roman" w:hAnsi="Times New Roman"/>
          <w:lang w:val="sk-SK"/>
        </w:rPr>
        <w:t>,</w:t>
      </w:r>
      <w:r w:rsidR="00EE7539" w:rsidRPr="00A0288E">
        <w:rPr>
          <w:rFonts w:ascii="Times New Roman" w:hAnsi="Times New Roman"/>
          <w:lang w:val="sk-SK"/>
        </w:rPr>
        <w:t xml:space="preserve"> identických alebo </w:t>
      </w:r>
      <w:r w:rsidR="00EE7539" w:rsidRPr="00A0288E">
        <w:rPr>
          <w:rFonts w:ascii="Times New Roman" w:hAnsi="Times New Roman"/>
          <w:lang w:val="sk-SK"/>
        </w:rPr>
        <w:lastRenderedPageBreak/>
        <w:t xml:space="preserve">mierne vyšších ako u ľudí (pozri časť 5.3). Nie je známe potenciálne riziko pre ľudí. Memantín </w:t>
      </w:r>
      <w:r w:rsidR="00EE7539">
        <w:rPr>
          <w:rFonts w:ascii="TimesNewRomanPSMT" w:hAnsi="TimesNewRomanPSMT" w:cs="TimesNewRomanPSMT"/>
          <w:lang w:val="sk-SK" w:eastAsia="sk-SK"/>
        </w:rPr>
        <w:t xml:space="preserve">môže byť používaný počas </w:t>
      </w:r>
      <w:r w:rsidR="00DC2A27">
        <w:rPr>
          <w:rFonts w:ascii="TimesNewRomanPSMT" w:hAnsi="TimesNewRomanPSMT" w:cs="TimesNewRomanPSMT"/>
          <w:lang w:val="sk-SK" w:eastAsia="sk-SK"/>
        </w:rPr>
        <w:t>tehotenstva</w:t>
      </w:r>
      <w:r w:rsidR="00EE7539">
        <w:rPr>
          <w:rFonts w:ascii="TimesNewRomanPSMT" w:hAnsi="TimesNewRomanPSMT" w:cs="TimesNewRomanPSMT"/>
          <w:lang w:val="sk-SK" w:eastAsia="sk-SK"/>
        </w:rPr>
        <w:t>, iba v nevyhnutných prípadoch.</w:t>
      </w:r>
    </w:p>
    <w:p w14:paraId="00417FC5" w14:textId="77777777" w:rsidR="00EE7539" w:rsidRPr="00A0288E" w:rsidRDefault="00EE7539" w:rsidP="005B0DED">
      <w:pPr>
        <w:spacing w:after="0" w:line="240" w:lineRule="auto"/>
        <w:ind w:right="51"/>
        <w:rPr>
          <w:rFonts w:ascii="Times New Roman" w:hAnsi="Times New Roman"/>
          <w:lang w:val="sk-SK"/>
        </w:rPr>
      </w:pPr>
    </w:p>
    <w:p w14:paraId="6BCF5EAA" w14:textId="15AC8EB1" w:rsidR="00EE7539" w:rsidRPr="00852BB4" w:rsidRDefault="00DC2A27" w:rsidP="00B01281">
      <w:pPr>
        <w:spacing w:after="0" w:line="240" w:lineRule="auto"/>
        <w:ind w:right="696"/>
        <w:rPr>
          <w:rFonts w:ascii="Times New Roman" w:hAnsi="Times New Roman"/>
          <w:bCs/>
          <w:u w:val="single"/>
          <w:lang w:val="sk-SK"/>
        </w:rPr>
      </w:pPr>
      <w:r>
        <w:rPr>
          <w:rFonts w:ascii="Times New Roman" w:hAnsi="Times New Roman"/>
          <w:bCs/>
          <w:u w:val="single"/>
          <w:lang w:val="sk-SK"/>
        </w:rPr>
        <w:t>Dojčenie</w:t>
      </w:r>
    </w:p>
    <w:p w14:paraId="096D7926" w14:textId="17EACD9B" w:rsidR="00EE7539" w:rsidRDefault="00EE7539" w:rsidP="00AA61BF">
      <w:pPr>
        <w:spacing w:after="0" w:line="240" w:lineRule="auto"/>
        <w:ind w:right="696"/>
        <w:rPr>
          <w:rFonts w:ascii="Times New Roman" w:hAnsi="Times New Roman"/>
          <w:lang w:val="sk-SK"/>
        </w:rPr>
      </w:pPr>
      <w:r w:rsidRPr="00A0288E">
        <w:rPr>
          <w:rFonts w:ascii="Times New Roman" w:hAnsi="Times New Roman"/>
          <w:lang w:val="sk-SK"/>
        </w:rPr>
        <w:t xml:space="preserve">Nie je známe, či sa memantín u žien vylučuje do materského mlieka, ale ak vezmeme do úvahy lipofilitu </w:t>
      </w:r>
      <w:r>
        <w:rPr>
          <w:rFonts w:ascii="Times New Roman" w:hAnsi="Times New Roman"/>
          <w:lang w:val="sk-SK"/>
        </w:rPr>
        <w:t>liečiva</w:t>
      </w:r>
      <w:r w:rsidRPr="005B0DED">
        <w:rPr>
          <w:rFonts w:ascii="Times New Roman" w:hAnsi="Times New Roman"/>
          <w:lang w:val="sk-SK"/>
        </w:rPr>
        <w:t>,</w:t>
      </w:r>
      <w:r w:rsidRPr="00A0288E">
        <w:rPr>
          <w:rFonts w:ascii="Times New Roman" w:hAnsi="Times New Roman"/>
          <w:lang w:val="sk-SK"/>
        </w:rPr>
        <w:t xml:space="preserve"> je to pravdepodobné. Ženy, ktoré užívajú memantín, nemajú dojčiť.</w:t>
      </w:r>
    </w:p>
    <w:p w14:paraId="47CD5DF4" w14:textId="77777777" w:rsidR="00DC2A27" w:rsidRPr="00AA61BF" w:rsidRDefault="00DC2A27" w:rsidP="00AA61BF">
      <w:pPr>
        <w:spacing w:after="0" w:line="240" w:lineRule="auto"/>
        <w:ind w:right="696"/>
        <w:rPr>
          <w:rFonts w:ascii="Times New Roman" w:hAnsi="Times New Roman"/>
          <w:u w:val="single"/>
          <w:lang w:val="sk-SK"/>
        </w:rPr>
      </w:pPr>
      <w:r w:rsidRPr="00AA61BF">
        <w:rPr>
          <w:rFonts w:ascii="Times New Roman" w:hAnsi="Times New Roman"/>
          <w:u w:val="single"/>
          <w:lang w:val="sk-SK"/>
        </w:rPr>
        <w:t>Fertilita</w:t>
      </w:r>
    </w:p>
    <w:p w14:paraId="2C9A277E" w14:textId="77777777" w:rsidR="00DC2A27" w:rsidRPr="00DC2A27" w:rsidRDefault="00DC2A27" w:rsidP="00AA61BF">
      <w:pPr>
        <w:spacing w:after="0" w:line="240" w:lineRule="auto"/>
        <w:ind w:right="696"/>
        <w:rPr>
          <w:rFonts w:ascii="Times New Roman" w:hAnsi="Times New Roman"/>
          <w:lang w:val="sk-SK"/>
        </w:rPr>
      </w:pPr>
      <w:r w:rsidRPr="00AA61BF">
        <w:rPr>
          <w:rFonts w:ascii="Times New Roman" w:hAnsi="Times New Roman"/>
          <w:lang w:val="sk-SK"/>
        </w:rPr>
        <w:t xml:space="preserve">Neboli zaznamenané žiadne nežiaduce </w:t>
      </w:r>
      <w:r>
        <w:rPr>
          <w:rFonts w:ascii="Times New Roman" w:hAnsi="Times New Roman"/>
          <w:lang w:val="sk-SK"/>
        </w:rPr>
        <w:t>reakcie</w:t>
      </w:r>
      <w:r w:rsidRPr="00AA61BF">
        <w:rPr>
          <w:rFonts w:ascii="Times New Roman" w:hAnsi="Times New Roman"/>
          <w:lang w:val="sk-SK"/>
        </w:rPr>
        <w:t xml:space="preserve"> memantínu na </w:t>
      </w:r>
      <w:r w:rsidRPr="00DC2A27">
        <w:rPr>
          <w:rFonts w:ascii="Times New Roman" w:hAnsi="Times New Roman"/>
          <w:lang w:val="sk-SK"/>
        </w:rPr>
        <w:t>mužskú</w:t>
      </w:r>
      <w:r w:rsidRPr="00AA61BF">
        <w:rPr>
          <w:rFonts w:ascii="Times New Roman" w:hAnsi="Times New Roman"/>
          <w:lang w:val="sk-SK"/>
        </w:rPr>
        <w:t xml:space="preserve"> a</w:t>
      </w:r>
      <w:r>
        <w:rPr>
          <w:rFonts w:ascii="Times New Roman" w:hAnsi="Times New Roman"/>
          <w:lang w:val="sk-SK"/>
        </w:rPr>
        <w:t> </w:t>
      </w:r>
      <w:r w:rsidRPr="00AA61BF">
        <w:rPr>
          <w:rFonts w:ascii="Times New Roman" w:hAnsi="Times New Roman"/>
          <w:lang w:val="sk-SK"/>
        </w:rPr>
        <w:t>ž</w:t>
      </w:r>
      <w:r>
        <w:rPr>
          <w:rFonts w:ascii="Times New Roman" w:hAnsi="Times New Roman"/>
          <w:lang w:val="sk-SK"/>
        </w:rPr>
        <w:t>enskú plodnosť</w:t>
      </w:r>
      <w:r w:rsidRPr="00AA61BF">
        <w:rPr>
          <w:rFonts w:ascii="Times New Roman" w:hAnsi="Times New Roman"/>
          <w:lang w:val="sk-SK"/>
        </w:rPr>
        <w:t>.</w:t>
      </w:r>
    </w:p>
    <w:p w14:paraId="30E9DC0C" w14:textId="77777777" w:rsidR="00DC2A27" w:rsidRPr="00A0288E" w:rsidRDefault="00DC2A27" w:rsidP="00AA61BF">
      <w:pPr>
        <w:spacing w:after="0" w:line="240" w:lineRule="auto"/>
        <w:ind w:right="696"/>
        <w:rPr>
          <w:rFonts w:ascii="Times New Roman" w:hAnsi="Times New Roman"/>
          <w:lang w:val="sk-SK"/>
        </w:rPr>
      </w:pPr>
    </w:p>
    <w:p w14:paraId="16AB98F2" w14:textId="77777777" w:rsidR="00EE7539" w:rsidRPr="00A0288E" w:rsidRDefault="00EE7539" w:rsidP="00437685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A0288E">
        <w:rPr>
          <w:rFonts w:ascii="Times New Roman" w:hAnsi="Times New Roman"/>
          <w:b/>
          <w:bCs/>
          <w:lang w:val="sk-SK"/>
        </w:rPr>
        <w:t>4.7</w:t>
      </w:r>
      <w:r w:rsidRPr="00A0288E">
        <w:rPr>
          <w:rFonts w:ascii="Times New Roman" w:hAnsi="Times New Roman"/>
          <w:b/>
          <w:bCs/>
          <w:lang w:val="sk-SK"/>
        </w:rPr>
        <w:tab/>
        <w:t>Ovplyvnenie schopnosti viesť vozidlá a obsluhovať stroje</w:t>
      </w:r>
    </w:p>
    <w:p w14:paraId="5017348F" w14:textId="77777777" w:rsidR="00EE7539" w:rsidRPr="00A0288E" w:rsidRDefault="00EE7539" w:rsidP="00DC077F">
      <w:pPr>
        <w:spacing w:after="0" w:line="240" w:lineRule="auto"/>
        <w:rPr>
          <w:rFonts w:ascii="Times New Roman" w:hAnsi="Times New Roman"/>
          <w:lang w:val="sk-SK"/>
        </w:rPr>
      </w:pPr>
    </w:p>
    <w:p w14:paraId="25483814" w14:textId="25DE7AB8" w:rsidR="00EE7539" w:rsidRDefault="00EE7539" w:rsidP="00AA61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A0288E">
        <w:rPr>
          <w:rFonts w:ascii="Times New Roman" w:hAnsi="Times New Roman"/>
          <w:lang w:val="sk-SK"/>
        </w:rPr>
        <w:t xml:space="preserve">Alzheimerova choroba </w:t>
      </w:r>
      <w:r w:rsidR="00DB4C36">
        <w:rPr>
          <w:rFonts w:ascii="Times New Roman" w:hAnsi="Times New Roman"/>
          <w:lang w:val="sk-SK"/>
        </w:rPr>
        <w:t>,</w:t>
      </w:r>
      <w:r w:rsidRPr="00A0288E">
        <w:rPr>
          <w:rFonts w:ascii="Times New Roman" w:hAnsi="Times New Roman"/>
          <w:lang w:val="sk-SK"/>
        </w:rPr>
        <w:t xml:space="preserve">stredného až </w:t>
      </w:r>
      <w:r w:rsidR="00DB4C36">
        <w:rPr>
          <w:rFonts w:ascii="Times New Roman" w:hAnsi="Times New Roman"/>
          <w:lang w:val="sk-SK"/>
        </w:rPr>
        <w:t>závažného</w:t>
      </w:r>
      <w:r w:rsidR="00DB4C36" w:rsidRPr="00A0288E">
        <w:rPr>
          <w:rFonts w:ascii="Times New Roman" w:hAnsi="Times New Roman"/>
          <w:lang w:val="sk-SK"/>
        </w:rPr>
        <w:t xml:space="preserve"> </w:t>
      </w:r>
      <w:r w:rsidRPr="00A0288E">
        <w:rPr>
          <w:rFonts w:ascii="Times New Roman" w:hAnsi="Times New Roman"/>
          <w:lang w:val="sk-SK"/>
        </w:rPr>
        <w:t>stupňa</w:t>
      </w:r>
      <w:r w:rsidR="00DB4C36">
        <w:rPr>
          <w:rFonts w:ascii="Times New Roman" w:hAnsi="Times New Roman"/>
          <w:lang w:val="sk-SK"/>
        </w:rPr>
        <w:t>,</w:t>
      </w:r>
      <w:r w:rsidRPr="00A0288E">
        <w:rPr>
          <w:rFonts w:ascii="Times New Roman" w:hAnsi="Times New Roman"/>
          <w:lang w:val="sk-SK"/>
        </w:rPr>
        <w:t xml:space="preserve"> samotná obvykle spôsobuje zhoršenie schopnosti viesť vozidlá a obsluhovať stroje. Navyše </w:t>
      </w:r>
      <w:r>
        <w:rPr>
          <w:rFonts w:ascii="Times New Roman" w:hAnsi="Times New Roman"/>
          <w:lang w:val="sk-SK"/>
        </w:rPr>
        <w:t>Memolan</w:t>
      </w:r>
      <w:r w:rsidRPr="00A0288E">
        <w:rPr>
          <w:rFonts w:ascii="Times New Roman" w:hAnsi="Times New Roman"/>
          <w:lang w:val="sk-SK"/>
        </w:rPr>
        <w:t xml:space="preserve"> má menší až stredný vplyv na schopnosť viesť vozidlá a obsluhovať stroje, takže ambulantných pacientov je potrebné upozorniť, </w:t>
      </w:r>
      <w:r w:rsidRPr="00690B52">
        <w:rPr>
          <w:rFonts w:ascii="Times New Roman" w:hAnsi="Times New Roman"/>
          <w:lang w:val="sk-SK"/>
        </w:rPr>
        <w:t xml:space="preserve">aby </w:t>
      </w:r>
      <w:r w:rsidRPr="00574889">
        <w:rPr>
          <w:rFonts w:ascii="Times New Roman" w:hAnsi="Times New Roman"/>
          <w:lang w:val="sk-SK" w:eastAsia="sk-SK"/>
        </w:rPr>
        <w:t>boli osobitne opatrní.</w:t>
      </w:r>
    </w:p>
    <w:p w14:paraId="5E9C20D8" w14:textId="77777777" w:rsidR="00EE7539" w:rsidRPr="00574889" w:rsidRDefault="00EE7539" w:rsidP="005713B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val="sk-SK"/>
        </w:rPr>
      </w:pPr>
    </w:p>
    <w:p w14:paraId="26A4E68C" w14:textId="77777777" w:rsidR="00EE7539" w:rsidRPr="006B2008" w:rsidRDefault="00EE7539" w:rsidP="005713B4">
      <w:pPr>
        <w:tabs>
          <w:tab w:val="left" w:pos="680"/>
        </w:tabs>
        <w:spacing w:after="0" w:line="240" w:lineRule="auto"/>
        <w:rPr>
          <w:rFonts w:ascii="Times New Roman" w:hAnsi="Times New Roman"/>
          <w:lang w:val="sk-SK"/>
        </w:rPr>
      </w:pPr>
      <w:r w:rsidRPr="006B2008">
        <w:rPr>
          <w:rFonts w:ascii="Times New Roman" w:hAnsi="Times New Roman"/>
          <w:b/>
          <w:bCs/>
          <w:lang w:val="sk-SK"/>
        </w:rPr>
        <w:t>4.8</w:t>
      </w:r>
      <w:r w:rsidRPr="006B2008">
        <w:rPr>
          <w:rFonts w:ascii="Times New Roman" w:hAnsi="Times New Roman"/>
          <w:b/>
          <w:bCs/>
          <w:lang w:val="sk-SK"/>
        </w:rPr>
        <w:tab/>
        <w:t>Nežiaduce účinky</w:t>
      </w:r>
    </w:p>
    <w:p w14:paraId="1F2D47CD" w14:textId="77777777" w:rsidR="00EE7539" w:rsidRPr="006B2008" w:rsidRDefault="00EE7539" w:rsidP="005A3557">
      <w:pPr>
        <w:spacing w:after="0" w:line="240" w:lineRule="auto"/>
        <w:rPr>
          <w:rFonts w:ascii="Times New Roman" w:hAnsi="Times New Roman"/>
          <w:lang w:val="sk-SK"/>
        </w:rPr>
      </w:pPr>
    </w:p>
    <w:p w14:paraId="27284D21" w14:textId="77777777" w:rsidR="00437685" w:rsidRPr="00B804AE" w:rsidRDefault="00437685" w:rsidP="00651C10">
      <w:pPr>
        <w:spacing w:after="0" w:line="240" w:lineRule="auto"/>
        <w:ind w:right="245"/>
        <w:rPr>
          <w:rFonts w:ascii="Times New Roman" w:hAnsi="Times New Roman"/>
          <w:lang w:val="sk-SK"/>
        </w:rPr>
      </w:pPr>
      <w:r w:rsidRPr="00B804AE">
        <w:rPr>
          <w:rFonts w:ascii="Times New Roman" w:hAnsi="Times New Roman"/>
          <w:lang w:val="sk-SK"/>
        </w:rPr>
        <w:t>Súhrn bezpečnostného profilu</w:t>
      </w:r>
    </w:p>
    <w:p w14:paraId="5023B3AB" w14:textId="63169C4A" w:rsidR="00EE7539" w:rsidRPr="006B2008" w:rsidRDefault="00EE7539" w:rsidP="00651C10">
      <w:pPr>
        <w:spacing w:after="0" w:line="240" w:lineRule="auto"/>
        <w:ind w:right="245"/>
        <w:rPr>
          <w:rFonts w:ascii="Times New Roman" w:hAnsi="Times New Roman"/>
          <w:lang w:val="sk-SK"/>
        </w:rPr>
      </w:pPr>
      <w:r w:rsidRPr="006B2008">
        <w:rPr>
          <w:rFonts w:ascii="Times New Roman" w:hAnsi="Times New Roman"/>
          <w:lang w:val="sk-SK"/>
        </w:rPr>
        <w:t xml:space="preserve">V klinických štúdiách </w:t>
      </w:r>
      <w:r w:rsidRPr="00690B52">
        <w:rPr>
          <w:rFonts w:ascii="Times New Roman" w:hAnsi="Times New Roman"/>
          <w:lang w:val="sk-SK"/>
        </w:rPr>
        <w:t>v</w:t>
      </w:r>
      <w:r w:rsidRPr="006B2008">
        <w:rPr>
          <w:rFonts w:ascii="Times New Roman" w:hAnsi="Times New Roman"/>
          <w:lang w:val="sk-SK"/>
        </w:rPr>
        <w:t xml:space="preserve"> miernej až </w:t>
      </w:r>
      <w:r w:rsidR="00DB4C36">
        <w:rPr>
          <w:rFonts w:ascii="Times New Roman" w:hAnsi="Times New Roman"/>
          <w:lang w:val="sk-SK"/>
        </w:rPr>
        <w:t>závažnej</w:t>
      </w:r>
      <w:r w:rsidR="00DB4C36" w:rsidRPr="006B2008">
        <w:rPr>
          <w:rFonts w:ascii="Times New Roman" w:hAnsi="Times New Roman"/>
          <w:lang w:val="sk-SK"/>
        </w:rPr>
        <w:t xml:space="preserve"> </w:t>
      </w:r>
      <w:r w:rsidRPr="006B2008">
        <w:rPr>
          <w:rFonts w:ascii="Times New Roman" w:hAnsi="Times New Roman"/>
          <w:lang w:val="sk-SK"/>
        </w:rPr>
        <w:t xml:space="preserve">demencii, ktoré zahŕňali 1784 pacientov liečených </w:t>
      </w:r>
      <w:r>
        <w:rPr>
          <w:rFonts w:ascii="Times New Roman" w:hAnsi="Times New Roman"/>
          <w:lang w:val="sk-SK"/>
        </w:rPr>
        <w:t>m</w:t>
      </w:r>
      <w:r w:rsidRPr="006B2008">
        <w:rPr>
          <w:rFonts w:ascii="Times New Roman" w:hAnsi="Times New Roman"/>
          <w:lang w:val="sk-SK"/>
        </w:rPr>
        <w:t>emant</w:t>
      </w:r>
      <w:r>
        <w:rPr>
          <w:rFonts w:ascii="Times New Roman" w:hAnsi="Times New Roman"/>
          <w:lang w:val="sk-SK"/>
        </w:rPr>
        <w:t>ínom</w:t>
      </w:r>
      <w:r w:rsidRPr="006B2008">
        <w:rPr>
          <w:rFonts w:ascii="Times New Roman" w:hAnsi="Times New Roman"/>
          <w:lang w:val="sk-SK"/>
        </w:rPr>
        <w:t xml:space="preserve"> a 1595 pacientov, ktorí užívali placebo, sa celkový výskyt nežiaducich účinkov pri liečbe memant</w:t>
      </w:r>
      <w:r>
        <w:rPr>
          <w:rFonts w:ascii="Times New Roman" w:hAnsi="Times New Roman"/>
          <w:lang w:val="sk-SK"/>
        </w:rPr>
        <w:t>ínom</w:t>
      </w:r>
      <w:r w:rsidRPr="006B2008">
        <w:rPr>
          <w:rFonts w:ascii="Times New Roman" w:hAnsi="Times New Roman"/>
          <w:lang w:val="sk-SK"/>
        </w:rPr>
        <w:t xml:space="preserve"> nelíšil od výskytu pri placebe a nežiaduce účinky boli obvykle miernej až strednej závažnosti. Najčastejšie sa vyskytujúce nežiaduce účinky s vyšším výskytom v skupine s memant</w:t>
      </w:r>
      <w:r>
        <w:rPr>
          <w:rFonts w:ascii="Times New Roman" w:hAnsi="Times New Roman"/>
          <w:lang w:val="sk-SK"/>
        </w:rPr>
        <w:t>í</w:t>
      </w:r>
      <w:r w:rsidRPr="006B2008">
        <w:rPr>
          <w:rFonts w:ascii="Times New Roman" w:hAnsi="Times New Roman"/>
          <w:lang w:val="sk-SK"/>
        </w:rPr>
        <w:t>n</w:t>
      </w:r>
      <w:r>
        <w:rPr>
          <w:rFonts w:ascii="Times New Roman" w:hAnsi="Times New Roman"/>
          <w:lang w:val="sk-SK"/>
        </w:rPr>
        <w:t>om</w:t>
      </w:r>
      <w:r w:rsidRPr="006B2008">
        <w:rPr>
          <w:rFonts w:ascii="Times New Roman" w:hAnsi="Times New Roman"/>
          <w:lang w:val="sk-SK"/>
        </w:rPr>
        <w:t xml:space="preserve"> voči placebovej skupine boli závrat (6,3% voči 5,6%), boles</w:t>
      </w:r>
      <w:r>
        <w:rPr>
          <w:rFonts w:ascii="Times New Roman" w:hAnsi="Times New Roman"/>
          <w:lang w:val="sk-SK"/>
        </w:rPr>
        <w:t>ť</w:t>
      </w:r>
      <w:r w:rsidRPr="006B2008">
        <w:rPr>
          <w:rFonts w:ascii="Times New Roman" w:hAnsi="Times New Roman"/>
          <w:lang w:val="sk-SK"/>
        </w:rPr>
        <w:t xml:space="preserve"> hlavy (5,2% voči 3,9%), zápcha (4,6%</w:t>
      </w:r>
      <w:r>
        <w:rPr>
          <w:rFonts w:ascii="Times New Roman" w:hAnsi="Times New Roman"/>
          <w:lang w:val="sk-SK"/>
        </w:rPr>
        <w:t xml:space="preserve"> </w:t>
      </w:r>
      <w:r w:rsidRPr="006B2008">
        <w:rPr>
          <w:rFonts w:ascii="Times New Roman" w:hAnsi="Times New Roman"/>
          <w:lang w:val="sk-SK"/>
        </w:rPr>
        <w:t>voči 2,6%), ospalosť (3,4% voči 2,2%) a hypertenzia (4,1% voči 2,8%).</w:t>
      </w:r>
    </w:p>
    <w:p w14:paraId="04B0884F" w14:textId="77777777" w:rsidR="00EE7539" w:rsidRPr="006B2008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0369E25E" w14:textId="32D94994" w:rsidR="00EE7539" w:rsidRDefault="00EE7539" w:rsidP="00B01281">
      <w:pPr>
        <w:spacing w:after="0" w:line="240" w:lineRule="auto"/>
        <w:ind w:right="395"/>
        <w:rPr>
          <w:rFonts w:ascii="Times New Roman" w:hAnsi="Times New Roman"/>
          <w:lang w:val="sk-SK"/>
        </w:rPr>
      </w:pPr>
      <w:r w:rsidRPr="006B2008">
        <w:rPr>
          <w:rFonts w:ascii="Times New Roman" w:hAnsi="Times New Roman"/>
          <w:lang w:val="sk-SK"/>
        </w:rPr>
        <w:t xml:space="preserve">Nasledujúce nežiaduce účinky v doleuvedenej tabuľke boli zozbierané z klinických štúdií s </w:t>
      </w:r>
      <w:r>
        <w:rPr>
          <w:rFonts w:ascii="Times New Roman" w:hAnsi="Times New Roman"/>
          <w:lang w:val="sk-SK"/>
        </w:rPr>
        <w:t>m</w:t>
      </w:r>
      <w:r w:rsidRPr="006B2008">
        <w:rPr>
          <w:rFonts w:ascii="Times New Roman" w:hAnsi="Times New Roman"/>
          <w:lang w:val="sk-SK"/>
        </w:rPr>
        <w:t>emant</w:t>
      </w:r>
      <w:r>
        <w:rPr>
          <w:rFonts w:ascii="Times New Roman" w:hAnsi="Times New Roman"/>
          <w:lang w:val="sk-SK"/>
        </w:rPr>
        <w:t>ínom</w:t>
      </w:r>
      <w:r w:rsidRPr="006B2008">
        <w:rPr>
          <w:rFonts w:ascii="Times New Roman" w:hAnsi="Times New Roman"/>
          <w:lang w:val="sk-SK"/>
        </w:rPr>
        <w:t xml:space="preserve"> a z obdobia od jeho uvedenia na trh. </w:t>
      </w:r>
    </w:p>
    <w:p w14:paraId="101DF54F" w14:textId="77777777" w:rsidR="00EE7539" w:rsidRPr="006B2008" w:rsidRDefault="00EE7539" w:rsidP="00B01281">
      <w:pPr>
        <w:spacing w:after="0" w:line="240" w:lineRule="auto"/>
        <w:ind w:right="395"/>
        <w:rPr>
          <w:rFonts w:ascii="Times New Roman" w:hAnsi="Times New Roman"/>
          <w:lang w:val="sk-SK"/>
        </w:rPr>
      </w:pPr>
    </w:p>
    <w:p w14:paraId="6858A446" w14:textId="77777777" w:rsidR="00EE7539" w:rsidRPr="006B2008" w:rsidRDefault="00EE7539" w:rsidP="00B01281">
      <w:pPr>
        <w:spacing w:after="0" w:line="240" w:lineRule="auto"/>
        <w:ind w:right="236" w:firstLine="1"/>
        <w:rPr>
          <w:rFonts w:ascii="Times New Roman" w:hAnsi="Times New Roman"/>
          <w:lang w:val="sk-SK"/>
        </w:rPr>
      </w:pPr>
      <w:r w:rsidRPr="006B2008">
        <w:rPr>
          <w:rFonts w:ascii="Times New Roman" w:hAnsi="Times New Roman"/>
          <w:lang w:val="sk-SK"/>
        </w:rPr>
        <w:t>Nežiaduce účinky sú zoradené podľa tried orgánových systémov pri použití nasledovnej konvencie: veľmi časté (≥1/10), časté (≥1/100 až &lt;1/10), menej časté (≥1/1000 až &lt;1/100), zriedkavé (≥1/10000 až &lt;1/1000), veľmi zriedkavé (&lt;1/10000), neznáme (nedajú sa určiť z dostupných údajov).</w:t>
      </w:r>
      <w:r w:rsidR="00806BD9">
        <w:rPr>
          <w:rFonts w:ascii="Times New Roman" w:hAnsi="Times New Roman"/>
          <w:lang w:val="sk-SK"/>
        </w:rPr>
        <w:t xml:space="preserve"> </w:t>
      </w:r>
      <w:r w:rsidR="00806BD9" w:rsidRPr="00806BD9">
        <w:rPr>
          <w:rFonts w:ascii="Times New Roman" w:hAnsi="Times New Roman"/>
          <w:lang w:val="sk-SK"/>
        </w:rPr>
        <w:t>V rámci jednotlivých skupín frekvencií sú nežiaduce účinky usporiadané v poradí klesajúcej závažnosti.</w:t>
      </w:r>
    </w:p>
    <w:p w14:paraId="2BA303B2" w14:textId="77777777" w:rsidR="00EE7539" w:rsidRPr="006B2008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2126"/>
        <w:gridCol w:w="3120"/>
      </w:tblGrid>
      <w:tr w:rsidR="00806BD9" w:rsidRPr="00365866" w14:paraId="40F16753" w14:textId="77777777" w:rsidTr="00B60A9C">
        <w:tc>
          <w:tcPr>
            <w:tcW w:w="3652" w:type="dxa"/>
          </w:tcPr>
          <w:p w14:paraId="27D19D94" w14:textId="77777777" w:rsidR="00806BD9" w:rsidRPr="00005378" w:rsidRDefault="00806BD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TRIEDA ORGÁNOVÝCH SYSTÉMOV</w:t>
            </w:r>
          </w:p>
        </w:tc>
        <w:tc>
          <w:tcPr>
            <w:tcW w:w="2126" w:type="dxa"/>
          </w:tcPr>
          <w:p w14:paraId="2F970F68" w14:textId="77777777" w:rsidR="00806BD9" w:rsidRPr="00005378" w:rsidRDefault="00806BD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FREKVENCIA</w:t>
            </w:r>
          </w:p>
        </w:tc>
        <w:tc>
          <w:tcPr>
            <w:tcW w:w="3120" w:type="dxa"/>
          </w:tcPr>
          <w:p w14:paraId="5136DE0D" w14:textId="77777777" w:rsidR="00806BD9" w:rsidRPr="00005378" w:rsidRDefault="00806BD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NEŽIADUCE ÚČINKY</w:t>
            </w:r>
          </w:p>
        </w:tc>
      </w:tr>
      <w:tr w:rsidR="00EE7539" w:rsidRPr="00365866" w14:paraId="024C94EA" w14:textId="77777777" w:rsidTr="00B60A9C">
        <w:tc>
          <w:tcPr>
            <w:tcW w:w="3652" w:type="dxa"/>
          </w:tcPr>
          <w:p w14:paraId="0815A363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Infekcie a nákazy</w:t>
            </w:r>
          </w:p>
        </w:tc>
        <w:tc>
          <w:tcPr>
            <w:tcW w:w="2126" w:type="dxa"/>
          </w:tcPr>
          <w:p w14:paraId="4129C456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Menej časté</w:t>
            </w:r>
          </w:p>
        </w:tc>
        <w:tc>
          <w:tcPr>
            <w:tcW w:w="3120" w:type="dxa"/>
          </w:tcPr>
          <w:p w14:paraId="7A5DF9FF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Plesňové infekcie</w:t>
            </w:r>
          </w:p>
        </w:tc>
      </w:tr>
      <w:tr w:rsidR="00EE7539" w:rsidRPr="00365866" w14:paraId="02ED73D1" w14:textId="77777777" w:rsidTr="00B60A9C">
        <w:tc>
          <w:tcPr>
            <w:tcW w:w="3652" w:type="dxa"/>
          </w:tcPr>
          <w:p w14:paraId="4EF9906D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Poruchy imunitného systému</w:t>
            </w:r>
          </w:p>
        </w:tc>
        <w:tc>
          <w:tcPr>
            <w:tcW w:w="2126" w:type="dxa"/>
          </w:tcPr>
          <w:p w14:paraId="57268103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3120" w:type="dxa"/>
          </w:tcPr>
          <w:p w14:paraId="7B3031A5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Precitlivenosť na liek</w:t>
            </w:r>
          </w:p>
        </w:tc>
      </w:tr>
      <w:tr w:rsidR="00EE7539" w:rsidRPr="00365866" w14:paraId="5D654234" w14:textId="77777777" w:rsidTr="00B60A9C">
        <w:tc>
          <w:tcPr>
            <w:tcW w:w="3652" w:type="dxa"/>
            <w:vMerge w:val="restart"/>
          </w:tcPr>
          <w:p w14:paraId="6A80C98D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Psychické poruchy</w:t>
            </w:r>
          </w:p>
        </w:tc>
        <w:tc>
          <w:tcPr>
            <w:tcW w:w="2126" w:type="dxa"/>
          </w:tcPr>
          <w:p w14:paraId="69C12201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3120" w:type="dxa"/>
          </w:tcPr>
          <w:p w14:paraId="314273E7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Ospalosť</w:t>
            </w:r>
          </w:p>
        </w:tc>
      </w:tr>
      <w:tr w:rsidR="00EE7539" w:rsidRPr="00365866" w14:paraId="1A698C4E" w14:textId="77777777" w:rsidTr="00B60A9C">
        <w:tc>
          <w:tcPr>
            <w:tcW w:w="3652" w:type="dxa"/>
            <w:vMerge/>
          </w:tcPr>
          <w:p w14:paraId="10A9A434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126" w:type="dxa"/>
          </w:tcPr>
          <w:p w14:paraId="570D142A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Menej časté</w:t>
            </w:r>
          </w:p>
        </w:tc>
        <w:tc>
          <w:tcPr>
            <w:tcW w:w="3120" w:type="dxa"/>
          </w:tcPr>
          <w:p w14:paraId="2BCB6EB8" w14:textId="6AF22323" w:rsidR="00806BD9" w:rsidRDefault="00EE7539" w:rsidP="005713B4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Zmätenosť</w:t>
            </w:r>
          </w:p>
          <w:p w14:paraId="36634C0E" w14:textId="77777777" w:rsidR="00EE7539" w:rsidRPr="00005378" w:rsidRDefault="00EE7539" w:rsidP="005713B4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Halucinácie</w:t>
            </w:r>
            <w:r w:rsidRPr="00005378">
              <w:rPr>
                <w:rFonts w:ascii="Times New Roman" w:hAnsi="Times New Roman"/>
                <w:vertAlign w:val="superscript"/>
                <w:lang w:val="sk-SK"/>
              </w:rPr>
              <w:t>1</w:t>
            </w:r>
          </w:p>
        </w:tc>
      </w:tr>
      <w:tr w:rsidR="00EE7539" w:rsidRPr="00365866" w14:paraId="4D25E745" w14:textId="77777777" w:rsidTr="00B60A9C">
        <w:tc>
          <w:tcPr>
            <w:tcW w:w="3652" w:type="dxa"/>
            <w:vMerge/>
          </w:tcPr>
          <w:p w14:paraId="5E38504B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126" w:type="dxa"/>
          </w:tcPr>
          <w:p w14:paraId="316D43C9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Neznáme</w:t>
            </w:r>
          </w:p>
        </w:tc>
        <w:tc>
          <w:tcPr>
            <w:tcW w:w="3120" w:type="dxa"/>
          </w:tcPr>
          <w:p w14:paraId="47CE3722" w14:textId="77777777" w:rsidR="00EE7539" w:rsidRPr="00005378" w:rsidRDefault="00EE7539" w:rsidP="005713B4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Psychotické reakcie</w:t>
            </w:r>
            <w:r w:rsidRPr="00005378">
              <w:rPr>
                <w:rFonts w:ascii="Times New Roman" w:hAnsi="Times New Roman"/>
                <w:vertAlign w:val="superscript"/>
                <w:lang w:val="sk-SK"/>
              </w:rPr>
              <w:t>2</w:t>
            </w:r>
          </w:p>
        </w:tc>
      </w:tr>
      <w:tr w:rsidR="00EE7539" w:rsidRPr="00365866" w14:paraId="7467E1C2" w14:textId="77777777" w:rsidTr="00B60A9C">
        <w:tc>
          <w:tcPr>
            <w:tcW w:w="3652" w:type="dxa"/>
            <w:vMerge w:val="restart"/>
          </w:tcPr>
          <w:p w14:paraId="42262CB1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Poruchy nervového systému</w:t>
            </w:r>
          </w:p>
        </w:tc>
        <w:tc>
          <w:tcPr>
            <w:tcW w:w="2126" w:type="dxa"/>
          </w:tcPr>
          <w:p w14:paraId="4D8D47FC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3120" w:type="dxa"/>
          </w:tcPr>
          <w:p w14:paraId="400F658A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Závrat</w:t>
            </w:r>
          </w:p>
          <w:p w14:paraId="29B7348E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Porucha rovnováhy</w:t>
            </w:r>
          </w:p>
        </w:tc>
      </w:tr>
      <w:tr w:rsidR="00EE7539" w:rsidRPr="00365866" w14:paraId="290BF7D4" w14:textId="77777777" w:rsidTr="00B60A9C">
        <w:tc>
          <w:tcPr>
            <w:tcW w:w="3652" w:type="dxa"/>
            <w:vMerge/>
          </w:tcPr>
          <w:p w14:paraId="504CB5D4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126" w:type="dxa"/>
          </w:tcPr>
          <w:p w14:paraId="29E864A7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Menej časté</w:t>
            </w:r>
          </w:p>
        </w:tc>
        <w:tc>
          <w:tcPr>
            <w:tcW w:w="3120" w:type="dxa"/>
          </w:tcPr>
          <w:p w14:paraId="536A1DF4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Poruchy chôdze</w:t>
            </w:r>
          </w:p>
        </w:tc>
      </w:tr>
      <w:tr w:rsidR="00EE7539" w:rsidRPr="00365866" w14:paraId="275D5EAB" w14:textId="77777777" w:rsidTr="00B60A9C">
        <w:tc>
          <w:tcPr>
            <w:tcW w:w="3652" w:type="dxa"/>
            <w:vMerge/>
          </w:tcPr>
          <w:p w14:paraId="4B2F3FDB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126" w:type="dxa"/>
          </w:tcPr>
          <w:p w14:paraId="6EB1851B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Veľmi zriedkavé</w:t>
            </w:r>
          </w:p>
        </w:tc>
        <w:tc>
          <w:tcPr>
            <w:tcW w:w="3120" w:type="dxa"/>
          </w:tcPr>
          <w:p w14:paraId="2B4C40C4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Záchvaty</w:t>
            </w:r>
          </w:p>
        </w:tc>
      </w:tr>
      <w:tr w:rsidR="00EE7539" w:rsidRPr="00365866" w14:paraId="710F6BCA" w14:textId="77777777" w:rsidTr="00B60A9C">
        <w:tc>
          <w:tcPr>
            <w:tcW w:w="3652" w:type="dxa"/>
          </w:tcPr>
          <w:p w14:paraId="44059A31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Poruchy srdca a srdcovej činnosti</w:t>
            </w:r>
          </w:p>
        </w:tc>
        <w:tc>
          <w:tcPr>
            <w:tcW w:w="2126" w:type="dxa"/>
          </w:tcPr>
          <w:p w14:paraId="25F91C00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Menej časté</w:t>
            </w:r>
          </w:p>
        </w:tc>
        <w:tc>
          <w:tcPr>
            <w:tcW w:w="3120" w:type="dxa"/>
          </w:tcPr>
          <w:p w14:paraId="60B3E971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Zlyhanie srdca</w:t>
            </w:r>
          </w:p>
        </w:tc>
      </w:tr>
      <w:tr w:rsidR="00EE7539" w:rsidRPr="00365866" w14:paraId="549BE728" w14:textId="77777777" w:rsidTr="00B60A9C">
        <w:tc>
          <w:tcPr>
            <w:tcW w:w="3652" w:type="dxa"/>
            <w:vMerge w:val="restart"/>
          </w:tcPr>
          <w:p w14:paraId="77A7191E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Poruchy ciev</w:t>
            </w:r>
          </w:p>
        </w:tc>
        <w:tc>
          <w:tcPr>
            <w:tcW w:w="2126" w:type="dxa"/>
          </w:tcPr>
          <w:p w14:paraId="607B9419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3120" w:type="dxa"/>
          </w:tcPr>
          <w:p w14:paraId="7FED7B30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Hypertenzia</w:t>
            </w:r>
          </w:p>
        </w:tc>
      </w:tr>
      <w:tr w:rsidR="00EE7539" w:rsidRPr="00365866" w14:paraId="78C041D6" w14:textId="77777777" w:rsidTr="00B60A9C">
        <w:tc>
          <w:tcPr>
            <w:tcW w:w="3652" w:type="dxa"/>
            <w:vMerge/>
          </w:tcPr>
          <w:p w14:paraId="7BFFDA25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126" w:type="dxa"/>
          </w:tcPr>
          <w:p w14:paraId="2160BDDF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Menej časté</w:t>
            </w:r>
          </w:p>
        </w:tc>
        <w:tc>
          <w:tcPr>
            <w:tcW w:w="3120" w:type="dxa"/>
          </w:tcPr>
          <w:p w14:paraId="1760D461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Žilová trombóza/tromboembólia</w:t>
            </w:r>
          </w:p>
        </w:tc>
      </w:tr>
      <w:tr w:rsidR="00EE7539" w:rsidRPr="00365866" w14:paraId="7B65E487" w14:textId="77777777" w:rsidTr="00B60A9C">
        <w:tc>
          <w:tcPr>
            <w:tcW w:w="3652" w:type="dxa"/>
          </w:tcPr>
          <w:p w14:paraId="02AA9C37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Poruchy dýchacej sústavy, hrudníka a mediastína</w:t>
            </w:r>
          </w:p>
        </w:tc>
        <w:tc>
          <w:tcPr>
            <w:tcW w:w="2126" w:type="dxa"/>
          </w:tcPr>
          <w:p w14:paraId="6637ABFE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3120" w:type="dxa"/>
          </w:tcPr>
          <w:p w14:paraId="00CE0A18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Dyspnoe</w:t>
            </w:r>
          </w:p>
        </w:tc>
      </w:tr>
      <w:tr w:rsidR="00EE7539" w:rsidRPr="00365866" w14:paraId="5E3779F8" w14:textId="77777777" w:rsidTr="00B60A9C">
        <w:tc>
          <w:tcPr>
            <w:tcW w:w="3652" w:type="dxa"/>
            <w:vMerge w:val="restart"/>
          </w:tcPr>
          <w:p w14:paraId="0EFCF686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Poruchy gastrointestinálneho traktu</w:t>
            </w:r>
          </w:p>
        </w:tc>
        <w:tc>
          <w:tcPr>
            <w:tcW w:w="2126" w:type="dxa"/>
          </w:tcPr>
          <w:p w14:paraId="198A2BDA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3120" w:type="dxa"/>
          </w:tcPr>
          <w:p w14:paraId="64C1145F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Zápcha</w:t>
            </w:r>
          </w:p>
        </w:tc>
      </w:tr>
      <w:tr w:rsidR="00EE7539" w:rsidRPr="00365866" w14:paraId="26424DE4" w14:textId="77777777" w:rsidTr="00B60A9C">
        <w:tc>
          <w:tcPr>
            <w:tcW w:w="3652" w:type="dxa"/>
            <w:vMerge/>
          </w:tcPr>
          <w:p w14:paraId="114F09CB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126" w:type="dxa"/>
          </w:tcPr>
          <w:p w14:paraId="20377D66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position w:val="-1"/>
                <w:lang w:val="sk-SK"/>
              </w:rPr>
              <w:t>Menej časté</w:t>
            </w:r>
          </w:p>
        </w:tc>
        <w:tc>
          <w:tcPr>
            <w:tcW w:w="3120" w:type="dxa"/>
          </w:tcPr>
          <w:p w14:paraId="0BD284EE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position w:val="-1"/>
                <w:lang w:val="sk-SK"/>
              </w:rPr>
              <w:t>Vracanie</w:t>
            </w:r>
          </w:p>
        </w:tc>
      </w:tr>
      <w:tr w:rsidR="00EE7539" w:rsidRPr="00365866" w14:paraId="5B8355B5" w14:textId="77777777" w:rsidTr="00B60A9C">
        <w:tc>
          <w:tcPr>
            <w:tcW w:w="3652" w:type="dxa"/>
            <w:vMerge/>
          </w:tcPr>
          <w:p w14:paraId="58B2FCD7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126" w:type="dxa"/>
          </w:tcPr>
          <w:p w14:paraId="659ABC37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Neznáme</w:t>
            </w:r>
          </w:p>
        </w:tc>
        <w:tc>
          <w:tcPr>
            <w:tcW w:w="3120" w:type="dxa"/>
          </w:tcPr>
          <w:p w14:paraId="7C336A56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Pankreatitída</w:t>
            </w:r>
            <w:r w:rsidRPr="00005378">
              <w:rPr>
                <w:rFonts w:ascii="Times New Roman" w:hAnsi="Times New Roman"/>
                <w:vertAlign w:val="superscript"/>
                <w:lang w:val="sk-SK"/>
              </w:rPr>
              <w:t>2</w:t>
            </w:r>
          </w:p>
        </w:tc>
      </w:tr>
      <w:tr w:rsidR="00EE7539" w:rsidRPr="00AA61BF" w14:paraId="5F06A37B" w14:textId="77777777" w:rsidTr="00B60A9C">
        <w:tc>
          <w:tcPr>
            <w:tcW w:w="3652" w:type="dxa"/>
            <w:vMerge w:val="restart"/>
          </w:tcPr>
          <w:p w14:paraId="587BF351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bCs/>
                <w:lang w:val="sk-SK"/>
              </w:rPr>
              <w:t>Poruchy pečene a žlčových ciest</w:t>
            </w:r>
          </w:p>
        </w:tc>
        <w:tc>
          <w:tcPr>
            <w:tcW w:w="2126" w:type="dxa"/>
          </w:tcPr>
          <w:p w14:paraId="26326037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3120" w:type="dxa"/>
          </w:tcPr>
          <w:p w14:paraId="75A1E622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Zvýšené hodnoty testov pečeňových funkcií</w:t>
            </w:r>
          </w:p>
        </w:tc>
      </w:tr>
      <w:tr w:rsidR="00EE7539" w:rsidRPr="00365866" w14:paraId="415B8CE8" w14:textId="77777777" w:rsidTr="00B60A9C">
        <w:tc>
          <w:tcPr>
            <w:tcW w:w="3652" w:type="dxa"/>
            <w:vMerge/>
          </w:tcPr>
          <w:p w14:paraId="1CBA8CB6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126" w:type="dxa"/>
          </w:tcPr>
          <w:p w14:paraId="3BB4F297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Neznáme</w:t>
            </w:r>
          </w:p>
        </w:tc>
        <w:tc>
          <w:tcPr>
            <w:tcW w:w="3120" w:type="dxa"/>
          </w:tcPr>
          <w:p w14:paraId="27CB67D8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Hepatitída</w:t>
            </w:r>
          </w:p>
        </w:tc>
      </w:tr>
      <w:tr w:rsidR="00EE7539" w:rsidRPr="00365866" w14:paraId="16639F9C" w14:textId="77777777" w:rsidTr="00B60A9C">
        <w:tc>
          <w:tcPr>
            <w:tcW w:w="3652" w:type="dxa"/>
            <w:vMerge w:val="restart"/>
          </w:tcPr>
          <w:p w14:paraId="70396609" w14:textId="77777777" w:rsidR="00EE7539" w:rsidRPr="00005378" w:rsidRDefault="00EE7539" w:rsidP="00B60A9C">
            <w:pPr>
              <w:spacing w:after="0" w:line="240" w:lineRule="auto"/>
              <w:ind w:left="49" w:right="-20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Celkové poruchy a reakcie v mieste podania</w:t>
            </w:r>
          </w:p>
        </w:tc>
        <w:tc>
          <w:tcPr>
            <w:tcW w:w="2126" w:type="dxa"/>
          </w:tcPr>
          <w:p w14:paraId="650C6B97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Časté</w:t>
            </w:r>
          </w:p>
        </w:tc>
        <w:tc>
          <w:tcPr>
            <w:tcW w:w="3120" w:type="dxa"/>
          </w:tcPr>
          <w:p w14:paraId="288877AB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Bolesť hlavy</w:t>
            </w:r>
          </w:p>
        </w:tc>
      </w:tr>
      <w:tr w:rsidR="00EE7539" w:rsidRPr="00365866" w14:paraId="4E3A415F" w14:textId="77777777" w:rsidTr="00B60A9C">
        <w:tc>
          <w:tcPr>
            <w:tcW w:w="3652" w:type="dxa"/>
            <w:vMerge/>
          </w:tcPr>
          <w:p w14:paraId="06EED7E7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126" w:type="dxa"/>
          </w:tcPr>
          <w:p w14:paraId="13DD5D30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Menej časté</w:t>
            </w:r>
          </w:p>
        </w:tc>
        <w:tc>
          <w:tcPr>
            <w:tcW w:w="3120" w:type="dxa"/>
          </w:tcPr>
          <w:p w14:paraId="2E4CAA9E" w14:textId="77777777" w:rsidR="00EE7539" w:rsidRPr="00005378" w:rsidRDefault="00EE7539" w:rsidP="00B60A9C">
            <w:p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005378">
              <w:rPr>
                <w:rFonts w:ascii="Times New Roman" w:hAnsi="Times New Roman"/>
                <w:lang w:val="sk-SK"/>
              </w:rPr>
              <w:t>Únava</w:t>
            </w:r>
          </w:p>
        </w:tc>
      </w:tr>
    </w:tbl>
    <w:p w14:paraId="2BEAA86A" w14:textId="663AEC66" w:rsidR="00EE7539" w:rsidRPr="00005378" w:rsidRDefault="00EE7539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005378">
        <w:rPr>
          <w:rFonts w:ascii="Times New Roman" w:hAnsi="Times New Roman"/>
          <w:vertAlign w:val="superscript"/>
          <w:lang w:val="sk-SK"/>
        </w:rPr>
        <w:t>1</w:t>
      </w:r>
      <w:r w:rsidRPr="00005378">
        <w:rPr>
          <w:rFonts w:ascii="Times New Roman" w:hAnsi="Times New Roman"/>
          <w:lang w:val="sk-SK"/>
        </w:rPr>
        <w:t>Halucinácie boli pozorované hlavne u pacientov s</w:t>
      </w:r>
      <w:r w:rsidR="001364B5">
        <w:rPr>
          <w:rFonts w:ascii="Times New Roman" w:hAnsi="Times New Roman"/>
          <w:lang w:val="sk-SK"/>
        </w:rPr>
        <w:t>o</w:t>
      </w:r>
      <w:r w:rsidRPr="00005378">
        <w:rPr>
          <w:rFonts w:ascii="Times New Roman" w:hAnsi="Times New Roman"/>
          <w:lang w:val="sk-SK"/>
        </w:rPr>
        <w:t xml:space="preserve"> </w:t>
      </w:r>
      <w:r w:rsidR="001364B5">
        <w:rPr>
          <w:rFonts w:ascii="Times New Roman" w:hAnsi="Times New Roman"/>
          <w:lang w:val="sk-SK"/>
        </w:rPr>
        <w:t>závažným</w:t>
      </w:r>
      <w:r w:rsidRPr="00005378">
        <w:rPr>
          <w:rFonts w:ascii="Times New Roman" w:hAnsi="Times New Roman"/>
          <w:lang w:val="sk-SK"/>
        </w:rPr>
        <w:t xml:space="preserve"> stupňom Alzheimerovej choroby.</w:t>
      </w:r>
    </w:p>
    <w:p w14:paraId="644BA83F" w14:textId="77777777" w:rsidR="00EE7539" w:rsidRPr="00005378" w:rsidRDefault="00EE7539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005378">
        <w:rPr>
          <w:rFonts w:ascii="Times New Roman" w:hAnsi="Times New Roman"/>
          <w:vertAlign w:val="superscript"/>
          <w:lang w:val="sk-SK"/>
        </w:rPr>
        <w:t>2</w:t>
      </w:r>
      <w:r w:rsidRPr="00005378">
        <w:rPr>
          <w:rFonts w:ascii="Times New Roman" w:hAnsi="Times New Roman"/>
          <w:lang w:val="sk-SK"/>
        </w:rPr>
        <w:t>Ojedinelé prípady zaznamenané z postmarketingového sledovania.</w:t>
      </w:r>
    </w:p>
    <w:p w14:paraId="45826C80" w14:textId="77777777" w:rsidR="00EE7539" w:rsidRPr="00AA61BF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37894EC1" w14:textId="7D8BFA77" w:rsidR="00EE7539" w:rsidRPr="005713B4" w:rsidRDefault="00EE7539" w:rsidP="00B01281">
      <w:pPr>
        <w:spacing w:after="0" w:line="240" w:lineRule="auto"/>
        <w:ind w:right="693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pt-BR"/>
        </w:rPr>
        <w:t xml:space="preserve">Alzheimerova choroba býva sprevádzaná depresiou, samovražednými predstavami a suicídiom. V postmarketingovom sledovaní boli tieto </w:t>
      </w:r>
      <w:r w:rsidR="00806BD9">
        <w:rPr>
          <w:rFonts w:ascii="Times New Roman" w:hAnsi="Times New Roman"/>
          <w:lang w:val="pt-BR"/>
        </w:rPr>
        <w:t>reakcie</w:t>
      </w:r>
      <w:r w:rsidR="00806BD9" w:rsidRPr="005713B4">
        <w:rPr>
          <w:rFonts w:ascii="Times New Roman" w:hAnsi="Times New Roman"/>
          <w:lang w:val="pt-BR"/>
        </w:rPr>
        <w:t xml:space="preserve"> </w:t>
      </w:r>
      <w:r w:rsidRPr="005713B4">
        <w:rPr>
          <w:rFonts w:ascii="Times New Roman" w:hAnsi="Times New Roman"/>
          <w:lang w:val="pt-BR"/>
        </w:rPr>
        <w:t>hlásené u pacientov liečených memantínom.</w:t>
      </w:r>
    </w:p>
    <w:p w14:paraId="299F1D4D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5833EEFC" w14:textId="77777777" w:rsidR="00EE7539" w:rsidRPr="005713B4" w:rsidRDefault="00EE7539" w:rsidP="00051D22">
      <w:pPr>
        <w:spacing w:after="0" w:line="240" w:lineRule="auto"/>
        <w:ind w:right="693"/>
        <w:rPr>
          <w:rFonts w:ascii="Times New Roman" w:hAnsi="Times New Roman"/>
          <w:u w:val="single"/>
          <w:lang w:val="pt-BR"/>
        </w:rPr>
      </w:pPr>
      <w:r w:rsidRPr="005713B4">
        <w:rPr>
          <w:rFonts w:ascii="Times New Roman" w:hAnsi="Times New Roman"/>
          <w:u w:val="single"/>
          <w:lang w:val="pt-BR"/>
        </w:rPr>
        <w:t>Hlásenie podozrení na nežiaduce reakcie</w:t>
      </w:r>
    </w:p>
    <w:p w14:paraId="5B64157C" w14:textId="7C1192BE" w:rsidR="00EE7539" w:rsidRPr="00A632BF" w:rsidRDefault="00EE7539" w:rsidP="003B251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0"/>
          <w:lang w:val="sk-SK" w:eastAsia="sk-SK" w:bidi="my-MM"/>
        </w:rPr>
      </w:pPr>
      <w:r w:rsidRPr="005713B4">
        <w:rPr>
          <w:rFonts w:ascii="Times New Roman" w:hAnsi="Times New Roman"/>
          <w:lang w:val="pt-BR"/>
        </w:rPr>
        <w:t>Hlásenie podozrení na nežiaduce reakcie po registrácii lieku je dôležité. Umožňuje priebežné monitorovanie pomeru prínosu a</w:t>
      </w:r>
      <w:r w:rsidRPr="0050247A">
        <w:rPr>
          <w:rFonts w:ascii="Times New Roman" w:hAnsi="Times New Roman"/>
          <w:lang w:val="pt-BR"/>
        </w:rPr>
        <w:t> </w:t>
      </w:r>
      <w:r w:rsidRPr="005713B4">
        <w:rPr>
          <w:rFonts w:ascii="Times New Roman" w:hAnsi="Times New Roman"/>
          <w:lang w:val="pt-BR"/>
        </w:rPr>
        <w:t xml:space="preserve">rizika lieku. Od zdravotníckych pracovníkov sa vyžaduje, aby hlásili akékoľvek podozrenia na nežiaduce reakcie </w:t>
      </w:r>
      <w:r w:rsidR="00164BC1">
        <w:rPr>
          <w:rFonts w:ascii="Times New Roman" w:hAnsi="Times New Roman"/>
          <w:lang w:val="pt-BR"/>
        </w:rPr>
        <w:t>na</w:t>
      </w:r>
      <w:r w:rsidR="00164BC1" w:rsidRPr="000847A1">
        <w:rPr>
          <w:rFonts w:ascii="Times New Roman" w:hAnsi="Times New Roman"/>
          <w:highlight w:val="lightGray"/>
          <w:lang w:val="pt-BR"/>
        </w:rPr>
        <w:t xml:space="preserve"> </w:t>
      </w:r>
      <w:r w:rsidRPr="000847A1">
        <w:rPr>
          <w:rFonts w:ascii="TimesNewRomanPSMT" w:hAnsi="TimesNewRomanPSMT" w:cs="TimesNewRomanPSMT"/>
          <w:szCs w:val="20"/>
          <w:highlight w:val="lightGray"/>
          <w:lang w:val="sk-SK" w:eastAsia="sk-SK" w:bidi="my-MM"/>
        </w:rPr>
        <w:t xml:space="preserve">národné </w:t>
      </w:r>
      <w:r w:rsidR="00164BC1">
        <w:rPr>
          <w:rFonts w:ascii="TimesNewRomanPSMT" w:hAnsi="TimesNewRomanPSMT" w:cs="TimesNewRomanPSMT"/>
          <w:szCs w:val="20"/>
          <w:highlight w:val="lightGray"/>
          <w:lang w:val="sk-SK" w:eastAsia="sk-SK" w:bidi="my-MM"/>
        </w:rPr>
        <w:t>centrum</w:t>
      </w:r>
      <w:r w:rsidR="00164BC1" w:rsidRPr="000847A1">
        <w:rPr>
          <w:rFonts w:ascii="TimesNewRomanPSMT" w:hAnsi="TimesNewRomanPSMT" w:cs="TimesNewRomanPSMT"/>
          <w:szCs w:val="20"/>
          <w:highlight w:val="lightGray"/>
          <w:lang w:val="sk-SK" w:eastAsia="sk-SK" w:bidi="my-MM"/>
        </w:rPr>
        <w:t xml:space="preserve"> </w:t>
      </w:r>
      <w:r w:rsidRPr="000847A1">
        <w:rPr>
          <w:rFonts w:ascii="TimesNewRomanPSMT" w:hAnsi="TimesNewRomanPSMT" w:cs="TimesNewRomanPSMT"/>
          <w:szCs w:val="20"/>
          <w:highlight w:val="lightGray"/>
          <w:lang w:val="sk-SK" w:eastAsia="sk-SK" w:bidi="my-MM"/>
        </w:rPr>
        <w:t>hlásenia uvedené v </w:t>
      </w:r>
      <w:hyperlink r:id="rId7" w:history="1">
        <w:r w:rsidRPr="000847A1">
          <w:rPr>
            <w:rFonts w:ascii="TimesNewRomanPSMT" w:hAnsi="TimesNewRomanPSMT" w:cs="TimesNewRomanPSMT"/>
            <w:szCs w:val="20"/>
            <w:highlight w:val="lightGray"/>
            <w:lang w:val="sk-SK" w:eastAsia="sk-SK" w:bidi="my-MM"/>
          </w:rPr>
          <w:t>Prílohe V</w:t>
        </w:r>
      </w:hyperlink>
      <w:r w:rsidRPr="00A632BF">
        <w:rPr>
          <w:rFonts w:ascii="TimesNewRomanPSMT" w:hAnsi="TimesNewRomanPSMT" w:cs="TimesNewRomanPSMT"/>
          <w:szCs w:val="20"/>
          <w:lang w:val="sk-SK" w:eastAsia="sk-SK" w:bidi="my-MM"/>
        </w:rPr>
        <w:t>.</w:t>
      </w:r>
    </w:p>
    <w:p w14:paraId="29990B04" w14:textId="77777777" w:rsidR="00EE7539" w:rsidRPr="005713B4" w:rsidRDefault="00EE7539" w:rsidP="005A3557">
      <w:pPr>
        <w:spacing w:after="0" w:line="240" w:lineRule="auto"/>
        <w:rPr>
          <w:rFonts w:ascii="Times New Roman" w:hAnsi="Times New Roman"/>
          <w:lang w:val="pt-BR"/>
        </w:rPr>
      </w:pPr>
    </w:p>
    <w:p w14:paraId="6F48718A" w14:textId="77777777" w:rsidR="00EE7539" w:rsidRPr="00B80AD7" w:rsidRDefault="00EE7539" w:rsidP="005A3557">
      <w:pPr>
        <w:tabs>
          <w:tab w:val="left" w:pos="780"/>
        </w:tabs>
        <w:spacing w:after="0" w:line="240" w:lineRule="auto"/>
        <w:ind w:right="-20"/>
        <w:rPr>
          <w:rFonts w:ascii="Times New Roman" w:hAnsi="Times New Roman"/>
          <w:lang w:val="pt-BR"/>
        </w:rPr>
      </w:pPr>
      <w:r w:rsidRPr="00B80AD7">
        <w:rPr>
          <w:rFonts w:ascii="Times New Roman" w:hAnsi="Times New Roman"/>
          <w:b/>
          <w:bCs/>
          <w:lang w:val="pt-BR"/>
        </w:rPr>
        <w:t>4.9</w:t>
      </w:r>
      <w:r w:rsidRPr="00B80AD7">
        <w:rPr>
          <w:rFonts w:ascii="Times New Roman" w:hAnsi="Times New Roman"/>
          <w:b/>
          <w:bCs/>
          <w:lang w:val="pt-BR"/>
        </w:rPr>
        <w:tab/>
        <w:t>Predávkovanie</w:t>
      </w:r>
    </w:p>
    <w:p w14:paraId="4938BA36" w14:textId="77777777" w:rsidR="00EE7539" w:rsidRPr="00B80AD7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204C85DB" w14:textId="77777777" w:rsidR="00EE7539" w:rsidRPr="00B80AD7" w:rsidRDefault="00EE7539" w:rsidP="00B01281">
      <w:pPr>
        <w:spacing w:after="0" w:line="240" w:lineRule="auto"/>
        <w:ind w:right="1533"/>
        <w:rPr>
          <w:rFonts w:ascii="Times New Roman" w:hAnsi="Times New Roman"/>
          <w:lang w:val="pt-BR"/>
        </w:rPr>
      </w:pPr>
      <w:r w:rsidRPr="00B80AD7">
        <w:rPr>
          <w:rFonts w:ascii="Times New Roman" w:hAnsi="Times New Roman"/>
          <w:lang w:val="pt-BR"/>
        </w:rPr>
        <w:t>Z klinických štúdií a post-marketingového sledovania sú dostupné len obmedzené skúsenosti s predávkovaním.</w:t>
      </w:r>
    </w:p>
    <w:p w14:paraId="32B7ED0A" w14:textId="77777777" w:rsidR="00EE7539" w:rsidRPr="00B80AD7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550D613D" w14:textId="49377E48" w:rsidR="00164BC1" w:rsidRDefault="00EE7539" w:rsidP="00B01281">
      <w:pPr>
        <w:spacing w:after="0" w:line="240" w:lineRule="auto"/>
        <w:ind w:right="49"/>
        <w:rPr>
          <w:rFonts w:ascii="Times New Roman" w:hAnsi="Times New Roman"/>
          <w:lang w:val="pt-BR"/>
        </w:rPr>
      </w:pPr>
      <w:r w:rsidRPr="00AA61BF">
        <w:rPr>
          <w:rFonts w:ascii="Times New Roman" w:hAnsi="Times New Roman"/>
          <w:u w:val="single"/>
          <w:lang w:val="pt-BR"/>
        </w:rPr>
        <w:t>Symptómy</w:t>
      </w:r>
    </w:p>
    <w:p w14:paraId="7D583B5F" w14:textId="70F4625A" w:rsidR="00EE7539" w:rsidRPr="00B80AD7" w:rsidRDefault="00EE7539" w:rsidP="00B01281">
      <w:pPr>
        <w:spacing w:after="0" w:line="240" w:lineRule="auto"/>
        <w:ind w:right="49"/>
        <w:rPr>
          <w:rFonts w:ascii="Times New Roman" w:hAnsi="Times New Roman"/>
          <w:lang w:val="pt-BR"/>
        </w:rPr>
      </w:pPr>
      <w:r w:rsidRPr="00B80AD7">
        <w:rPr>
          <w:rFonts w:ascii="Times New Roman" w:hAnsi="Times New Roman"/>
          <w:lang w:val="pt-BR"/>
        </w:rPr>
        <w:t xml:space="preserve">Pomerne široký interval predávkovania (od 200 mg do 105 mg/deň počas 3 dní, jednotlivo) je spojený buď s príznakmi ako sú únava, slabosť a/alebo hnačka, alebo so žiadnymi príznakmi. V prípadoch predávkovania nižšími dávkami ako 140 mg dávkou alebo neznámou dávkou sa u pacienta prejavili príznaky ovplyvnenia centrálneho nervového systému (zmätenosť, ospanlivosť, somnolencia, závrat, </w:t>
      </w:r>
      <w:r w:rsidR="001364B5">
        <w:rPr>
          <w:rFonts w:ascii="Times New Roman" w:hAnsi="Times New Roman"/>
          <w:lang w:val="pt-BR"/>
        </w:rPr>
        <w:t>agitácia</w:t>
      </w:r>
      <w:r w:rsidRPr="00B80AD7">
        <w:rPr>
          <w:rFonts w:ascii="Times New Roman" w:hAnsi="Times New Roman"/>
          <w:lang w:val="pt-BR"/>
        </w:rPr>
        <w:t>, agresivita, halucinácie a poruchy chôdze) a/alebo ťažkosti gastrointestinálneho pôvodu (vracanie a hnačka).</w:t>
      </w:r>
    </w:p>
    <w:p w14:paraId="3CEAA007" w14:textId="77777777" w:rsidR="00EE7539" w:rsidRPr="00B80AD7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1009F168" w14:textId="6A6DFA7F" w:rsidR="00EE7539" w:rsidRPr="00B80AD7" w:rsidRDefault="00EE7539" w:rsidP="00335CF7">
      <w:pPr>
        <w:spacing w:after="0" w:line="240" w:lineRule="auto"/>
        <w:ind w:right="166"/>
        <w:rPr>
          <w:rFonts w:ascii="Times New Roman" w:hAnsi="Times New Roman"/>
          <w:lang w:val="pt-BR"/>
        </w:rPr>
      </w:pPr>
      <w:r w:rsidRPr="00B80AD7">
        <w:rPr>
          <w:rFonts w:ascii="Times New Roman" w:hAnsi="Times New Roman"/>
          <w:lang w:val="pt-BR"/>
        </w:rPr>
        <w:t>Vo veľmi extrémnom prípade predávkovania, pacient prežil perorálne užitú dávku v celkovom množstve 2000 mg memantínu s účinkami na centrálny nervový systém (kóma počas 10 dní a neskôr diplopia a nepokoj). Pacientovi bola podaná symptomatická liečba a plazmaferéza. Pacient sa zotavil bez trvalých následkov.</w:t>
      </w:r>
    </w:p>
    <w:p w14:paraId="687ED37C" w14:textId="77777777" w:rsidR="00EE7539" w:rsidRPr="00B80AD7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6484186E" w14:textId="7E8790E5" w:rsidR="00EE7539" w:rsidRPr="005713B4" w:rsidRDefault="00EE7539" w:rsidP="00B01281">
      <w:pPr>
        <w:spacing w:after="0" w:line="240" w:lineRule="auto"/>
        <w:ind w:right="83"/>
        <w:rPr>
          <w:rFonts w:ascii="Times New Roman" w:hAnsi="Times New Roman"/>
          <w:lang w:val="sk-SK"/>
        </w:rPr>
      </w:pPr>
      <w:r w:rsidRPr="005713B4">
        <w:rPr>
          <w:rFonts w:ascii="Times New Roman" w:hAnsi="Times New Roman"/>
          <w:lang w:val="pt-BR"/>
        </w:rPr>
        <w:t>V inom prípade značného predávkovania pacient taktiež prežil a zotavil sa.</w:t>
      </w:r>
      <w:r w:rsidRPr="000755CA">
        <w:rPr>
          <w:rFonts w:ascii="Times New Roman" w:hAnsi="Times New Roman"/>
          <w:lang w:val="sk-SK" w:eastAsia="sk-SK"/>
        </w:rPr>
        <w:t xml:space="preserve"> </w:t>
      </w:r>
      <w:r w:rsidRPr="009A32A9">
        <w:rPr>
          <w:rFonts w:ascii="Times New Roman" w:hAnsi="Times New Roman"/>
          <w:lang w:val="sk-SK" w:eastAsia="sk-SK"/>
        </w:rPr>
        <w:t>P</w:t>
      </w:r>
      <w:r>
        <w:rPr>
          <w:rFonts w:ascii="Times New Roman" w:hAnsi="Times New Roman"/>
          <w:lang w:val="sk-SK" w:eastAsia="sk-SK"/>
        </w:rPr>
        <w:t xml:space="preserve">acient perorálne užil </w:t>
      </w:r>
      <w:r w:rsidRPr="009A32A9">
        <w:rPr>
          <w:rFonts w:ascii="Times New Roman" w:hAnsi="Times New Roman"/>
          <w:lang w:val="sk-SK" w:eastAsia="sk-SK"/>
        </w:rPr>
        <w:t xml:space="preserve">400 mg </w:t>
      </w:r>
      <w:r>
        <w:rPr>
          <w:rFonts w:ascii="Times New Roman" w:hAnsi="Times New Roman"/>
          <w:lang w:val="sk-SK" w:eastAsia="sk-SK"/>
        </w:rPr>
        <w:t>memantínu. U</w:t>
      </w:r>
      <w:r w:rsidRPr="005713B4">
        <w:rPr>
          <w:rFonts w:ascii="Times New Roman" w:hAnsi="Times New Roman"/>
          <w:lang w:val="sk-SK"/>
        </w:rPr>
        <w:t xml:space="preserve"> pacienta sa prejavili príznaky centrálneho nervového systému, ako je nepokoj, psychóza, zrakové halucinácie, </w:t>
      </w:r>
      <w:r w:rsidR="00AB6C2C">
        <w:rPr>
          <w:rFonts w:ascii="Times New Roman" w:hAnsi="Times New Roman"/>
          <w:lang w:val="sk-SK"/>
        </w:rPr>
        <w:t>prokonvulzívne pôsobenie</w:t>
      </w:r>
      <w:r w:rsidRPr="005713B4">
        <w:rPr>
          <w:rFonts w:ascii="Times New Roman" w:hAnsi="Times New Roman"/>
          <w:lang w:val="sk-SK"/>
        </w:rPr>
        <w:t>, ospalosť, stupor a bezvedomie.</w:t>
      </w:r>
    </w:p>
    <w:p w14:paraId="3AAA32BE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2E696363" w14:textId="31CEA13F" w:rsidR="004A445D" w:rsidRPr="00AA61BF" w:rsidRDefault="00EE7539" w:rsidP="00B01281">
      <w:pPr>
        <w:spacing w:after="0" w:line="240" w:lineRule="auto"/>
        <w:ind w:right="232"/>
        <w:rPr>
          <w:rFonts w:ascii="Times New Roman" w:hAnsi="Times New Roman"/>
          <w:u w:val="single"/>
          <w:lang w:val="sk-SK"/>
        </w:rPr>
      </w:pPr>
      <w:r w:rsidRPr="00AA61BF">
        <w:rPr>
          <w:rFonts w:ascii="Times New Roman" w:hAnsi="Times New Roman"/>
          <w:u w:val="single"/>
          <w:lang w:val="sk-SK"/>
        </w:rPr>
        <w:t>Liečba</w:t>
      </w:r>
    </w:p>
    <w:p w14:paraId="1C16A7EE" w14:textId="77777777" w:rsidR="00EE7539" w:rsidRPr="005713B4" w:rsidRDefault="00EE7539" w:rsidP="00B01281">
      <w:pPr>
        <w:spacing w:after="0" w:line="240" w:lineRule="auto"/>
        <w:ind w:right="232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sk-SK"/>
        </w:rPr>
        <w:t xml:space="preserve">V prípade predávkovania má byť liečba symptomatická. </w:t>
      </w:r>
      <w:r w:rsidRPr="005713B4">
        <w:rPr>
          <w:rFonts w:ascii="Times New Roman" w:hAnsi="Times New Roman"/>
          <w:lang w:val="pt-BR"/>
        </w:rPr>
        <w:t>Nie je dostupné žiadne špecifické antidotum pri intoxikácii alebo pri predávkovaní. Štandardné klinické postupy na odstránenie liečiva z tela, napr. výplach žalúdka, čierne uhlie (prerušenie možného entero- hepatálneho obehu), acidifikácia moču; nútená diuréza má byť používaná primerane .</w:t>
      </w:r>
    </w:p>
    <w:p w14:paraId="2C351C92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0C95CEFB" w14:textId="77777777" w:rsidR="00EE7539" w:rsidRPr="005713B4" w:rsidRDefault="00EE7539" w:rsidP="00B01281">
      <w:pPr>
        <w:spacing w:after="0" w:line="240" w:lineRule="auto"/>
        <w:ind w:right="-20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pt-BR"/>
        </w:rPr>
        <w:t>V prípade náznakov a symptómov nadmernej celkovej stimulácie centrálneho nervového systému (CNS), sa má starostlivo zvážiť symptomatická klinická liečba.</w:t>
      </w:r>
    </w:p>
    <w:p w14:paraId="6A3220AA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201BFD6A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6CD5954F" w14:textId="77777777" w:rsidR="00EE7539" w:rsidRPr="005713B4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b/>
          <w:bCs/>
          <w:lang w:val="pt-BR"/>
        </w:rPr>
        <w:t>5.</w:t>
      </w:r>
      <w:r w:rsidRPr="0050247A">
        <w:rPr>
          <w:rFonts w:ascii="Times New Roman" w:hAnsi="Times New Roman"/>
          <w:b/>
          <w:bCs/>
          <w:lang w:val="pt-BR"/>
        </w:rPr>
        <w:tab/>
      </w:r>
      <w:r w:rsidRPr="005713B4">
        <w:rPr>
          <w:rFonts w:ascii="Times New Roman" w:hAnsi="Times New Roman"/>
          <w:b/>
          <w:bCs/>
          <w:lang w:val="pt-BR"/>
        </w:rPr>
        <w:t>FARMAKOLOGICKÉ VLASTNOSTI</w:t>
      </w:r>
    </w:p>
    <w:p w14:paraId="58CDF4AE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70309026" w14:textId="77777777" w:rsidR="00EE7539" w:rsidRPr="005713B4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b/>
          <w:bCs/>
          <w:lang w:val="pt-BR"/>
        </w:rPr>
        <w:t>5.1</w:t>
      </w:r>
      <w:r w:rsidRPr="0050247A">
        <w:rPr>
          <w:rFonts w:ascii="Times New Roman" w:hAnsi="Times New Roman"/>
          <w:b/>
          <w:bCs/>
          <w:lang w:val="pt-BR"/>
        </w:rPr>
        <w:tab/>
      </w:r>
      <w:r w:rsidRPr="005713B4">
        <w:rPr>
          <w:rFonts w:ascii="Times New Roman" w:hAnsi="Times New Roman"/>
          <w:b/>
          <w:bCs/>
          <w:lang w:val="pt-BR"/>
        </w:rPr>
        <w:t>Farmakodynamické vlastnosti</w:t>
      </w:r>
    </w:p>
    <w:p w14:paraId="1216F2F3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1573128C" w14:textId="5F0CB1B2" w:rsidR="00AB6C2C" w:rsidRDefault="00EE7539" w:rsidP="00B01281">
      <w:pPr>
        <w:spacing w:after="0" w:line="240" w:lineRule="auto"/>
        <w:ind w:right="-20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pt-BR"/>
        </w:rPr>
        <w:t xml:space="preserve">Farmakoterapeutická skupina: </w:t>
      </w:r>
      <w:r>
        <w:rPr>
          <w:rFonts w:ascii="Times New Roman" w:hAnsi="Times New Roman"/>
          <w:lang w:val="sk-SK" w:eastAsia="sk-SK"/>
        </w:rPr>
        <w:t>Psychoanaleptiká</w:t>
      </w:r>
      <w:r w:rsidRPr="005713B4">
        <w:rPr>
          <w:rFonts w:ascii="Times New Roman" w:hAnsi="Times New Roman"/>
          <w:lang w:val="pt-BR"/>
        </w:rPr>
        <w:t>; Iné lieky proti demencii</w:t>
      </w:r>
    </w:p>
    <w:p w14:paraId="7A9B3629" w14:textId="77777777" w:rsidR="00EE7539" w:rsidRPr="005713B4" w:rsidRDefault="00EE7539" w:rsidP="00B01281">
      <w:pPr>
        <w:spacing w:after="0" w:line="240" w:lineRule="auto"/>
        <w:ind w:right="-20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pt-BR"/>
        </w:rPr>
        <w:lastRenderedPageBreak/>
        <w:t>ATC kód: N06DX01.</w:t>
      </w:r>
    </w:p>
    <w:p w14:paraId="2F79B0AA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6A7B47A4" w14:textId="0509E245" w:rsidR="00EE7539" w:rsidRPr="005713B4" w:rsidRDefault="00EE7539" w:rsidP="00B01281">
      <w:pPr>
        <w:spacing w:after="0" w:line="240" w:lineRule="auto"/>
        <w:ind w:right="177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pt-BR"/>
        </w:rPr>
        <w:t>Vzrastá množstvo dôkazov o tom, že porušená funkcia glutamátergickej neurotransmisie, najmä na NMDA-receptoroch, sa podieľa na vzniku príznakov aj na progresii ochorenia neurodegeneratívnej demencie.</w:t>
      </w:r>
    </w:p>
    <w:p w14:paraId="16784F46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2085EB1A" w14:textId="77777777" w:rsidR="00EE7539" w:rsidRPr="005713B4" w:rsidRDefault="00EE7539" w:rsidP="00B01281">
      <w:pPr>
        <w:spacing w:after="0" w:line="240" w:lineRule="auto"/>
        <w:ind w:right="56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pt-BR"/>
        </w:rPr>
        <w:t>Memantín je na napätí závislý, nekompetitívny antagonista NMDA receptorov strednej afinity. Zmierňuje účinky patologicky zvýšených tonických hladín glutamátu, ktoré môžu viesť k neuronálnej dysfunkcii.</w:t>
      </w:r>
    </w:p>
    <w:p w14:paraId="4C99008A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24B67B89" w14:textId="673A140E" w:rsidR="00EE7539" w:rsidRPr="00AA61BF" w:rsidRDefault="00EE7539" w:rsidP="00B01281">
      <w:pPr>
        <w:spacing w:after="0" w:line="240" w:lineRule="auto"/>
        <w:ind w:right="-20"/>
        <w:rPr>
          <w:rFonts w:ascii="Times New Roman" w:hAnsi="Times New Roman"/>
          <w:u w:val="single"/>
          <w:lang w:val="pt-BR"/>
        </w:rPr>
      </w:pPr>
      <w:r w:rsidRPr="00AA61BF">
        <w:rPr>
          <w:rFonts w:ascii="Times New Roman" w:hAnsi="Times New Roman"/>
          <w:u w:val="single"/>
          <w:lang w:val="pt-BR"/>
        </w:rPr>
        <w:t>Klinické štúdie</w:t>
      </w:r>
    </w:p>
    <w:p w14:paraId="07AE029A" w14:textId="3A20569F" w:rsidR="00EE7539" w:rsidRPr="006B2008" w:rsidRDefault="00EE7539" w:rsidP="00B01281">
      <w:pPr>
        <w:spacing w:after="0" w:line="240" w:lineRule="auto"/>
        <w:ind w:right="145"/>
        <w:rPr>
          <w:rFonts w:ascii="Times New Roman" w:hAnsi="Times New Roman"/>
        </w:rPr>
      </w:pPr>
      <w:r w:rsidRPr="005713B4">
        <w:rPr>
          <w:rFonts w:ascii="Times New Roman" w:hAnsi="Times New Roman"/>
          <w:lang w:val="pt-BR"/>
        </w:rPr>
        <w:t xml:space="preserve">Pivotná monoterapeutická štúdia v populácii pacientov trpiacich Alzheimerovou chorobou stredného až </w:t>
      </w:r>
      <w:r w:rsidR="00D636CD">
        <w:rPr>
          <w:rFonts w:ascii="Times New Roman" w:hAnsi="Times New Roman"/>
          <w:lang w:val="pt-BR"/>
        </w:rPr>
        <w:t>závažného</w:t>
      </w:r>
      <w:r w:rsidR="00D636CD" w:rsidRPr="005713B4">
        <w:rPr>
          <w:rFonts w:ascii="Times New Roman" w:hAnsi="Times New Roman"/>
          <w:lang w:val="pt-BR"/>
        </w:rPr>
        <w:t xml:space="preserve"> </w:t>
      </w:r>
      <w:r w:rsidRPr="005713B4">
        <w:rPr>
          <w:rFonts w:ascii="Times New Roman" w:hAnsi="Times New Roman"/>
          <w:lang w:val="pt-BR"/>
        </w:rPr>
        <w:t>stupňa (celkové skóre MMSE (</w:t>
      </w:r>
      <w:r w:rsidRPr="00E676BF">
        <w:rPr>
          <w:rFonts w:ascii="Times New Roman" w:hAnsi="Times New Roman"/>
          <w:lang w:val="sk-SK" w:eastAsia="sk-SK"/>
        </w:rPr>
        <w:t>skóre mini mental state examination</w:t>
      </w:r>
      <w:r>
        <w:rPr>
          <w:rFonts w:ascii="Times New Roman" w:hAnsi="Times New Roman"/>
          <w:lang w:val="sk-SK" w:eastAsia="sk-SK"/>
        </w:rPr>
        <w:t>)</w:t>
      </w:r>
      <w:r w:rsidRPr="005713B4">
        <w:rPr>
          <w:rFonts w:ascii="Times New Roman" w:hAnsi="Times New Roman"/>
          <w:lang w:val="pt-BR"/>
        </w:rPr>
        <w:t xml:space="preserve"> na začiatku liečby 3 </w:t>
      </w:r>
      <w:r w:rsidRPr="0050247A">
        <w:rPr>
          <w:rFonts w:ascii="Times New Roman" w:hAnsi="Times New Roman"/>
          <w:lang w:val="pt-BR"/>
        </w:rPr>
        <w:t>–</w:t>
      </w:r>
      <w:r w:rsidRPr="005713B4">
        <w:rPr>
          <w:rFonts w:ascii="Times New Roman" w:hAnsi="Times New Roman"/>
          <w:lang w:val="pt-BR"/>
        </w:rPr>
        <w:t xml:space="preserve"> 14) zahŕňala 252 ambulantne liečených pacientov. </w:t>
      </w:r>
      <w:r w:rsidRPr="00005378">
        <w:rPr>
          <w:rFonts w:ascii="Times New Roman" w:hAnsi="Times New Roman"/>
          <w:lang w:val="sk-SK"/>
        </w:rPr>
        <w:t xml:space="preserve">Štúdia preukázala priaznivý účinok liečby memantínom v porovnaní s placebom po 6-tich mesiacoch (analýza pozorovaných prípadov - významnosť rozdielov pre CIBIC-plus </w:t>
      </w:r>
      <w:r>
        <w:rPr>
          <w:rFonts w:ascii="Times New Roman" w:hAnsi="Times New Roman"/>
        </w:rPr>
        <w:t>(</w:t>
      </w:r>
      <w:r w:rsidRPr="00E676BF">
        <w:rPr>
          <w:rFonts w:ascii="Times New Roman" w:hAnsi="Times New Roman"/>
          <w:lang w:val="sk-SK" w:eastAsia="sk-SK"/>
        </w:rPr>
        <w:t>the clinician´s interview based impression of</w:t>
      </w:r>
      <w:r>
        <w:rPr>
          <w:rFonts w:ascii="Times New Roman" w:hAnsi="Times New Roman"/>
          <w:lang w:val="sk-SK" w:eastAsia="sk-SK"/>
        </w:rPr>
        <w:t xml:space="preserve"> </w:t>
      </w:r>
      <w:r w:rsidRPr="00E676BF">
        <w:rPr>
          <w:rFonts w:ascii="Times New Roman" w:hAnsi="Times New Roman"/>
          <w:lang w:val="sk-SK" w:eastAsia="sk-SK"/>
        </w:rPr>
        <w:t>change)</w:t>
      </w:r>
      <w:r w:rsidRPr="006B2008">
        <w:rPr>
          <w:rFonts w:ascii="Times New Roman" w:hAnsi="Times New Roman"/>
        </w:rPr>
        <w:t>: p=0,025; pre ADCS-ADLsev</w:t>
      </w:r>
      <w:r>
        <w:rPr>
          <w:rFonts w:ascii="Times New Roman" w:hAnsi="Times New Roman"/>
        </w:rPr>
        <w:t xml:space="preserve"> (</w:t>
      </w:r>
      <w:r w:rsidRPr="00E676BF">
        <w:rPr>
          <w:rFonts w:ascii="Times New Roman" w:hAnsi="Times New Roman"/>
          <w:lang w:val="sk-SK" w:eastAsia="sk-SK"/>
        </w:rPr>
        <w:t>Alzheimer´s disease cooperative study – activities of daily</w:t>
      </w:r>
      <w:r>
        <w:rPr>
          <w:rFonts w:ascii="Times New Roman" w:hAnsi="Times New Roman"/>
          <w:lang w:val="sk-SK" w:eastAsia="sk-SK"/>
        </w:rPr>
        <w:t xml:space="preserve"> </w:t>
      </w:r>
      <w:r w:rsidRPr="00E676BF">
        <w:rPr>
          <w:rFonts w:ascii="Times New Roman" w:hAnsi="Times New Roman"/>
          <w:lang w:val="sk-SK" w:eastAsia="sk-SK"/>
        </w:rPr>
        <w:t>living)</w:t>
      </w:r>
      <w:r w:rsidRPr="006B2008">
        <w:rPr>
          <w:rFonts w:ascii="Times New Roman" w:hAnsi="Times New Roman"/>
        </w:rPr>
        <w:t>: p=0,003; pre SIB</w:t>
      </w:r>
      <w:r>
        <w:rPr>
          <w:rFonts w:ascii="Times New Roman" w:hAnsi="Times New Roman"/>
        </w:rPr>
        <w:t xml:space="preserve"> </w:t>
      </w:r>
      <w:r w:rsidRPr="00E676BF">
        <w:rPr>
          <w:rFonts w:ascii="Times New Roman" w:hAnsi="Times New Roman"/>
          <w:lang w:val="sk-SK" w:eastAsia="sk-SK"/>
        </w:rPr>
        <w:t>(severe impairment battery)</w:t>
      </w:r>
      <w:r w:rsidRPr="006B2008">
        <w:rPr>
          <w:rFonts w:ascii="Times New Roman" w:hAnsi="Times New Roman"/>
        </w:rPr>
        <w:t>: p=0,002).</w:t>
      </w:r>
    </w:p>
    <w:p w14:paraId="39A67A87" w14:textId="77777777" w:rsidR="00EE7539" w:rsidRPr="006B2008" w:rsidRDefault="00EE7539" w:rsidP="00B01281">
      <w:pPr>
        <w:spacing w:after="0" w:line="240" w:lineRule="auto"/>
        <w:rPr>
          <w:rFonts w:ascii="Times New Roman" w:hAnsi="Times New Roman"/>
        </w:rPr>
      </w:pPr>
    </w:p>
    <w:p w14:paraId="42B769CE" w14:textId="77777777" w:rsidR="00EE7539" w:rsidRPr="00005378" w:rsidRDefault="00EE7539" w:rsidP="00DD383F">
      <w:pPr>
        <w:spacing w:after="0" w:line="240" w:lineRule="auto"/>
        <w:ind w:right="95" w:firstLine="1"/>
        <w:rPr>
          <w:rFonts w:ascii="Times New Roman" w:hAnsi="Times New Roman"/>
          <w:lang w:val="sk-SK"/>
        </w:rPr>
      </w:pPr>
      <w:r w:rsidRPr="00005378">
        <w:rPr>
          <w:rFonts w:ascii="Times New Roman" w:hAnsi="Times New Roman"/>
          <w:lang w:val="sk-SK"/>
        </w:rPr>
        <w:t>Pivotná štúdia s memantínom v monoterapii v liečbe Alzheimerovej choroby mierneho až stredného stupňa (celkové skóre MMSE na začiatku liečby 10 – 22) zahŕňala 403 pacientov. U pacientov liečených memantínom bol pozorovaný štatisticky signifikantne lepší účinok v porovnaní s pacientmi, ktorým bolo podávané placebo, v primárnych ukazovateľoch v 24. týždni</w:t>
      </w:r>
      <w:r w:rsidR="00D636CD">
        <w:rPr>
          <w:rFonts w:ascii="Times New Roman" w:hAnsi="Times New Roman"/>
          <w:lang w:val="sk-SK"/>
        </w:rPr>
        <w:t>,</w:t>
      </w:r>
      <w:r w:rsidRPr="00005378">
        <w:rPr>
          <w:rFonts w:ascii="Times New Roman" w:hAnsi="Times New Roman"/>
          <w:lang w:val="sk-SK"/>
        </w:rPr>
        <w:t xml:space="preserve"> prevodom hodnôt z posledného dokumentovaného vyšetrenia (analýza LOCF): </w:t>
      </w:r>
      <w:r w:rsidRPr="00BF30E3">
        <w:rPr>
          <w:rFonts w:ascii="Times New Roman" w:hAnsi="Times New Roman"/>
          <w:lang w:val="sk-SK" w:eastAsia="sk-SK"/>
        </w:rPr>
        <w:t>Alzheimer´s disease assessment scale</w:t>
      </w:r>
      <w:r w:rsidRPr="00005378">
        <w:rPr>
          <w:rFonts w:ascii="Times New Roman" w:hAnsi="Times New Roman"/>
          <w:lang w:val="sk-SK"/>
        </w:rPr>
        <w:t xml:space="preserve"> ADAS-cog (p=0,003) a CIBIC-plus (p=0,004). V ďalšej monoterapeutickej štúdii v liečbe Alzheimerovej choroby mierneho až stredného stupňa bolo randomizovaných celkovo 470 pacientov (celkové skóre MMSE na začiatku liečby 11-23). V prospektívne definovanej primárnej analýze nebola dosiahnutá štatistická významnosť v primárnom ukazovateli účinnosti v 24. týždni.</w:t>
      </w:r>
    </w:p>
    <w:p w14:paraId="1162D8BC" w14:textId="77777777" w:rsidR="00EE7539" w:rsidRPr="00005378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1821500F" w14:textId="05A7DD12" w:rsidR="00EE7539" w:rsidRPr="00005378" w:rsidRDefault="00EE7539" w:rsidP="00DD383F">
      <w:pPr>
        <w:spacing w:after="0" w:line="240" w:lineRule="auto"/>
        <w:ind w:right="572"/>
        <w:rPr>
          <w:rFonts w:ascii="Times New Roman" w:hAnsi="Times New Roman"/>
          <w:lang w:val="sk-SK"/>
        </w:rPr>
      </w:pPr>
      <w:r w:rsidRPr="00005378">
        <w:rPr>
          <w:rFonts w:ascii="Times New Roman" w:hAnsi="Times New Roman"/>
          <w:lang w:val="sk-SK"/>
        </w:rPr>
        <w:t xml:space="preserve">Meta-analýza pacientov s Alzheimerovou chorobou stredného až ťažkého stupňa (celkové skóre MMSE &lt; 20) zo šiestich, placebom kontrolovaných, 6-mesačných klinických štúdií vo fáze III. (vrátane monoterapeutických štúdií a štúdií s pacientmi na ustálenej dávke inihibítorov </w:t>
      </w:r>
      <w:r w:rsidRPr="0017050B">
        <w:rPr>
          <w:rFonts w:ascii="Times New Roman" w:hAnsi="Times New Roman"/>
          <w:lang w:val="sk-SK"/>
        </w:rPr>
        <w:t>acetylchol</w:t>
      </w:r>
      <w:r w:rsidR="001266E3" w:rsidRPr="0017050B">
        <w:rPr>
          <w:rFonts w:ascii="Times New Roman" w:hAnsi="Times New Roman"/>
          <w:lang w:val="sk-SK"/>
        </w:rPr>
        <w:t>í</w:t>
      </w:r>
      <w:r w:rsidRPr="0017050B">
        <w:rPr>
          <w:rFonts w:ascii="Times New Roman" w:hAnsi="Times New Roman"/>
          <w:lang w:val="sk-SK"/>
        </w:rPr>
        <w:t>nes</w:t>
      </w:r>
      <w:r w:rsidRPr="00005378">
        <w:rPr>
          <w:rFonts w:ascii="Times New Roman" w:hAnsi="Times New Roman"/>
          <w:lang w:val="sk-SK"/>
        </w:rPr>
        <w:t>terázy) preukázala štatisticky signifikantný účinok v prospech liečby memantínom v kognitívnej, globálnej a</w:t>
      </w:r>
      <w:r w:rsidR="00C93E58">
        <w:rPr>
          <w:rFonts w:ascii="Times New Roman" w:hAnsi="Times New Roman"/>
          <w:lang w:val="sk-SK"/>
        </w:rPr>
        <w:t> </w:t>
      </w:r>
      <w:r w:rsidRPr="00005378">
        <w:rPr>
          <w:rFonts w:ascii="Times New Roman" w:hAnsi="Times New Roman"/>
          <w:lang w:val="sk-SK"/>
        </w:rPr>
        <w:t>funkčnej oblasti. Pri identifikovaní pacientov so súčasným zhoršením vo všetkých troch oblastiach</w:t>
      </w:r>
      <w:r w:rsidR="00D636CD">
        <w:rPr>
          <w:rFonts w:ascii="Times New Roman" w:hAnsi="Times New Roman"/>
          <w:lang w:val="sk-SK"/>
        </w:rPr>
        <w:t>,</w:t>
      </w:r>
      <w:r w:rsidRPr="00005378">
        <w:rPr>
          <w:rFonts w:ascii="Times New Roman" w:hAnsi="Times New Roman"/>
          <w:lang w:val="sk-SK"/>
        </w:rPr>
        <w:t xml:space="preserve"> výsledky ukázali štatisticky signifikantný účinok memantínu v prevencii zhoršenia. Až u dvojnásobného počtu pacientov na placebe v porovnaní s pacientmi na memantíne sa preukázalo zhoršenie vo všetkých troch oblastiach (21% voči 11%, p&lt;0,0001).</w:t>
      </w:r>
    </w:p>
    <w:p w14:paraId="510905EC" w14:textId="77777777" w:rsidR="00EE7539" w:rsidRPr="00005378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62350A98" w14:textId="77777777" w:rsidR="00EE7539" w:rsidRPr="00005378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b/>
          <w:bCs/>
          <w:lang w:val="sk-SK"/>
        </w:rPr>
      </w:pPr>
      <w:r w:rsidRPr="00005378">
        <w:rPr>
          <w:rFonts w:ascii="Times New Roman" w:hAnsi="Times New Roman"/>
          <w:b/>
          <w:bCs/>
          <w:lang w:val="sk-SK"/>
        </w:rPr>
        <w:t>5.2</w:t>
      </w:r>
      <w:r w:rsidRPr="00005378">
        <w:rPr>
          <w:rFonts w:ascii="Times New Roman" w:hAnsi="Times New Roman"/>
          <w:b/>
          <w:bCs/>
          <w:lang w:val="sk-SK"/>
        </w:rPr>
        <w:tab/>
        <w:t>Farmakokinetické vlastnosti</w:t>
      </w:r>
    </w:p>
    <w:p w14:paraId="27E45D96" w14:textId="77777777" w:rsidR="00EE7539" w:rsidRPr="00005378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</w:p>
    <w:p w14:paraId="7EE6FA56" w14:textId="77777777" w:rsidR="00EE7539" w:rsidRPr="00005378" w:rsidRDefault="00EE7539" w:rsidP="00B01281">
      <w:pPr>
        <w:spacing w:after="0" w:line="240" w:lineRule="auto"/>
        <w:ind w:right="142"/>
        <w:rPr>
          <w:rFonts w:ascii="Times New Roman" w:hAnsi="Times New Roman"/>
          <w:u w:val="single"/>
          <w:lang w:val="sk-SK"/>
        </w:rPr>
      </w:pPr>
      <w:r w:rsidRPr="00005378">
        <w:rPr>
          <w:rFonts w:ascii="Times New Roman" w:hAnsi="Times New Roman"/>
          <w:u w:val="single"/>
          <w:lang w:val="sk-SK"/>
        </w:rPr>
        <w:t xml:space="preserve">Absorpcia </w:t>
      </w:r>
    </w:p>
    <w:p w14:paraId="7E1EB3F1" w14:textId="77777777" w:rsidR="00EE7539" w:rsidRPr="00005378" w:rsidRDefault="00EE7539" w:rsidP="00B01281">
      <w:pPr>
        <w:spacing w:after="0" w:line="240" w:lineRule="auto"/>
        <w:ind w:right="142"/>
        <w:rPr>
          <w:rFonts w:ascii="Times New Roman" w:hAnsi="Times New Roman"/>
          <w:lang w:val="sk-SK"/>
        </w:rPr>
      </w:pPr>
      <w:r w:rsidRPr="00005378">
        <w:rPr>
          <w:rFonts w:ascii="Times New Roman" w:hAnsi="Times New Roman"/>
          <w:lang w:val="sk-SK"/>
        </w:rPr>
        <w:t xml:space="preserve">Memantín má absolútnu biodostupnosť približne 100%. </w:t>
      </w:r>
      <w:r w:rsidRPr="00BF30E3">
        <w:rPr>
          <w:rFonts w:ascii="Times New Roman" w:hAnsi="Times New Roman"/>
          <w:lang w:val="sk-SK" w:eastAsia="sk-SK"/>
        </w:rPr>
        <w:t>T</w:t>
      </w:r>
      <w:r w:rsidRPr="00BF30E3">
        <w:rPr>
          <w:rFonts w:ascii="Times New Roman" w:hAnsi="Times New Roman"/>
          <w:vertAlign w:val="subscript"/>
          <w:lang w:val="sk-SK" w:eastAsia="sk-SK"/>
        </w:rPr>
        <w:t>max</w:t>
      </w:r>
      <w:r w:rsidRPr="00005378">
        <w:rPr>
          <w:rFonts w:ascii="Times New Roman" w:hAnsi="Times New Roman"/>
          <w:lang w:val="sk-SK"/>
        </w:rPr>
        <w:t xml:space="preserve"> je medzi 3 a 8 hodín. Nie sú dôkazy o tom, že by potrava ovplyvňovala absorpciu memantínu.</w:t>
      </w:r>
    </w:p>
    <w:p w14:paraId="7AEA2ABE" w14:textId="77777777" w:rsidR="00EE7539" w:rsidRPr="00005378" w:rsidRDefault="00EE7539" w:rsidP="00B01281">
      <w:pPr>
        <w:spacing w:after="0" w:line="240" w:lineRule="auto"/>
        <w:rPr>
          <w:rFonts w:ascii="Times New Roman" w:hAnsi="Times New Roman"/>
          <w:u w:val="single"/>
          <w:lang w:val="sk-SK"/>
        </w:rPr>
      </w:pPr>
    </w:p>
    <w:p w14:paraId="0476C785" w14:textId="77777777" w:rsidR="00EE7539" w:rsidRPr="00005378" w:rsidRDefault="00EE7539" w:rsidP="00B01281">
      <w:pPr>
        <w:spacing w:after="0" w:line="240" w:lineRule="auto"/>
        <w:ind w:right="529"/>
        <w:rPr>
          <w:rFonts w:ascii="Times New Roman" w:hAnsi="Times New Roman"/>
          <w:u w:val="single"/>
          <w:lang w:val="sk-SK"/>
        </w:rPr>
      </w:pPr>
      <w:r w:rsidRPr="00005378">
        <w:rPr>
          <w:rFonts w:ascii="Times New Roman" w:hAnsi="Times New Roman"/>
          <w:u w:val="single"/>
          <w:lang w:val="sk-SK"/>
        </w:rPr>
        <w:t>Distribúcia</w:t>
      </w:r>
    </w:p>
    <w:p w14:paraId="5BD0DC9B" w14:textId="77777777" w:rsidR="00EE7539" w:rsidRPr="00005378" w:rsidRDefault="00EE7539" w:rsidP="00B01281">
      <w:pPr>
        <w:spacing w:after="0" w:line="240" w:lineRule="auto"/>
        <w:ind w:right="529"/>
        <w:rPr>
          <w:rFonts w:ascii="Times New Roman" w:hAnsi="Times New Roman"/>
          <w:lang w:val="sk-SK"/>
        </w:rPr>
      </w:pPr>
      <w:r w:rsidRPr="00005378">
        <w:rPr>
          <w:rFonts w:ascii="Times New Roman" w:hAnsi="Times New Roman"/>
          <w:lang w:val="sk-SK"/>
        </w:rPr>
        <w:t>Denné dávky 20 mg vedú k rovnovážnym plazmatickým koncentráciám memantínu v rozmedzí od 70 do 150 ng/ml (0,5-1 µmol) s veľkými interindividuálnymi variáciami. Keď sa podávali denné dávky 5 až 30 mg, priemerný pomer cerebrospinálny likvor (CSF)/sérum bol vypočítaný na 0,52. Objem distribúcie je okolo 10 l/kg. Približne 45% memantínu sa viaže na plazmatické proteíny.</w:t>
      </w:r>
    </w:p>
    <w:p w14:paraId="76AC1559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42BBFEE1" w14:textId="77777777" w:rsidR="00EE7539" w:rsidRPr="005713B4" w:rsidRDefault="00EE7539" w:rsidP="00DD383F">
      <w:pPr>
        <w:spacing w:after="0" w:line="240" w:lineRule="auto"/>
        <w:ind w:right="252"/>
        <w:rPr>
          <w:rFonts w:ascii="Times New Roman" w:hAnsi="Times New Roman"/>
          <w:u w:val="single"/>
          <w:lang w:val="pt-BR"/>
        </w:rPr>
      </w:pPr>
      <w:r w:rsidRPr="005713B4">
        <w:rPr>
          <w:rFonts w:ascii="Times New Roman" w:hAnsi="Times New Roman"/>
          <w:u w:val="single"/>
          <w:lang w:val="pt-BR"/>
        </w:rPr>
        <w:t>Biotransformácia</w:t>
      </w:r>
    </w:p>
    <w:p w14:paraId="412DC7D8" w14:textId="7826FBFF" w:rsidR="00EE7539" w:rsidRPr="005713B4" w:rsidRDefault="00EE7539" w:rsidP="00DD383F">
      <w:pPr>
        <w:spacing w:after="0" w:line="240" w:lineRule="auto"/>
        <w:ind w:right="252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pt-BR"/>
        </w:rPr>
        <w:t>U ľudí je asi 80% cirkulujúceho memantínového materiálu prítomného v podobe materskej látky. Hlavnými metabolitmi u ľudí sú N-3,5-dimetyl-gludantán, izomerická zmes 4- a 6-hydroxy-</w:t>
      </w:r>
      <w:r w:rsidRPr="005713B4">
        <w:rPr>
          <w:rFonts w:ascii="Times New Roman" w:hAnsi="Times New Roman"/>
          <w:lang w:val="pt-BR"/>
        </w:rPr>
        <w:lastRenderedPageBreak/>
        <w:t xml:space="preserve">memantínu a 1-nitrózo-3,5-dimetyl-adamantán. Žiaden z týchto metabolitov nevykazuje NMDA-antagonistickú aktivitu. </w:t>
      </w:r>
      <w:r w:rsidRPr="005713B4">
        <w:rPr>
          <w:rFonts w:ascii="Times New Roman" w:hAnsi="Times New Roman"/>
          <w:i/>
          <w:lang w:val="pt-BR"/>
        </w:rPr>
        <w:t xml:space="preserve">In vitro </w:t>
      </w:r>
      <w:r w:rsidRPr="005713B4">
        <w:rPr>
          <w:rFonts w:ascii="Times New Roman" w:hAnsi="Times New Roman"/>
          <w:lang w:val="pt-BR"/>
        </w:rPr>
        <w:t>sa nezistil metabolizmus, katalyzovaný cytochrómo</w:t>
      </w:r>
      <w:r w:rsidR="00D636CD">
        <w:rPr>
          <w:rFonts w:ascii="Times New Roman" w:hAnsi="Times New Roman"/>
          <w:lang w:val="pt-BR"/>
        </w:rPr>
        <w:t>m</w:t>
      </w:r>
      <w:r w:rsidRPr="005713B4">
        <w:rPr>
          <w:rFonts w:ascii="Times New Roman" w:hAnsi="Times New Roman"/>
          <w:lang w:val="pt-BR"/>
        </w:rPr>
        <w:t xml:space="preserve"> P-450.</w:t>
      </w:r>
    </w:p>
    <w:p w14:paraId="14587599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20A4370A" w14:textId="77777777" w:rsidR="00EE7539" w:rsidRPr="005713B4" w:rsidRDefault="00EE7539" w:rsidP="00B01281">
      <w:pPr>
        <w:spacing w:after="0" w:line="240" w:lineRule="auto"/>
        <w:ind w:right="-20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pt-BR"/>
        </w:rPr>
        <w:t xml:space="preserve">V štúdii s použitím perorálne podávaného </w:t>
      </w:r>
      <w:r>
        <w:rPr>
          <w:rFonts w:ascii="TimesNewRomanPSMT" w:hAnsi="TimesNewRomanPSMT" w:cs="TimesNewRomanPSMT"/>
          <w:sz w:val="14"/>
          <w:szCs w:val="14"/>
          <w:lang w:val="sk-SK" w:eastAsia="sk-SK" w:bidi="my-MM"/>
        </w:rPr>
        <w:t>14</w:t>
      </w:r>
      <w:r>
        <w:rPr>
          <w:rFonts w:ascii="TimesNewRomanPSMT" w:hAnsi="TimesNewRomanPSMT" w:cs="TimesNewRomanPSMT"/>
          <w:lang w:val="sk-SK" w:eastAsia="sk-SK" w:bidi="my-MM"/>
        </w:rPr>
        <w:t>C</w:t>
      </w:r>
      <w:r w:rsidRPr="005713B4">
        <w:rPr>
          <w:rFonts w:ascii="Times New Roman" w:hAnsi="Times New Roman"/>
          <w:lang w:val="pt-BR"/>
        </w:rPr>
        <w:t xml:space="preserve"> -memantínu vymizlo priemerne 84% dávky v priebehu 20 dní, pričom viac ako 99% sa vylúčilo obličkami.</w:t>
      </w:r>
    </w:p>
    <w:p w14:paraId="56E046E9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750D2F09" w14:textId="77777777" w:rsidR="00EE7539" w:rsidRPr="005713B4" w:rsidRDefault="00EE7539" w:rsidP="00B01281">
      <w:pPr>
        <w:spacing w:after="0" w:line="240" w:lineRule="auto"/>
        <w:ind w:right="206"/>
        <w:rPr>
          <w:rFonts w:ascii="Times New Roman" w:hAnsi="Times New Roman"/>
          <w:u w:val="single"/>
          <w:lang w:val="pt-BR"/>
        </w:rPr>
      </w:pPr>
      <w:r w:rsidRPr="005713B4">
        <w:rPr>
          <w:rFonts w:ascii="Times New Roman" w:hAnsi="Times New Roman"/>
          <w:u w:val="single"/>
          <w:lang w:val="pt-BR"/>
        </w:rPr>
        <w:t>Eliminácia</w:t>
      </w:r>
    </w:p>
    <w:p w14:paraId="15D256AC" w14:textId="77777777" w:rsidR="00EE7539" w:rsidRPr="005713B4" w:rsidRDefault="00EE7539" w:rsidP="00B01281">
      <w:pPr>
        <w:spacing w:after="0" w:line="240" w:lineRule="auto"/>
        <w:ind w:right="206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pt-BR"/>
        </w:rPr>
        <w:t xml:space="preserve">Memantín sa vylučuje monoexponenciálnym spôsobom s konečným </w:t>
      </w:r>
      <w:r w:rsidRPr="004D12E7">
        <w:rPr>
          <w:rFonts w:ascii="Times New Roman" w:hAnsi="Times New Roman"/>
          <w:lang w:val="sk-SK" w:eastAsia="sk-SK"/>
        </w:rPr>
        <w:t>t</w:t>
      </w:r>
      <w:r>
        <w:rPr>
          <w:rFonts w:ascii="Times New Roman" w:hAnsi="Times New Roman"/>
          <w:lang w:val="sk-SK" w:eastAsia="sk-SK"/>
        </w:rPr>
        <w:t xml:space="preserve"> ½ </w:t>
      </w:r>
      <w:r w:rsidRPr="005713B4">
        <w:rPr>
          <w:rFonts w:ascii="Times New Roman" w:hAnsi="Times New Roman"/>
          <w:lang w:val="pt-BR"/>
        </w:rPr>
        <w:t>od 60 do 100 hodín. U dobrovoľníkov s normálnou funkciou obličiek dosahuje celkový klírens (</w:t>
      </w:r>
      <w:r>
        <w:rPr>
          <w:rFonts w:ascii="TimesNewRomanPSMT" w:hAnsi="TimesNewRomanPSMT" w:cs="TimesNewRomanPSMT"/>
          <w:lang w:val="sk-SK" w:eastAsia="sk-SK" w:bidi="my-MM"/>
        </w:rPr>
        <w:t>Cl</w:t>
      </w:r>
      <w:r>
        <w:rPr>
          <w:rFonts w:ascii="TimesNewRomanPSMT" w:hAnsi="TimesNewRomanPSMT" w:cs="TimesNewRomanPSMT"/>
          <w:sz w:val="14"/>
          <w:szCs w:val="14"/>
          <w:lang w:val="sk-SK" w:eastAsia="sk-SK" w:bidi="my-MM"/>
        </w:rPr>
        <w:t>tot</w:t>
      </w:r>
      <w:r w:rsidRPr="005713B4">
        <w:rPr>
          <w:rFonts w:ascii="Times New Roman" w:hAnsi="Times New Roman"/>
          <w:lang w:val="pt-BR"/>
        </w:rPr>
        <w:t xml:space="preserve">) množstvo do 170 ml/min/1,73 </w:t>
      </w:r>
      <w:r w:rsidRPr="004D12E7">
        <w:rPr>
          <w:rFonts w:ascii="Times New Roman" w:hAnsi="Times New Roman"/>
          <w:lang w:val="sk-SK" w:eastAsia="sk-SK"/>
        </w:rPr>
        <w:t>m</w:t>
      </w:r>
      <w:r w:rsidRPr="00B66868">
        <w:rPr>
          <w:rFonts w:ascii="Times New Roman" w:hAnsi="Times New Roman"/>
          <w:vertAlign w:val="superscript"/>
          <w:lang w:val="sk-SK" w:eastAsia="sk-SK"/>
        </w:rPr>
        <w:t>2</w:t>
      </w:r>
      <w:r w:rsidRPr="005713B4">
        <w:rPr>
          <w:rFonts w:ascii="Times New Roman" w:hAnsi="Times New Roman"/>
          <w:position w:val="10"/>
          <w:lang w:val="pt-BR"/>
        </w:rPr>
        <w:t xml:space="preserve"> </w:t>
      </w:r>
      <w:r w:rsidRPr="005713B4">
        <w:rPr>
          <w:rFonts w:ascii="Times New Roman" w:hAnsi="Times New Roman"/>
          <w:lang w:val="pt-BR"/>
        </w:rPr>
        <w:t>a časť celkového obličkového klírensu sa dosahuje tubulárnou sekréciou.</w:t>
      </w:r>
    </w:p>
    <w:p w14:paraId="4153B543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435DAEB2" w14:textId="77777777" w:rsidR="00EE7539" w:rsidRPr="005713B4" w:rsidRDefault="00EE7539" w:rsidP="00B01281">
      <w:pPr>
        <w:spacing w:after="0" w:line="240" w:lineRule="auto"/>
        <w:ind w:right="147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pt-BR"/>
        </w:rPr>
        <w:t>Obličkový transport zahŕňa tiež tubulárnu reabsorpciu, pravdepodobne sprostredkovanú katiónovými transportnými proteínmi. Rýchlosť obličkovej eliminácie memantínu môže byť za alkalických podmienok moču znížená, faktor zníženia sa pohybuje od 7 do 9 (pozri časť 4.4). Alkalizácia moču môže byť výsledkom drastických zmien diéty, napr. z mäsitej na vegetariánsku, alebo masívneho príjmu alkalizujúcich žalúdočných pufrov.</w:t>
      </w:r>
    </w:p>
    <w:p w14:paraId="7C03B6F4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u w:val="single"/>
          <w:lang w:val="pt-BR"/>
        </w:rPr>
      </w:pPr>
    </w:p>
    <w:p w14:paraId="358EBC1B" w14:textId="77777777" w:rsidR="00EE7539" w:rsidRPr="005713B4" w:rsidRDefault="00EE7539" w:rsidP="00B01281">
      <w:pPr>
        <w:spacing w:after="0" w:line="240" w:lineRule="auto"/>
        <w:ind w:right="112"/>
        <w:rPr>
          <w:rFonts w:ascii="Times New Roman" w:hAnsi="Times New Roman"/>
          <w:i/>
          <w:lang w:val="pt-BR"/>
        </w:rPr>
      </w:pPr>
      <w:r w:rsidRPr="005713B4">
        <w:rPr>
          <w:rFonts w:ascii="Times New Roman" w:hAnsi="Times New Roman"/>
          <w:u w:val="single"/>
          <w:lang w:val="pt-BR"/>
        </w:rPr>
        <w:t>Linearita</w:t>
      </w:r>
    </w:p>
    <w:p w14:paraId="3FD32F40" w14:textId="77777777" w:rsidR="00EE7539" w:rsidRPr="005713B4" w:rsidRDefault="00EE7539" w:rsidP="00B01281">
      <w:pPr>
        <w:spacing w:after="0" w:line="240" w:lineRule="auto"/>
        <w:ind w:right="112"/>
        <w:rPr>
          <w:rFonts w:ascii="Times New Roman" w:hAnsi="Times New Roman"/>
          <w:i/>
          <w:lang w:val="pt-BR"/>
        </w:rPr>
      </w:pPr>
      <w:r w:rsidRPr="005713B4">
        <w:rPr>
          <w:rFonts w:ascii="Times New Roman" w:hAnsi="Times New Roman"/>
          <w:lang w:val="pt-BR"/>
        </w:rPr>
        <w:t>Štúdie na dobrovoľníkoch demonštrovali lineárnu farmakokinetiku v dávkovom rozpätí 10 až 40 mg.</w:t>
      </w:r>
    </w:p>
    <w:p w14:paraId="23C8831E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5E5AD9B5" w14:textId="77777777" w:rsidR="00EE7539" w:rsidRPr="009C15D0" w:rsidRDefault="00EE7539" w:rsidP="00B01281">
      <w:pPr>
        <w:spacing w:after="0" w:line="240" w:lineRule="auto"/>
        <w:ind w:right="288"/>
        <w:rPr>
          <w:rFonts w:ascii="Times New Roman" w:hAnsi="Times New Roman"/>
          <w:u w:val="single"/>
          <w:lang w:val="pt-BR"/>
        </w:rPr>
      </w:pPr>
      <w:r w:rsidRPr="009C15D0">
        <w:rPr>
          <w:rFonts w:ascii="Times New Roman" w:hAnsi="Times New Roman"/>
          <w:iCs/>
          <w:u w:val="single"/>
          <w:lang w:val="sk-SK" w:eastAsia="sk-SK" w:bidi="my-MM"/>
        </w:rPr>
        <w:t xml:space="preserve">Farmakokinetický/farmakodynamický </w:t>
      </w:r>
      <w:r w:rsidRPr="009C15D0">
        <w:rPr>
          <w:rFonts w:ascii="Times New Roman" w:hAnsi="Times New Roman"/>
          <w:u w:val="single"/>
          <w:lang w:val="pt-BR"/>
        </w:rPr>
        <w:t>vzťah</w:t>
      </w:r>
    </w:p>
    <w:p w14:paraId="5E5EDD5A" w14:textId="77777777" w:rsidR="00EE7539" w:rsidRPr="005713B4" w:rsidRDefault="00EE7539" w:rsidP="00B01281">
      <w:pPr>
        <w:spacing w:after="0" w:line="240" w:lineRule="auto"/>
        <w:ind w:right="288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pt-BR"/>
        </w:rPr>
        <w:t>Pri dávke memantínu 20 mg denne hladiny memantínu v CSF zodpovedajú hodnote k</w:t>
      </w:r>
      <w:r w:rsidRPr="005713B4">
        <w:rPr>
          <w:rFonts w:ascii="Times New Roman" w:hAnsi="Times New Roman"/>
          <w:position w:val="-3"/>
          <w:lang w:val="pt-BR"/>
        </w:rPr>
        <w:t xml:space="preserve">i </w:t>
      </w:r>
      <w:r w:rsidRPr="005713B4">
        <w:rPr>
          <w:rFonts w:ascii="Times New Roman" w:hAnsi="Times New Roman"/>
          <w:lang w:val="pt-BR"/>
        </w:rPr>
        <w:t>(k</w:t>
      </w:r>
      <w:r w:rsidRPr="005713B4">
        <w:rPr>
          <w:rFonts w:ascii="Times New Roman" w:hAnsi="Times New Roman"/>
          <w:position w:val="-3"/>
          <w:lang w:val="pt-BR"/>
        </w:rPr>
        <w:t>i</w:t>
      </w:r>
      <w:r w:rsidRPr="005713B4">
        <w:rPr>
          <w:rFonts w:ascii="Times New Roman" w:hAnsi="Times New Roman"/>
          <w:lang w:val="pt-BR"/>
        </w:rPr>
        <w:t>=inhibičná konštanta) memantínu, ktorá je 0,5 µmol v ľudskom frontálnom kortexe.</w:t>
      </w:r>
    </w:p>
    <w:p w14:paraId="785EB569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646276AD" w14:textId="77777777" w:rsidR="00EE7539" w:rsidRPr="005713B4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b/>
          <w:bCs/>
          <w:lang w:val="pt-BR"/>
        </w:rPr>
        <w:t>5.3</w:t>
      </w:r>
      <w:r w:rsidRPr="0050247A">
        <w:rPr>
          <w:rFonts w:ascii="Times New Roman" w:hAnsi="Times New Roman"/>
          <w:b/>
          <w:bCs/>
          <w:lang w:val="pt-BR"/>
        </w:rPr>
        <w:tab/>
      </w:r>
      <w:r w:rsidRPr="005713B4">
        <w:rPr>
          <w:rFonts w:ascii="Times New Roman" w:hAnsi="Times New Roman"/>
          <w:b/>
          <w:bCs/>
          <w:lang w:val="pt-BR"/>
        </w:rPr>
        <w:t>Predklinické údaje o bezpečnosti</w:t>
      </w:r>
    </w:p>
    <w:p w14:paraId="306FBCAA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49A59C3A" w14:textId="0A9E5E46" w:rsidR="00EE7539" w:rsidRPr="005713B4" w:rsidRDefault="00EE7539" w:rsidP="00B01281">
      <w:pPr>
        <w:spacing w:after="0" w:line="240" w:lineRule="auto"/>
        <w:ind w:right="520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pt-BR"/>
        </w:rPr>
        <w:t>V krátkodobých štúdiách u potkanov indukoval memantín, podobne ako iné NMDA-antagonisty, neuronálnu vakuolizáciu a nekrózu (Olneyho lézie) len po dávkach, vedúcich k veľmi vysokým sérovým koncentráciám. Ataxia a iné predklinické p</w:t>
      </w:r>
      <w:r w:rsidR="00EA327A">
        <w:rPr>
          <w:rFonts w:ascii="Times New Roman" w:hAnsi="Times New Roman"/>
          <w:lang w:val="pt-BR"/>
        </w:rPr>
        <w:t>rejavy</w:t>
      </w:r>
      <w:r w:rsidRPr="005713B4">
        <w:rPr>
          <w:rFonts w:ascii="Times New Roman" w:hAnsi="Times New Roman"/>
          <w:lang w:val="pt-BR"/>
        </w:rPr>
        <w:t xml:space="preserve"> predchádzali vakuolizácii a nekróze. Keďže takéto účinky neboli pozorované v dlhodobých štúdiách u hlodavcov ani u nehlodavcov, klinický význam týchto zistení</w:t>
      </w:r>
      <w:r w:rsidRPr="00243491">
        <w:rPr>
          <w:rFonts w:ascii="Times New Roman" w:hAnsi="Times New Roman"/>
          <w:lang w:val="sk-SK" w:eastAsia="sk-SK"/>
        </w:rPr>
        <w:t xml:space="preserve"> </w:t>
      </w:r>
      <w:r>
        <w:rPr>
          <w:rFonts w:ascii="Times New Roman" w:hAnsi="Times New Roman"/>
          <w:lang w:val="sk-SK" w:eastAsia="sk-SK"/>
        </w:rPr>
        <w:t xml:space="preserve">nie je </w:t>
      </w:r>
      <w:r w:rsidRPr="007970EA">
        <w:rPr>
          <w:rFonts w:ascii="Times New Roman" w:hAnsi="Times New Roman"/>
          <w:lang w:val="sk-SK" w:eastAsia="sk-SK"/>
        </w:rPr>
        <w:t>jasný</w:t>
      </w:r>
      <w:r w:rsidRPr="005713B4">
        <w:rPr>
          <w:rFonts w:ascii="Times New Roman" w:hAnsi="Times New Roman"/>
          <w:lang w:val="pt-BR"/>
        </w:rPr>
        <w:t>.</w:t>
      </w:r>
    </w:p>
    <w:p w14:paraId="71672812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1D7933ED" w14:textId="4A093677" w:rsidR="00EE7539" w:rsidRPr="005713B4" w:rsidRDefault="00EE7539" w:rsidP="00B01281">
      <w:pPr>
        <w:spacing w:after="0" w:line="240" w:lineRule="auto"/>
        <w:ind w:right="55"/>
        <w:jc w:val="both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pt-BR"/>
        </w:rPr>
        <w:t>V štúdiách toxicity po opakovan</w:t>
      </w:r>
      <w:r w:rsidR="00EA327A">
        <w:rPr>
          <w:rFonts w:ascii="Times New Roman" w:hAnsi="Times New Roman"/>
          <w:lang w:val="pt-BR"/>
        </w:rPr>
        <w:t>om podávaní sa</w:t>
      </w:r>
      <w:r w:rsidRPr="005713B4">
        <w:rPr>
          <w:rFonts w:ascii="Times New Roman" w:hAnsi="Times New Roman"/>
          <w:lang w:val="pt-BR"/>
        </w:rPr>
        <w:t xml:space="preserve"> u hlodavcov a psov, ale nie u opíc, sa premenlivo pozorovali očné zmeny. Špecifické oftalmoskopické vyšetrenia v klinických štúdiách s memantínom žiadne takéto zmeny neodhalili.</w:t>
      </w:r>
    </w:p>
    <w:p w14:paraId="4DC9C877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511C4E01" w14:textId="5E7B6040" w:rsidR="00EE7539" w:rsidRPr="005713B4" w:rsidRDefault="00EE7539" w:rsidP="00B01281">
      <w:pPr>
        <w:spacing w:after="0" w:line="240" w:lineRule="auto"/>
        <w:ind w:right="188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pt-BR"/>
        </w:rPr>
        <w:t xml:space="preserve">U hlodavcov sa pozorovala fosfolipidóza v pľúcnych makrofágoch v dôsledku nahromadenia memantínu v lyzozómoch. Tento účinok je známy aj u iných účinných látok s kationovými amfifilickými vlastnosťami. </w:t>
      </w:r>
      <w:r w:rsidR="00EA327A">
        <w:rPr>
          <w:rFonts w:ascii="Times New Roman" w:hAnsi="Times New Roman"/>
          <w:lang w:val="pt-BR"/>
        </w:rPr>
        <w:t>Existuje</w:t>
      </w:r>
      <w:r w:rsidRPr="005713B4">
        <w:rPr>
          <w:rFonts w:ascii="Times New Roman" w:hAnsi="Times New Roman"/>
          <w:lang w:val="pt-BR"/>
        </w:rPr>
        <w:t xml:space="preserve"> možný vzťah medzi touto akumuláciou a vakuolizáciou pozorovanou v pľúcach. Tento účinok bol pozorovaný u hlodavcov len pri vysokých dávkach. Klinický význam týchto zistení je nejasný.</w:t>
      </w:r>
    </w:p>
    <w:p w14:paraId="45E94EDC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2283273D" w14:textId="77777777" w:rsidR="00EE7539" w:rsidRPr="005713B4" w:rsidRDefault="00EE7539" w:rsidP="00B01281">
      <w:pPr>
        <w:spacing w:after="0" w:line="240" w:lineRule="auto"/>
        <w:ind w:right="-20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pt-BR"/>
        </w:rPr>
        <w:t>Pri štandardných vyšetreniach sa po testovaní memantínu nezistila žiadna genotoxicita.</w:t>
      </w:r>
    </w:p>
    <w:p w14:paraId="1C85166B" w14:textId="77777777" w:rsidR="00EE7539" w:rsidRPr="005713B4" w:rsidRDefault="00EE7539" w:rsidP="00335CF7">
      <w:pPr>
        <w:spacing w:after="0" w:line="240" w:lineRule="auto"/>
        <w:ind w:right="458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lang w:val="pt-BR"/>
        </w:rPr>
        <w:t>V celoživotných štúdiách na myšiach a potkanoch sa nedokázala žiadna karcinogenita. Memantín nebol u potkanov a králikov teratogénny, dokonca ani pri dávkach toxických pre matku, a nezaznamenali sa žiadne nežiaduce účinky memantínu na fertilitu. U potkanov sa zistilo zníženie rastu plodu pri expozičných hladinách, ktoré boli identické alebo mierne vyššie ako expozičné hladiny u ľudí.</w:t>
      </w:r>
    </w:p>
    <w:p w14:paraId="38B9D6BF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4C7028FD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05E15651" w14:textId="77777777" w:rsidR="00EE7539" w:rsidRPr="005713B4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b/>
          <w:bCs/>
          <w:lang w:val="pt-BR"/>
        </w:rPr>
        <w:t>6.</w:t>
      </w:r>
      <w:r w:rsidRPr="0050247A">
        <w:rPr>
          <w:rFonts w:ascii="Times New Roman" w:hAnsi="Times New Roman"/>
          <w:b/>
          <w:bCs/>
          <w:lang w:val="pt-BR"/>
        </w:rPr>
        <w:tab/>
      </w:r>
      <w:r w:rsidRPr="005713B4">
        <w:rPr>
          <w:rFonts w:ascii="Times New Roman" w:hAnsi="Times New Roman"/>
          <w:b/>
          <w:bCs/>
          <w:lang w:val="pt-BR"/>
        </w:rPr>
        <w:t>FARMACEUTICKÉ INFORMÁCIE</w:t>
      </w:r>
    </w:p>
    <w:p w14:paraId="30B92430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49AE1935" w14:textId="77777777" w:rsidR="00EE7539" w:rsidRPr="005713B4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b/>
          <w:bCs/>
          <w:lang w:val="pt-BR"/>
        </w:rPr>
        <w:t>6.1</w:t>
      </w:r>
      <w:r w:rsidRPr="0050247A">
        <w:rPr>
          <w:rFonts w:ascii="Times New Roman" w:hAnsi="Times New Roman"/>
          <w:b/>
          <w:bCs/>
          <w:lang w:val="pt-BR"/>
        </w:rPr>
        <w:tab/>
      </w:r>
      <w:r w:rsidRPr="005713B4">
        <w:rPr>
          <w:rFonts w:ascii="Times New Roman" w:hAnsi="Times New Roman"/>
          <w:b/>
          <w:bCs/>
          <w:lang w:val="pt-BR"/>
        </w:rPr>
        <w:t>Zoznam pomocných látok</w:t>
      </w:r>
    </w:p>
    <w:p w14:paraId="3709E2F1" w14:textId="77777777" w:rsidR="00EE7539" w:rsidRPr="005713B4" w:rsidRDefault="00EE7539" w:rsidP="00E05795">
      <w:pPr>
        <w:spacing w:after="0" w:line="240" w:lineRule="auto"/>
        <w:rPr>
          <w:rFonts w:ascii="Times New Roman" w:hAnsi="Times New Roman"/>
          <w:lang w:val="pt-BR"/>
        </w:rPr>
      </w:pPr>
    </w:p>
    <w:p w14:paraId="1154057B" w14:textId="3E285C1B" w:rsidR="00EE7539" w:rsidRPr="00AA61BF" w:rsidRDefault="00EE7539" w:rsidP="00E05795">
      <w:pPr>
        <w:spacing w:after="0" w:line="240" w:lineRule="auto"/>
        <w:rPr>
          <w:rFonts w:ascii="Times New Roman" w:hAnsi="Times New Roman"/>
          <w:u w:val="single"/>
          <w:lang w:val="sk-SK"/>
        </w:rPr>
      </w:pPr>
      <w:r w:rsidRPr="00AA61BF">
        <w:rPr>
          <w:rFonts w:ascii="Times New Roman" w:hAnsi="Times New Roman"/>
          <w:u w:val="single"/>
          <w:lang w:val="sk-SK"/>
        </w:rPr>
        <w:lastRenderedPageBreak/>
        <w:t>Jadro tablety</w:t>
      </w:r>
    </w:p>
    <w:p w14:paraId="5F62EF90" w14:textId="2CF200DD" w:rsidR="00EE7539" w:rsidRPr="00E8159F" w:rsidRDefault="00F43F3A" w:rsidP="00E05795">
      <w:pPr>
        <w:spacing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m</w:t>
      </w:r>
      <w:r w:rsidR="00EE7539" w:rsidRPr="00E8159F">
        <w:rPr>
          <w:rFonts w:ascii="Times New Roman" w:hAnsi="Times New Roman"/>
          <w:lang w:val="sk-SK"/>
        </w:rPr>
        <w:t>ikrokryštalická celulóza</w:t>
      </w:r>
    </w:p>
    <w:p w14:paraId="718D43C5" w14:textId="3C9A6EB8" w:rsidR="00EE7539" w:rsidRPr="00E8159F" w:rsidRDefault="00F43F3A" w:rsidP="00E05795">
      <w:pPr>
        <w:spacing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m</w:t>
      </w:r>
      <w:r w:rsidR="00EE7539" w:rsidRPr="00E8159F">
        <w:rPr>
          <w:rFonts w:ascii="Times New Roman" w:hAnsi="Times New Roman"/>
          <w:lang w:val="sk-SK"/>
        </w:rPr>
        <w:t>onohydrát laktózy</w:t>
      </w:r>
    </w:p>
    <w:p w14:paraId="536DE250" w14:textId="2182FA33" w:rsidR="00EE7539" w:rsidRPr="00E8159F" w:rsidRDefault="00F43F3A" w:rsidP="00E05795">
      <w:pPr>
        <w:spacing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</w:t>
      </w:r>
      <w:r w:rsidR="00EE7539" w:rsidRPr="00E8159F">
        <w:rPr>
          <w:rFonts w:ascii="Times New Roman" w:hAnsi="Times New Roman"/>
          <w:lang w:val="sk-SK"/>
        </w:rPr>
        <w:t>ovidón K 30</w:t>
      </w:r>
    </w:p>
    <w:p w14:paraId="398FF9BE" w14:textId="0128202D" w:rsidR="00EE7539" w:rsidRPr="00E8159F" w:rsidRDefault="00F43F3A" w:rsidP="00E05795">
      <w:pPr>
        <w:spacing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k</w:t>
      </w:r>
      <w:r w:rsidR="00EE7539" w:rsidRPr="00E8159F">
        <w:rPr>
          <w:rFonts w:ascii="Times New Roman" w:hAnsi="Times New Roman"/>
          <w:lang w:val="sk-SK"/>
        </w:rPr>
        <w:t>oloidný bezvodý oxid kremičitý</w:t>
      </w:r>
    </w:p>
    <w:p w14:paraId="636CD054" w14:textId="39497E2D" w:rsidR="00EE7539" w:rsidRPr="00E8159F" w:rsidRDefault="00F43F3A" w:rsidP="00E05795">
      <w:pPr>
        <w:spacing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m</w:t>
      </w:r>
      <w:r w:rsidR="00EE7539" w:rsidRPr="00E8159F">
        <w:rPr>
          <w:rFonts w:ascii="Times New Roman" w:hAnsi="Times New Roman"/>
          <w:lang w:val="sk-SK"/>
        </w:rPr>
        <w:t>astenec</w:t>
      </w:r>
    </w:p>
    <w:p w14:paraId="60810C57" w14:textId="1609854E" w:rsidR="00EE7539" w:rsidRPr="00E8159F" w:rsidRDefault="00F43F3A" w:rsidP="00E05795">
      <w:pPr>
        <w:spacing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stearan horečnatý</w:t>
      </w:r>
    </w:p>
    <w:p w14:paraId="51C3600A" w14:textId="77777777" w:rsidR="00EE7539" w:rsidRPr="00E8159F" w:rsidRDefault="00EE7539" w:rsidP="00E05795">
      <w:pPr>
        <w:spacing w:after="0" w:line="240" w:lineRule="auto"/>
        <w:rPr>
          <w:rFonts w:ascii="Times New Roman" w:hAnsi="Times New Roman"/>
          <w:lang w:val="sk-SK"/>
        </w:rPr>
      </w:pPr>
    </w:p>
    <w:p w14:paraId="4F4831D4" w14:textId="064BC467" w:rsidR="00EE7539" w:rsidRPr="00AA61BF" w:rsidRDefault="00EE7539" w:rsidP="00E05795">
      <w:pPr>
        <w:spacing w:after="0" w:line="240" w:lineRule="auto"/>
        <w:rPr>
          <w:rFonts w:ascii="Times New Roman" w:hAnsi="Times New Roman"/>
          <w:u w:val="single"/>
          <w:lang w:val="sk-SK"/>
        </w:rPr>
      </w:pPr>
      <w:r w:rsidRPr="00AA61BF">
        <w:rPr>
          <w:rFonts w:ascii="Times New Roman" w:hAnsi="Times New Roman"/>
          <w:u w:val="single"/>
          <w:lang w:val="sk-SK"/>
        </w:rPr>
        <w:t>Obal tablety</w:t>
      </w:r>
    </w:p>
    <w:p w14:paraId="1FAC75D3" w14:textId="3C291D72" w:rsidR="00EE7539" w:rsidRPr="00005378" w:rsidRDefault="00F43F3A" w:rsidP="00E05795">
      <w:pPr>
        <w:spacing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h</w:t>
      </w:r>
      <w:r w:rsidR="00EE7539" w:rsidRPr="00005378">
        <w:rPr>
          <w:rFonts w:ascii="Times New Roman" w:hAnsi="Times New Roman"/>
          <w:lang w:val="sk-SK"/>
        </w:rPr>
        <w:t>ypromelóza</w:t>
      </w:r>
    </w:p>
    <w:p w14:paraId="3630D108" w14:textId="1E919944" w:rsidR="00EE7539" w:rsidRPr="00005378" w:rsidRDefault="00F43F3A" w:rsidP="00E05795">
      <w:pPr>
        <w:spacing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</w:t>
      </w:r>
      <w:r w:rsidR="00EE7539" w:rsidRPr="00005378">
        <w:rPr>
          <w:rFonts w:ascii="Times New Roman" w:hAnsi="Times New Roman"/>
          <w:lang w:val="sk-SK"/>
        </w:rPr>
        <w:t>xid titaničitý (E 171)</w:t>
      </w:r>
    </w:p>
    <w:p w14:paraId="09CFEE49" w14:textId="7D0CD0AF" w:rsidR="00EE7539" w:rsidRPr="00005378" w:rsidRDefault="00F43F3A" w:rsidP="00E05795">
      <w:pPr>
        <w:spacing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m</w:t>
      </w:r>
      <w:r w:rsidR="00EE7539" w:rsidRPr="00005378">
        <w:rPr>
          <w:rFonts w:ascii="Times New Roman" w:hAnsi="Times New Roman"/>
          <w:lang w:val="sk-SK"/>
        </w:rPr>
        <w:t>akrogol 400</w:t>
      </w:r>
    </w:p>
    <w:p w14:paraId="08F519D9" w14:textId="77777777" w:rsidR="00EE7539" w:rsidRPr="00AA61BF" w:rsidRDefault="00EE7539" w:rsidP="00E05795">
      <w:pPr>
        <w:spacing w:after="0" w:line="240" w:lineRule="auto"/>
        <w:rPr>
          <w:rFonts w:ascii="Times New Roman" w:hAnsi="Times New Roman"/>
          <w:lang w:val="sk-SK"/>
        </w:rPr>
      </w:pPr>
    </w:p>
    <w:p w14:paraId="3DED5D91" w14:textId="77777777" w:rsidR="00EE7539" w:rsidRPr="00005378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AA61BF">
        <w:rPr>
          <w:rFonts w:ascii="Times New Roman" w:hAnsi="Times New Roman"/>
          <w:b/>
          <w:bCs/>
          <w:lang w:val="sk-SK"/>
        </w:rPr>
        <w:t>6.2</w:t>
      </w:r>
      <w:r w:rsidRPr="00005378">
        <w:rPr>
          <w:rFonts w:ascii="Times New Roman" w:hAnsi="Times New Roman"/>
          <w:b/>
          <w:bCs/>
          <w:lang w:val="sk-SK"/>
        </w:rPr>
        <w:tab/>
        <w:t>Inkompatibility</w:t>
      </w:r>
    </w:p>
    <w:p w14:paraId="562B654E" w14:textId="77777777" w:rsidR="00EE7539" w:rsidRPr="00005378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59DA552C" w14:textId="77777777" w:rsidR="00EE7539" w:rsidRPr="00005378" w:rsidRDefault="00EE7539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005378">
        <w:rPr>
          <w:rFonts w:ascii="Times New Roman" w:hAnsi="Times New Roman"/>
          <w:lang w:val="sk-SK"/>
        </w:rPr>
        <w:t>Neaplikovateľné.</w:t>
      </w:r>
    </w:p>
    <w:p w14:paraId="28027225" w14:textId="77777777" w:rsidR="00EE7539" w:rsidRPr="00AA61BF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00E1C445" w14:textId="77777777" w:rsidR="00EE7539" w:rsidRPr="00AA61BF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AA61BF">
        <w:rPr>
          <w:rFonts w:ascii="Times New Roman" w:hAnsi="Times New Roman"/>
          <w:b/>
          <w:bCs/>
          <w:lang w:val="sk-SK"/>
        </w:rPr>
        <w:t>6.3</w:t>
      </w:r>
      <w:r w:rsidRPr="00AA61BF">
        <w:rPr>
          <w:rFonts w:ascii="Times New Roman" w:hAnsi="Times New Roman"/>
          <w:b/>
          <w:bCs/>
          <w:lang w:val="sk-SK"/>
        </w:rPr>
        <w:tab/>
        <w:t>Čas použiteľnosti</w:t>
      </w:r>
    </w:p>
    <w:p w14:paraId="703341D6" w14:textId="77777777" w:rsidR="00EE7539" w:rsidRPr="00AA61BF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7971A67A" w14:textId="77777777" w:rsidR="00EE7539" w:rsidRPr="00AA61BF" w:rsidRDefault="00EE7539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AA61BF">
        <w:rPr>
          <w:rFonts w:ascii="Times New Roman" w:hAnsi="Times New Roman"/>
          <w:lang w:val="sk-SK"/>
        </w:rPr>
        <w:t>3 roky.</w:t>
      </w:r>
    </w:p>
    <w:p w14:paraId="180C85BE" w14:textId="77777777" w:rsidR="00EE7539" w:rsidRPr="00AA61BF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33738166" w14:textId="77777777" w:rsidR="00BF30E3" w:rsidRPr="00005378" w:rsidRDefault="00BF30E3" w:rsidP="00B01281">
      <w:pPr>
        <w:spacing w:after="0" w:line="240" w:lineRule="auto"/>
        <w:rPr>
          <w:rFonts w:ascii="Times New Roman" w:hAnsi="Times New Roman"/>
          <w:lang w:val="sk-SK"/>
        </w:rPr>
      </w:pPr>
      <w:r w:rsidRPr="00005378">
        <w:rPr>
          <w:rFonts w:ascii="Times New Roman" w:hAnsi="Times New Roman"/>
          <w:lang w:val="sk-SK"/>
        </w:rPr>
        <w:t>Rozpolené alebo aj celé tablety môžu byť uložené mimo blistra po dobu najviac 7 dní (napr. v krabičke na tablety).</w:t>
      </w:r>
    </w:p>
    <w:p w14:paraId="7137E272" w14:textId="77777777" w:rsidR="00BF30E3" w:rsidRPr="00AA61BF" w:rsidRDefault="00BF30E3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07F718B1" w14:textId="77777777" w:rsidR="00EE7539" w:rsidRPr="00005378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005378">
        <w:rPr>
          <w:rFonts w:ascii="Times New Roman" w:hAnsi="Times New Roman"/>
          <w:b/>
          <w:bCs/>
          <w:lang w:val="sk-SK"/>
        </w:rPr>
        <w:t>6.4</w:t>
      </w:r>
      <w:r w:rsidRPr="00005378">
        <w:rPr>
          <w:rFonts w:ascii="Times New Roman" w:hAnsi="Times New Roman"/>
          <w:b/>
          <w:bCs/>
          <w:lang w:val="sk-SK"/>
        </w:rPr>
        <w:tab/>
        <w:t>Špeciálne upozornenia na uchovávanie</w:t>
      </w:r>
    </w:p>
    <w:p w14:paraId="2D7AF9B8" w14:textId="77777777" w:rsidR="00EE7539" w:rsidRPr="00005378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61CAE341" w14:textId="77777777" w:rsidR="00EE7539" w:rsidRPr="00005378" w:rsidRDefault="00EE7539" w:rsidP="00B01281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005378">
        <w:rPr>
          <w:rFonts w:ascii="Times New Roman" w:hAnsi="Times New Roman"/>
          <w:lang w:val="sk-SK"/>
        </w:rPr>
        <w:t>Tento liek nevyžaduje žiadne zvláštne podmienky na uchovávanie.</w:t>
      </w:r>
    </w:p>
    <w:p w14:paraId="3F7D2588" w14:textId="77777777" w:rsidR="00EE7539" w:rsidRPr="00005378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3F15A1FB" w14:textId="77777777" w:rsidR="00EE7539" w:rsidRPr="00005378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005378">
        <w:rPr>
          <w:rFonts w:ascii="Times New Roman" w:hAnsi="Times New Roman"/>
          <w:b/>
          <w:bCs/>
          <w:lang w:val="sk-SK"/>
        </w:rPr>
        <w:t>6.5</w:t>
      </w:r>
      <w:r w:rsidRPr="00005378">
        <w:rPr>
          <w:rFonts w:ascii="Times New Roman" w:hAnsi="Times New Roman"/>
          <w:b/>
          <w:bCs/>
          <w:lang w:val="sk-SK"/>
        </w:rPr>
        <w:tab/>
        <w:t>Druh obalu a obsah balenia</w:t>
      </w:r>
    </w:p>
    <w:p w14:paraId="3BF3F047" w14:textId="77777777" w:rsidR="00EE7539" w:rsidRPr="00005378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1855A252" w14:textId="77777777" w:rsidR="00EE7539" w:rsidRPr="00005378" w:rsidRDefault="00EE7539" w:rsidP="00207DAE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005378">
        <w:rPr>
          <w:rFonts w:ascii="Times New Roman" w:hAnsi="Times New Roman"/>
          <w:lang w:val="sk-SK"/>
        </w:rPr>
        <w:t xml:space="preserve">Transparentný blister PVC/PE/PVDC – Alumíniová </w:t>
      </w:r>
      <w:r w:rsidR="003B251B" w:rsidRPr="00005378">
        <w:rPr>
          <w:rFonts w:ascii="Times New Roman" w:hAnsi="Times New Roman"/>
          <w:lang w:val="sk-SK"/>
        </w:rPr>
        <w:t>fólia.</w:t>
      </w:r>
    </w:p>
    <w:p w14:paraId="2840E50E" w14:textId="77777777" w:rsidR="00EE7539" w:rsidRPr="00005378" w:rsidRDefault="00EE7539" w:rsidP="00207DAE">
      <w:pPr>
        <w:spacing w:after="0" w:line="240" w:lineRule="auto"/>
        <w:ind w:right="-20"/>
        <w:rPr>
          <w:rFonts w:ascii="Times New Roman" w:hAnsi="Times New Roman"/>
          <w:lang w:val="sk-SK"/>
        </w:rPr>
      </w:pPr>
      <w:r w:rsidRPr="00005378">
        <w:rPr>
          <w:rFonts w:ascii="Times New Roman" w:hAnsi="Times New Roman"/>
          <w:lang w:val="sk-SK"/>
        </w:rPr>
        <w:t>Memolan 10 mg filmom obalené tablety je dostupný v balení po 7, 10, 14, 28, 30, 42, 49, 50, 56, 70, 84, 98, 100 alebo 112 filmom obalených tabliet.</w:t>
      </w:r>
    </w:p>
    <w:p w14:paraId="5CA00594" w14:textId="77777777" w:rsidR="00EE7539" w:rsidRPr="00B01281" w:rsidRDefault="00EE7539" w:rsidP="00675525">
      <w:pPr>
        <w:spacing w:after="0" w:line="240" w:lineRule="auto"/>
        <w:rPr>
          <w:rFonts w:ascii="Times New Roman" w:hAnsi="Times New Roman"/>
        </w:rPr>
      </w:pPr>
    </w:p>
    <w:p w14:paraId="0202E127" w14:textId="77777777" w:rsidR="00EE7539" w:rsidRPr="00041DFD" w:rsidRDefault="00EE7539" w:rsidP="005713B4">
      <w:pPr>
        <w:suppressAutoHyphens/>
        <w:spacing w:after="0" w:line="280" w:lineRule="exact"/>
        <w:jc w:val="both"/>
        <w:rPr>
          <w:rFonts w:ascii="Times New Roman" w:hAnsi="Times New Roman"/>
          <w:lang w:val="sk-SK" w:eastAsia="sk-SK"/>
        </w:rPr>
      </w:pPr>
      <w:r>
        <w:rPr>
          <w:rFonts w:ascii="Times New Roman" w:hAnsi="Times New Roman"/>
          <w:lang w:val="sk-SK"/>
        </w:rPr>
        <w:t>Na trh nemusia byť uvedené všetky veľkosti balenia.</w:t>
      </w:r>
    </w:p>
    <w:p w14:paraId="4384353D" w14:textId="77777777" w:rsidR="00EE7539" w:rsidRPr="00B80AD7" w:rsidRDefault="00EE7539" w:rsidP="00675525">
      <w:pPr>
        <w:spacing w:after="0" w:line="240" w:lineRule="auto"/>
        <w:rPr>
          <w:rFonts w:ascii="Times New Roman" w:hAnsi="Times New Roman"/>
          <w:lang w:val="pt-BR"/>
        </w:rPr>
      </w:pPr>
    </w:p>
    <w:p w14:paraId="41FB351C" w14:textId="77777777" w:rsidR="00EE7539" w:rsidRPr="00B80AD7" w:rsidRDefault="00EE7539" w:rsidP="00675525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pt-BR"/>
        </w:rPr>
      </w:pPr>
      <w:r w:rsidRPr="00B80AD7">
        <w:rPr>
          <w:rFonts w:ascii="Times New Roman" w:hAnsi="Times New Roman"/>
          <w:b/>
          <w:bCs/>
          <w:lang w:val="pt-BR"/>
        </w:rPr>
        <w:t>6.6</w:t>
      </w:r>
      <w:r w:rsidRPr="00B80AD7">
        <w:rPr>
          <w:rFonts w:ascii="Times New Roman" w:hAnsi="Times New Roman"/>
          <w:b/>
          <w:bCs/>
          <w:lang w:val="pt-BR"/>
        </w:rPr>
        <w:tab/>
        <w:t>Špeciálne opatrenia na likvidáciu</w:t>
      </w:r>
    </w:p>
    <w:p w14:paraId="5D315CBF" w14:textId="77777777" w:rsidR="00EE7539" w:rsidRPr="00B80AD7" w:rsidRDefault="00EE7539" w:rsidP="00675525">
      <w:pPr>
        <w:spacing w:after="0" w:line="240" w:lineRule="auto"/>
        <w:rPr>
          <w:rFonts w:ascii="Times New Roman" w:hAnsi="Times New Roman"/>
          <w:lang w:val="pt-BR"/>
        </w:rPr>
      </w:pPr>
    </w:p>
    <w:p w14:paraId="49BFE29A" w14:textId="77777777" w:rsidR="00EE7539" w:rsidRPr="00B80AD7" w:rsidRDefault="00EE7539" w:rsidP="00B01281">
      <w:pPr>
        <w:spacing w:after="0" w:line="240" w:lineRule="auto"/>
        <w:ind w:right="-20"/>
        <w:rPr>
          <w:rFonts w:ascii="Times New Roman" w:hAnsi="Times New Roman"/>
          <w:lang w:val="pt-BR"/>
        </w:rPr>
      </w:pPr>
      <w:r w:rsidRPr="00B80AD7">
        <w:rPr>
          <w:rFonts w:ascii="Times New Roman" w:hAnsi="Times New Roman"/>
          <w:lang w:val="pt-BR"/>
        </w:rPr>
        <w:t>Žiadne zvláštne požiadavky.</w:t>
      </w:r>
    </w:p>
    <w:p w14:paraId="61651844" w14:textId="77777777" w:rsidR="00EE7539" w:rsidRPr="00B80AD7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7E60DF3C" w14:textId="77777777" w:rsidR="00EE7539" w:rsidRPr="00B80AD7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65610EA2" w14:textId="77777777" w:rsidR="00EE7539" w:rsidRPr="005713B4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pt-BR"/>
        </w:rPr>
      </w:pPr>
      <w:r w:rsidRPr="005713B4">
        <w:rPr>
          <w:rFonts w:ascii="Times New Roman" w:hAnsi="Times New Roman"/>
          <w:b/>
          <w:bCs/>
          <w:lang w:val="pt-BR"/>
        </w:rPr>
        <w:t>7.</w:t>
      </w:r>
      <w:r w:rsidRPr="0050247A">
        <w:rPr>
          <w:rFonts w:ascii="Times New Roman" w:hAnsi="Times New Roman"/>
          <w:b/>
          <w:bCs/>
          <w:lang w:val="pt-BR"/>
        </w:rPr>
        <w:tab/>
      </w:r>
      <w:r w:rsidRPr="005713B4">
        <w:rPr>
          <w:rFonts w:ascii="Times New Roman" w:hAnsi="Times New Roman"/>
          <w:b/>
          <w:bCs/>
          <w:lang w:val="pt-BR"/>
        </w:rPr>
        <w:t>DRŽITEĽ ROZHODNUTIA O REGISTRÁCII</w:t>
      </w:r>
    </w:p>
    <w:p w14:paraId="577B5735" w14:textId="77777777" w:rsidR="00EE7539" w:rsidRPr="005713B4" w:rsidRDefault="00EE7539" w:rsidP="00B01281">
      <w:pPr>
        <w:spacing w:after="0" w:line="240" w:lineRule="auto"/>
        <w:rPr>
          <w:rFonts w:ascii="Times New Roman" w:hAnsi="Times New Roman"/>
          <w:lang w:val="pt-BR"/>
        </w:rPr>
      </w:pPr>
    </w:p>
    <w:p w14:paraId="31CD7DD9" w14:textId="77777777" w:rsidR="00EE7539" w:rsidRPr="00005378" w:rsidRDefault="00EE7539" w:rsidP="00207DAE">
      <w:pPr>
        <w:spacing w:after="0" w:line="240" w:lineRule="auto"/>
        <w:rPr>
          <w:rFonts w:ascii="Times New Roman" w:hAnsi="Times New Roman"/>
          <w:lang w:val="sk-SK"/>
        </w:rPr>
      </w:pPr>
      <w:r w:rsidRPr="00005378">
        <w:rPr>
          <w:rFonts w:ascii="Times New Roman" w:hAnsi="Times New Roman"/>
          <w:lang w:val="sk-SK"/>
        </w:rPr>
        <w:t>G.L. Pharma GmbH</w:t>
      </w:r>
    </w:p>
    <w:p w14:paraId="3361AF65" w14:textId="77777777" w:rsidR="00EE7539" w:rsidRPr="00005378" w:rsidRDefault="00EE7539" w:rsidP="00207DAE">
      <w:pPr>
        <w:spacing w:after="0" w:line="240" w:lineRule="auto"/>
        <w:rPr>
          <w:rFonts w:ascii="Times New Roman" w:hAnsi="Times New Roman"/>
          <w:lang w:val="sk-SK"/>
        </w:rPr>
      </w:pPr>
      <w:r w:rsidRPr="00005378">
        <w:rPr>
          <w:rFonts w:ascii="Times New Roman" w:hAnsi="Times New Roman"/>
          <w:lang w:val="sk-SK"/>
        </w:rPr>
        <w:t>Schlossplatz 1</w:t>
      </w:r>
    </w:p>
    <w:p w14:paraId="45928D0F" w14:textId="77777777" w:rsidR="00EE7539" w:rsidRPr="00005378" w:rsidRDefault="00EE7539" w:rsidP="00207DAE">
      <w:pPr>
        <w:spacing w:after="0" w:line="240" w:lineRule="auto"/>
        <w:rPr>
          <w:rFonts w:ascii="Times New Roman" w:hAnsi="Times New Roman"/>
          <w:lang w:val="sk-SK"/>
        </w:rPr>
      </w:pPr>
      <w:r w:rsidRPr="00005378">
        <w:rPr>
          <w:rFonts w:ascii="Times New Roman" w:hAnsi="Times New Roman"/>
          <w:lang w:val="sk-SK"/>
        </w:rPr>
        <w:t>8502 Lannach</w:t>
      </w:r>
    </w:p>
    <w:p w14:paraId="223A4A59" w14:textId="77777777" w:rsidR="00EE7539" w:rsidRPr="00005378" w:rsidRDefault="00EE7539" w:rsidP="00207DAE">
      <w:pPr>
        <w:spacing w:after="0" w:line="240" w:lineRule="auto"/>
        <w:rPr>
          <w:rFonts w:ascii="Times New Roman" w:hAnsi="Times New Roman"/>
          <w:lang w:val="sk-SK"/>
        </w:rPr>
      </w:pPr>
      <w:r w:rsidRPr="00005378">
        <w:rPr>
          <w:rFonts w:ascii="Times New Roman" w:hAnsi="Times New Roman"/>
          <w:lang w:val="sk-SK"/>
        </w:rPr>
        <w:t>Rakúsko</w:t>
      </w:r>
    </w:p>
    <w:p w14:paraId="31430044" w14:textId="77777777" w:rsidR="00EE7539" w:rsidRPr="00A0288E" w:rsidRDefault="00EE7539" w:rsidP="00B01281">
      <w:pPr>
        <w:spacing w:after="0" w:line="240" w:lineRule="auto"/>
        <w:rPr>
          <w:rFonts w:ascii="Times New Roman" w:hAnsi="Times New Roman"/>
          <w:lang w:val="cs-CZ"/>
        </w:rPr>
      </w:pPr>
    </w:p>
    <w:p w14:paraId="726DF290" w14:textId="77777777" w:rsidR="00EE7539" w:rsidRPr="00A0288E" w:rsidRDefault="00EE7539" w:rsidP="00B01281">
      <w:pPr>
        <w:spacing w:after="0" w:line="240" w:lineRule="auto"/>
        <w:rPr>
          <w:rFonts w:ascii="Times New Roman" w:hAnsi="Times New Roman"/>
          <w:lang w:val="cs-CZ"/>
        </w:rPr>
      </w:pPr>
    </w:p>
    <w:p w14:paraId="7EFF718C" w14:textId="77777777" w:rsidR="00EE7539" w:rsidRPr="00A0288E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cs-CZ"/>
        </w:rPr>
      </w:pPr>
      <w:r w:rsidRPr="00A0288E">
        <w:rPr>
          <w:rFonts w:ascii="Times New Roman" w:hAnsi="Times New Roman"/>
          <w:b/>
          <w:bCs/>
          <w:lang w:val="cs-CZ"/>
        </w:rPr>
        <w:t>8.</w:t>
      </w:r>
      <w:r w:rsidRPr="00A0288E">
        <w:rPr>
          <w:rFonts w:ascii="Times New Roman" w:hAnsi="Times New Roman"/>
          <w:b/>
          <w:bCs/>
          <w:lang w:val="cs-CZ"/>
        </w:rPr>
        <w:tab/>
        <w:t>REGISTRAČNÉ ČÍSL</w:t>
      </w:r>
      <w:r>
        <w:rPr>
          <w:rFonts w:ascii="Times New Roman" w:hAnsi="Times New Roman"/>
          <w:b/>
          <w:bCs/>
          <w:lang w:val="cs-CZ"/>
        </w:rPr>
        <w:t>O</w:t>
      </w:r>
    </w:p>
    <w:p w14:paraId="28B41626" w14:textId="77777777" w:rsidR="00EE7539" w:rsidRPr="00A0288E" w:rsidRDefault="00EE7539" w:rsidP="00B01281">
      <w:pPr>
        <w:spacing w:after="0" w:line="240" w:lineRule="auto"/>
        <w:rPr>
          <w:rFonts w:ascii="Times New Roman" w:hAnsi="Times New Roman"/>
          <w:lang w:val="cs-CZ"/>
        </w:rPr>
      </w:pPr>
    </w:p>
    <w:p w14:paraId="1FC28740" w14:textId="77777777" w:rsidR="00EE7539" w:rsidRPr="00675525" w:rsidRDefault="00EE7539" w:rsidP="00B01281">
      <w:pPr>
        <w:spacing w:after="0" w:line="240" w:lineRule="auto"/>
        <w:rPr>
          <w:rFonts w:ascii="Times New Roman" w:hAnsi="Times New Roman"/>
          <w:lang w:val="cs-CZ"/>
        </w:rPr>
      </w:pPr>
      <w:r w:rsidRPr="00675525">
        <w:rPr>
          <w:rFonts w:ascii="Times New Roman" w:hAnsi="Times New Roman"/>
          <w:lang w:val="cs-CZ"/>
        </w:rPr>
        <w:t>06/0432/13-S</w:t>
      </w:r>
    </w:p>
    <w:p w14:paraId="04CB54C1" w14:textId="77777777" w:rsidR="00EE7539" w:rsidRDefault="00EE7539" w:rsidP="00B01281">
      <w:pPr>
        <w:spacing w:after="0" w:line="240" w:lineRule="auto"/>
        <w:rPr>
          <w:rFonts w:ascii="Times New Roman" w:hAnsi="Times New Roman"/>
          <w:lang w:val="cs-CZ"/>
        </w:rPr>
      </w:pPr>
    </w:p>
    <w:p w14:paraId="077F33ED" w14:textId="77777777" w:rsidR="00EE7539" w:rsidRPr="00A0288E" w:rsidRDefault="00EE7539" w:rsidP="00B01281">
      <w:pPr>
        <w:spacing w:after="0" w:line="240" w:lineRule="auto"/>
        <w:rPr>
          <w:rFonts w:ascii="Times New Roman" w:hAnsi="Times New Roman"/>
          <w:lang w:val="cs-CZ"/>
        </w:rPr>
      </w:pPr>
    </w:p>
    <w:p w14:paraId="35F7CD56" w14:textId="77777777" w:rsidR="00EE7539" w:rsidRPr="00A0288E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cs-CZ"/>
        </w:rPr>
      </w:pPr>
      <w:r w:rsidRPr="00A0288E">
        <w:rPr>
          <w:rFonts w:ascii="Times New Roman" w:hAnsi="Times New Roman"/>
          <w:b/>
          <w:bCs/>
          <w:lang w:val="cs-CZ"/>
        </w:rPr>
        <w:lastRenderedPageBreak/>
        <w:t>9.</w:t>
      </w:r>
      <w:r w:rsidRPr="00A0288E">
        <w:rPr>
          <w:rFonts w:ascii="Times New Roman" w:hAnsi="Times New Roman"/>
          <w:b/>
          <w:bCs/>
          <w:lang w:val="cs-CZ"/>
        </w:rPr>
        <w:tab/>
        <w:t>DÁTUM PRVEJ REGISTRÁCIE/ PREDĹŽENIA REGISTRÁCIE</w:t>
      </w:r>
    </w:p>
    <w:p w14:paraId="7E8D2598" w14:textId="77777777" w:rsidR="00EE7539" w:rsidRDefault="00EE7539" w:rsidP="00B01281">
      <w:pPr>
        <w:spacing w:after="0" w:line="240" w:lineRule="auto"/>
        <w:rPr>
          <w:rFonts w:ascii="Times New Roman" w:hAnsi="Times New Roman"/>
          <w:lang w:val="cs-CZ"/>
        </w:rPr>
      </w:pPr>
    </w:p>
    <w:p w14:paraId="07E831C2" w14:textId="77777777" w:rsidR="00EE7539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  <w:r w:rsidRPr="00005378">
        <w:rPr>
          <w:rFonts w:ascii="Times New Roman" w:hAnsi="Times New Roman"/>
          <w:lang w:val="sk-SK"/>
        </w:rPr>
        <w:t>Dátum prvej registrácie: 21. novembr</w:t>
      </w:r>
      <w:r w:rsidR="00A00D79">
        <w:rPr>
          <w:rFonts w:ascii="Times New Roman" w:hAnsi="Times New Roman"/>
          <w:lang w:val="sk-SK"/>
        </w:rPr>
        <w:t>a</w:t>
      </w:r>
      <w:r w:rsidRPr="00005378">
        <w:rPr>
          <w:rFonts w:ascii="Times New Roman" w:hAnsi="Times New Roman"/>
          <w:lang w:val="sk-SK"/>
        </w:rPr>
        <w:t xml:space="preserve"> 2013</w:t>
      </w:r>
    </w:p>
    <w:p w14:paraId="71C98490" w14:textId="77777777" w:rsidR="00DC077F" w:rsidRPr="00005378" w:rsidRDefault="00DC077F" w:rsidP="00B01281">
      <w:pPr>
        <w:spacing w:after="0" w:line="240" w:lineRule="auto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Dátum </w:t>
      </w:r>
      <w:r w:rsidR="00EA327A">
        <w:rPr>
          <w:rFonts w:ascii="Times New Roman" w:hAnsi="Times New Roman"/>
          <w:lang w:val="sk-SK"/>
        </w:rPr>
        <w:t xml:space="preserve">posledného </w:t>
      </w:r>
      <w:r>
        <w:rPr>
          <w:rFonts w:ascii="Times New Roman" w:hAnsi="Times New Roman"/>
          <w:lang w:val="sk-SK"/>
        </w:rPr>
        <w:t>predĺženia registrácie:</w:t>
      </w:r>
    </w:p>
    <w:p w14:paraId="5AEF8524" w14:textId="77777777" w:rsidR="00EE7539" w:rsidRPr="00A0288E" w:rsidRDefault="00EE7539" w:rsidP="00B01281">
      <w:pPr>
        <w:spacing w:after="0" w:line="240" w:lineRule="auto"/>
        <w:rPr>
          <w:rFonts w:ascii="Times New Roman" w:hAnsi="Times New Roman"/>
          <w:lang w:val="cs-CZ"/>
        </w:rPr>
      </w:pPr>
    </w:p>
    <w:p w14:paraId="31D3A798" w14:textId="77777777" w:rsidR="00EE7539" w:rsidRPr="00AA61BF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1FD1532E" w14:textId="77777777" w:rsidR="00EE7539" w:rsidRPr="00AA61BF" w:rsidRDefault="00EE7539" w:rsidP="00B01281">
      <w:pPr>
        <w:tabs>
          <w:tab w:val="left" w:pos="680"/>
        </w:tabs>
        <w:spacing w:after="0" w:line="240" w:lineRule="auto"/>
        <w:ind w:right="-20"/>
        <w:rPr>
          <w:rFonts w:ascii="Times New Roman" w:hAnsi="Times New Roman"/>
          <w:lang w:val="sk-SK"/>
        </w:rPr>
      </w:pPr>
      <w:r w:rsidRPr="00AA61BF">
        <w:rPr>
          <w:rFonts w:ascii="Times New Roman" w:hAnsi="Times New Roman"/>
          <w:b/>
          <w:bCs/>
          <w:lang w:val="sk-SK"/>
        </w:rPr>
        <w:t>10.</w:t>
      </w:r>
      <w:r w:rsidRPr="00AA61BF">
        <w:rPr>
          <w:rFonts w:ascii="Times New Roman" w:hAnsi="Times New Roman"/>
          <w:b/>
          <w:bCs/>
          <w:lang w:val="sk-SK"/>
        </w:rPr>
        <w:tab/>
        <w:t>DÁTUM REVÍZIE TEXTU</w:t>
      </w:r>
    </w:p>
    <w:p w14:paraId="3C70C0D6" w14:textId="77777777" w:rsidR="00EE7539" w:rsidRPr="00AA61BF" w:rsidRDefault="00EE7539" w:rsidP="00B01281">
      <w:pPr>
        <w:spacing w:after="0" w:line="240" w:lineRule="auto"/>
        <w:rPr>
          <w:rFonts w:ascii="Times New Roman" w:hAnsi="Times New Roman"/>
          <w:lang w:val="sk-SK"/>
        </w:rPr>
      </w:pPr>
    </w:p>
    <w:p w14:paraId="4CA2A344" w14:textId="338D154C" w:rsidR="00EE7539" w:rsidRDefault="00DC077F" w:rsidP="00B01281">
      <w:pPr>
        <w:spacing w:after="0" w:line="24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sk-SK"/>
        </w:rPr>
        <w:t>0</w:t>
      </w:r>
      <w:r w:rsidR="00EA327A">
        <w:rPr>
          <w:rFonts w:ascii="Times New Roman" w:hAnsi="Times New Roman"/>
          <w:lang w:val="sk-SK"/>
        </w:rPr>
        <w:t>5</w:t>
      </w:r>
      <w:r>
        <w:rPr>
          <w:rFonts w:ascii="Times New Roman" w:hAnsi="Times New Roman"/>
          <w:lang w:val="sk-SK"/>
        </w:rPr>
        <w:t>/</w:t>
      </w:r>
      <w:r w:rsidR="00EE7539">
        <w:rPr>
          <w:rFonts w:ascii="Times New Roman" w:hAnsi="Times New Roman"/>
          <w:lang w:val="de-DE"/>
        </w:rPr>
        <w:t>201</w:t>
      </w:r>
      <w:r>
        <w:rPr>
          <w:rFonts w:ascii="Times New Roman" w:hAnsi="Times New Roman"/>
          <w:lang w:val="de-DE"/>
        </w:rPr>
        <w:t>8</w:t>
      </w:r>
    </w:p>
    <w:sectPr w:rsidR="00EE7539" w:rsidSect="00897939">
      <w:headerReference w:type="default" r:id="rId8"/>
      <w:footerReference w:type="default" r:id="rId9"/>
      <w:pgSz w:w="11920" w:h="16840"/>
      <w:pgMar w:top="1320" w:right="1400" w:bottom="960" w:left="1300" w:header="0" w:footer="7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009CD" w14:textId="77777777" w:rsidR="00836C9C" w:rsidRDefault="00836C9C">
      <w:pPr>
        <w:spacing w:after="0" w:line="240" w:lineRule="auto"/>
      </w:pPr>
      <w:r>
        <w:separator/>
      </w:r>
    </w:p>
  </w:endnote>
  <w:endnote w:type="continuationSeparator" w:id="0">
    <w:p w14:paraId="0B41893D" w14:textId="77777777" w:rsidR="00836C9C" w:rsidRDefault="0083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B272A" w14:textId="77777777" w:rsidR="00D636CD" w:rsidRPr="0017050B" w:rsidRDefault="00D636CD">
    <w:pPr>
      <w:pStyle w:val="Pta"/>
      <w:jc w:val="center"/>
      <w:rPr>
        <w:rFonts w:ascii="Times New Roman" w:hAnsi="Times New Roman"/>
        <w:sz w:val="18"/>
        <w:szCs w:val="18"/>
      </w:rPr>
    </w:pPr>
    <w:r w:rsidRPr="0017050B">
      <w:rPr>
        <w:rFonts w:ascii="Times New Roman" w:hAnsi="Times New Roman"/>
        <w:sz w:val="18"/>
        <w:szCs w:val="18"/>
      </w:rPr>
      <w:fldChar w:fldCharType="begin"/>
    </w:r>
    <w:r w:rsidRPr="0017050B">
      <w:rPr>
        <w:rFonts w:ascii="Times New Roman" w:hAnsi="Times New Roman"/>
        <w:sz w:val="18"/>
        <w:szCs w:val="18"/>
      </w:rPr>
      <w:instrText>PAGE   \* MERGEFORMAT</w:instrText>
    </w:r>
    <w:r w:rsidRPr="0017050B">
      <w:rPr>
        <w:rFonts w:ascii="Times New Roman" w:hAnsi="Times New Roman"/>
        <w:sz w:val="18"/>
        <w:szCs w:val="18"/>
      </w:rPr>
      <w:fldChar w:fldCharType="separate"/>
    </w:r>
    <w:r w:rsidR="00CB68C9" w:rsidRPr="00CB68C9">
      <w:rPr>
        <w:rFonts w:ascii="Times New Roman" w:hAnsi="Times New Roman"/>
        <w:noProof/>
        <w:sz w:val="18"/>
        <w:szCs w:val="18"/>
        <w:lang w:val="sk-SK"/>
      </w:rPr>
      <w:t>1</w:t>
    </w:r>
    <w:r w:rsidRPr="0017050B">
      <w:rPr>
        <w:rFonts w:ascii="Times New Roman" w:hAnsi="Times New Roman"/>
        <w:sz w:val="18"/>
        <w:szCs w:val="18"/>
      </w:rPr>
      <w:fldChar w:fldCharType="end"/>
    </w:r>
  </w:p>
  <w:p w14:paraId="279A6860" w14:textId="77777777" w:rsidR="00D636CD" w:rsidRDefault="00D636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6ED91" w14:textId="77777777" w:rsidR="00836C9C" w:rsidRDefault="00836C9C">
      <w:pPr>
        <w:spacing w:after="0" w:line="240" w:lineRule="auto"/>
      </w:pPr>
      <w:r>
        <w:separator/>
      </w:r>
    </w:p>
  </w:footnote>
  <w:footnote w:type="continuationSeparator" w:id="0">
    <w:p w14:paraId="7476EBE6" w14:textId="77777777" w:rsidR="00836C9C" w:rsidRDefault="0083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D7F98" w14:textId="77777777" w:rsidR="00D636CD" w:rsidRDefault="00D636CD">
    <w:pPr>
      <w:pStyle w:val="Hlavika"/>
    </w:pPr>
  </w:p>
  <w:p w14:paraId="4AC4D535" w14:textId="77777777" w:rsidR="00D636CD" w:rsidRPr="00AA61BF" w:rsidRDefault="00D636CD">
    <w:pPr>
      <w:pStyle w:val="Hlavika"/>
      <w:rPr>
        <w:rFonts w:ascii="Times New Roman" w:hAnsi="Times New Roman"/>
        <w:sz w:val="18"/>
        <w:szCs w:val="18"/>
        <w:lang w:val="sk-SK"/>
      </w:rPr>
    </w:pPr>
    <w:r w:rsidRPr="00AA61BF">
      <w:rPr>
        <w:rFonts w:ascii="Times New Roman" w:hAnsi="Times New Roman"/>
        <w:sz w:val="18"/>
        <w:szCs w:val="18"/>
        <w:lang w:val="sk-SK"/>
      </w:rPr>
      <w:t>Schválený text k rozhodnutiu o predĺžení, ev. č.: 2017/01854-PRE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814AB"/>
    <w:multiLevelType w:val="hybridMultilevel"/>
    <w:tmpl w:val="17E0315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51DA1"/>
    <w:multiLevelType w:val="hybridMultilevel"/>
    <w:tmpl w:val="ABA2ECBA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93DEA"/>
    <w:multiLevelType w:val="hybridMultilevel"/>
    <w:tmpl w:val="C68450F8"/>
    <w:lvl w:ilvl="0" w:tplc="D632BFE2">
      <w:numFmt w:val="bullet"/>
      <w:lvlText w:val=""/>
      <w:lvlJc w:val="left"/>
      <w:pPr>
        <w:ind w:left="1035" w:hanging="675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26807"/>
    <w:multiLevelType w:val="hybridMultilevel"/>
    <w:tmpl w:val="3A342832"/>
    <w:lvl w:ilvl="0" w:tplc="02F6E5CA">
      <w:numFmt w:val="bullet"/>
      <w:lvlText w:val=""/>
      <w:lvlJc w:val="left"/>
      <w:pPr>
        <w:ind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DD92AD1"/>
    <w:multiLevelType w:val="hybridMultilevel"/>
    <w:tmpl w:val="A84E6A5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D2A07"/>
    <w:multiLevelType w:val="hybridMultilevel"/>
    <w:tmpl w:val="04660E2C"/>
    <w:lvl w:ilvl="0" w:tplc="BB286D56">
      <w:start w:val="1"/>
      <w:numFmt w:val="decimal"/>
      <w:lvlText w:val="%1."/>
      <w:lvlJc w:val="left"/>
      <w:pPr>
        <w:ind w:left="676" w:hanging="67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86"/>
    <w:rsid w:val="00005378"/>
    <w:rsid w:val="00026677"/>
    <w:rsid w:val="00041DFD"/>
    <w:rsid w:val="00051D22"/>
    <w:rsid w:val="0006512A"/>
    <w:rsid w:val="00070D46"/>
    <w:rsid w:val="000755CA"/>
    <w:rsid w:val="000847A1"/>
    <w:rsid w:val="00097CEC"/>
    <w:rsid w:val="000E1DEB"/>
    <w:rsid w:val="000E55E5"/>
    <w:rsid w:val="000E7631"/>
    <w:rsid w:val="001058ED"/>
    <w:rsid w:val="0011117D"/>
    <w:rsid w:val="001222B3"/>
    <w:rsid w:val="001266E3"/>
    <w:rsid w:val="001364B5"/>
    <w:rsid w:val="001434B9"/>
    <w:rsid w:val="00146023"/>
    <w:rsid w:val="00164BC1"/>
    <w:rsid w:val="0017050B"/>
    <w:rsid w:val="001F716C"/>
    <w:rsid w:val="0020251F"/>
    <w:rsid w:val="00207DAE"/>
    <w:rsid w:val="00211BDE"/>
    <w:rsid w:val="002227B5"/>
    <w:rsid w:val="0023008F"/>
    <w:rsid w:val="00243491"/>
    <w:rsid w:val="00291B97"/>
    <w:rsid w:val="00293404"/>
    <w:rsid w:val="002A20FD"/>
    <w:rsid w:val="002A2691"/>
    <w:rsid w:val="002B24E7"/>
    <w:rsid w:val="002E52E3"/>
    <w:rsid w:val="0032206D"/>
    <w:rsid w:val="00335CF7"/>
    <w:rsid w:val="00337D44"/>
    <w:rsid w:val="00344582"/>
    <w:rsid w:val="003474CD"/>
    <w:rsid w:val="0036454F"/>
    <w:rsid w:val="00365866"/>
    <w:rsid w:val="0036646A"/>
    <w:rsid w:val="00395AAE"/>
    <w:rsid w:val="003B251B"/>
    <w:rsid w:val="0041352D"/>
    <w:rsid w:val="0041770A"/>
    <w:rsid w:val="00421A73"/>
    <w:rsid w:val="00437685"/>
    <w:rsid w:val="00480BF5"/>
    <w:rsid w:val="00492B51"/>
    <w:rsid w:val="004A445D"/>
    <w:rsid w:val="004B2F06"/>
    <w:rsid w:val="004C078A"/>
    <w:rsid w:val="004D12E7"/>
    <w:rsid w:val="0050247A"/>
    <w:rsid w:val="005060F4"/>
    <w:rsid w:val="00506E33"/>
    <w:rsid w:val="00507550"/>
    <w:rsid w:val="0055140B"/>
    <w:rsid w:val="005713B4"/>
    <w:rsid w:val="00574889"/>
    <w:rsid w:val="005A3557"/>
    <w:rsid w:val="005B0DED"/>
    <w:rsid w:val="005D0C15"/>
    <w:rsid w:val="005D348E"/>
    <w:rsid w:val="00617CE0"/>
    <w:rsid w:val="00641158"/>
    <w:rsid w:val="00644718"/>
    <w:rsid w:val="00651C10"/>
    <w:rsid w:val="00675525"/>
    <w:rsid w:val="00676C11"/>
    <w:rsid w:val="006903D5"/>
    <w:rsid w:val="00690B52"/>
    <w:rsid w:val="006B2008"/>
    <w:rsid w:val="006B5632"/>
    <w:rsid w:val="006C0A2A"/>
    <w:rsid w:val="006C4C91"/>
    <w:rsid w:val="006D4530"/>
    <w:rsid w:val="006E2718"/>
    <w:rsid w:val="006E7B75"/>
    <w:rsid w:val="006F411A"/>
    <w:rsid w:val="006F4DB8"/>
    <w:rsid w:val="006F764E"/>
    <w:rsid w:val="007119CE"/>
    <w:rsid w:val="00720698"/>
    <w:rsid w:val="00720F7F"/>
    <w:rsid w:val="00731871"/>
    <w:rsid w:val="007461DF"/>
    <w:rsid w:val="00751861"/>
    <w:rsid w:val="0076398A"/>
    <w:rsid w:val="00786F49"/>
    <w:rsid w:val="007970EA"/>
    <w:rsid w:val="007D4ADA"/>
    <w:rsid w:val="007E596C"/>
    <w:rsid w:val="007F4F8E"/>
    <w:rsid w:val="007F6576"/>
    <w:rsid w:val="00806BD9"/>
    <w:rsid w:val="00836C9C"/>
    <w:rsid w:val="00852BB4"/>
    <w:rsid w:val="00864985"/>
    <w:rsid w:val="008803ED"/>
    <w:rsid w:val="0089749A"/>
    <w:rsid w:val="00897939"/>
    <w:rsid w:val="008C2D93"/>
    <w:rsid w:val="008D02F4"/>
    <w:rsid w:val="00900586"/>
    <w:rsid w:val="00900CD8"/>
    <w:rsid w:val="00923872"/>
    <w:rsid w:val="009268FC"/>
    <w:rsid w:val="009301F8"/>
    <w:rsid w:val="00940A7B"/>
    <w:rsid w:val="00985B9E"/>
    <w:rsid w:val="0099218C"/>
    <w:rsid w:val="009A32A9"/>
    <w:rsid w:val="009A719E"/>
    <w:rsid w:val="009C15D0"/>
    <w:rsid w:val="009C2F83"/>
    <w:rsid w:val="009D6A82"/>
    <w:rsid w:val="009F017C"/>
    <w:rsid w:val="00A00D79"/>
    <w:rsid w:val="00A0288E"/>
    <w:rsid w:val="00A30E66"/>
    <w:rsid w:val="00A54F30"/>
    <w:rsid w:val="00A55ED1"/>
    <w:rsid w:val="00A632BF"/>
    <w:rsid w:val="00A63FED"/>
    <w:rsid w:val="00A772E3"/>
    <w:rsid w:val="00A820E3"/>
    <w:rsid w:val="00A93609"/>
    <w:rsid w:val="00AA61BF"/>
    <w:rsid w:val="00AB4BE5"/>
    <w:rsid w:val="00AB6C2C"/>
    <w:rsid w:val="00AD42A3"/>
    <w:rsid w:val="00AF728B"/>
    <w:rsid w:val="00B01281"/>
    <w:rsid w:val="00B31F6C"/>
    <w:rsid w:val="00B50453"/>
    <w:rsid w:val="00B52612"/>
    <w:rsid w:val="00B60A9C"/>
    <w:rsid w:val="00B6386D"/>
    <w:rsid w:val="00B66868"/>
    <w:rsid w:val="00B67054"/>
    <w:rsid w:val="00B804AE"/>
    <w:rsid w:val="00B80AD7"/>
    <w:rsid w:val="00B926BE"/>
    <w:rsid w:val="00BA78CF"/>
    <w:rsid w:val="00BB22C4"/>
    <w:rsid w:val="00BC5412"/>
    <w:rsid w:val="00BF30E3"/>
    <w:rsid w:val="00C07C4E"/>
    <w:rsid w:val="00C2278C"/>
    <w:rsid w:val="00C26920"/>
    <w:rsid w:val="00C31F58"/>
    <w:rsid w:val="00C547FB"/>
    <w:rsid w:val="00C62EEB"/>
    <w:rsid w:val="00C7776A"/>
    <w:rsid w:val="00C93E58"/>
    <w:rsid w:val="00CB68C9"/>
    <w:rsid w:val="00CC0CC1"/>
    <w:rsid w:val="00CC7FC9"/>
    <w:rsid w:val="00CF0C57"/>
    <w:rsid w:val="00CF3975"/>
    <w:rsid w:val="00CF4A27"/>
    <w:rsid w:val="00D30F5A"/>
    <w:rsid w:val="00D35C14"/>
    <w:rsid w:val="00D40AFE"/>
    <w:rsid w:val="00D513B3"/>
    <w:rsid w:val="00D628C8"/>
    <w:rsid w:val="00D636CD"/>
    <w:rsid w:val="00D657A8"/>
    <w:rsid w:val="00D72E36"/>
    <w:rsid w:val="00D91B6C"/>
    <w:rsid w:val="00DA4440"/>
    <w:rsid w:val="00DB2F94"/>
    <w:rsid w:val="00DB4C36"/>
    <w:rsid w:val="00DC077F"/>
    <w:rsid w:val="00DC2A27"/>
    <w:rsid w:val="00DD383F"/>
    <w:rsid w:val="00DE6684"/>
    <w:rsid w:val="00DF63CF"/>
    <w:rsid w:val="00E05795"/>
    <w:rsid w:val="00E216FF"/>
    <w:rsid w:val="00E235A3"/>
    <w:rsid w:val="00E43E85"/>
    <w:rsid w:val="00E5344B"/>
    <w:rsid w:val="00E676BF"/>
    <w:rsid w:val="00E8159F"/>
    <w:rsid w:val="00E9095F"/>
    <w:rsid w:val="00EA327A"/>
    <w:rsid w:val="00EB6EF8"/>
    <w:rsid w:val="00ED7502"/>
    <w:rsid w:val="00EE7539"/>
    <w:rsid w:val="00EF4FB2"/>
    <w:rsid w:val="00F07E5D"/>
    <w:rsid w:val="00F1023E"/>
    <w:rsid w:val="00F22339"/>
    <w:rsid w:val="00F22A2B"/>
    <w:rsid w:val="00F43F3A"/>
    <w:rsid w:val="00F56C0B"/>
    <w:rsid w:val="00F64960"/>
    <w:rsid w:val="00F666DA"/>
    <w:rsid w:val="00F85BA8"/>
    <w:rsid w:val="00F8763C"/>
    <w:rsid w:val="00F92E22"/>
    <w:rsid w:val="00F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6A5DD"/>
  <w15:docId w15:val="{8C53038C-CE2E-492E-9112-982A97BD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6C11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9C2F83"/>
    <w:pPr>
      <w:ind w:left="720"/>
      <w:contextualSpacing/>
    </w:pPr>
  </w:style>
  <w:style w:type="character" w:styleId="Hypertextovprepojenie">
    <w:name w:val="Hyperlink"/>
    <w:uiPriority w:val="99"/>
    <w:rsid w:val="00335CF7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207DAE"/>
    <w:pPr>
      <w:spacing w:after="0" w:line="240" w:lineRule="auto"/>
    </w:pPr>
    <w:rPr>
      <w:rFonts w:ascii="Tahoma" w:hAnsi="Tahoma"/>
      <w:sz w:val="16"/>
      <w:szCs w:val="20"/>
      <w:lang w:val="sk-SK" w:eastAsia="sk-SK"/>
    </w:rPr>
  </w:style>
  <w:style w:type="character" w:customStyle="1" w:styleId="TextbublinyChar">
    <w:name w:val="Text bubliny Char"/>
    <w:link w:val="Textbubliny"/>
    <w:uiPriority w:val="99"/>
    <w:semiHidden/>
    <w:locked/>
    <w:rsid w:val="00207DAE"/>
    <w:rPr>
      <w:rFonts w:ascii="Tahoma" w:hAnsi="Tahoma"/>
      <w:sz w:val="16"/>
    </w:rPr>
  </w:style>
  <w:style w:type="table" w:styleId="Mriekatabuky">
    <w:name w:val="Table Grid"/>
    <w:basedOn w:val="Normlnatabuka"/>
    <w:uiPriority w:val="99"/>
    <w:rsid w:val="00A0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00D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00D79"/>
    <w:rPr>
      <w:sz w:val="22"/>
      <w:szCs w:val="22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A00D7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00D79"/>
    <w:rPr>
      <w:sz w:val="22"/>
      <w:szCs w:val="22"/>
      <w:lang w:val="en-US" w:eastAsia="en-US"/>
    </w:rPr>
  </w:style>
  <w:style w:type="character" w:styleId="Odkaznakomentr">
    <w:name w:val="annotation reference"/>
    <w:uiPriority w:val="99"/>
    <w:semiHidden/>
    <w:unhideWhenUsed/>
    <w:rsid w:val="00E909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9095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9095F"/>
    <w:rPr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095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9095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Memantin</vt:lpstr>
    </vt:vector>
  </TitlesOfParts>
  <Manager>ul</Manager>
  <Company>DiaMed</Company>
  <LinksUpToDate>false</LinksUpToDate>
  <CharactersWithSpaces>20175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Memantin</dc:title>
  <dc:subject>SmPC - SK</dc:subject>
  <dc:creator>GLPharma 6</dc:creator>
  <cp:lastModifiedBy>Molnárová, Zuzana</cp:lastModifiedBy>
  <cp:revision>2</cp:revision>
  <cp:lastPrinted>2018-05-30T07:30:00Z</cp:lastPrinted>
  <dcterms:created xsi:type="dcterms:W3CDTF">2018-05-30T07:35:00Z</dcterms:created>
  <dcterms:modified xsi:type="dcterms:W3CDTF">2018-05-30T07:35:00Z</dcterms:modified>
</cp:coreProperties>
</file>