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74" w:rsidRPr="00405EB6" w:rsidRDefault="00A06174" w:rsidP="00307855">
      <w:pPr>
        <w:jc w:val="center"/>
        <w:rPr>
          <w:b/>
          <w:szCs w:val="22"/>
        </w:rPr>
      </w:pPr>
      <w:bookmarkStart w:id="0" w:name="_GoBack"/>
      <w:bookmarkEnd w:id="0"/>
      <w:r w:rsidRPr="00405EB6">
        <w:rPr>
          <w:b/>
          <w:caps/>
        </w:rPr>
        <w:t>Súhrn charakteristických vlastností lieku</w:t>
      </w:r>
    </w:p>
    <w:p w:rsidR="00A06174" w:rsidRPr="00405EB6" w:rsidRDefault="00A06174" w:rsidP="00A06174">
      <w:pPr>
        <w:ind w:left="0" w:firstLine="0"/>
        <w:rPr>
          <w:b/>
          <w:szCs w:val="22"/>
        </w:rPr>
      </w:pPr>
    </w:p>
    <w:p w:rsidR="00A07D8F" w:rsidRPr="00405EB6" w:rsidRDefault="00A07D8F" w:rsidP="004C512E">
      <w:pPr>
        <w:rPr>
          <w:b/>
          <w:szCs w:val="22"/>
        </w:rPr>
      </w:pPr>
    </w:p>
    <w:p w:rsidR="00B4438E" w:rsidRPr="00405EB6" w:rsidRDefault="00B4438E" w:rsidP="004C512E">
      <w:pPr>
        <w:rPr>
          <w:szCs w:val="22"/>
        </w:rPr>
      </w:pPr>
      <w:r w:rsidRPr="00405EB6">
        <w:rPr>
          <w:b/>
          <w:szCs w:val="22"/>
        </w:rPr>
        <w:t>1.</w:t>
      </w:r>
      <w:r w:rsidRPr="00405EB6">
        <w:rPr>
          <w:b/>
          <w:szCs w:val="22"/>
        </w:rPr>
        <w:tab/>
        <w:t>NÁZOV LIEKU</w:t>
      </w:r>
    </w:p>
    <w:p w:rsidR="00780926" w:rsidRPr="00405EB6" w:rsidRDefault="00780926" w:rsidP="004C512E">
      <w:pPr>
        <w:rPr>
          <w:szCs w:val="22"/>
        </w:rPr>
      </w:pPr>
    </w:p>
    <w:p w:rsidR="00E530EF" w:rsidRPr="009026CA" w:rsidRDefault="00E530EF" w:rsidP="00E530EF">
      <w:pPr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 w:rsidRPr="009026CA">
        <w:rPr>
          <w:color w:val="000000"/>
        </w:rPr>
        <w:t xml:space="preserve"> 60</w:t>
      </w:r>
      <w:r>
        <w:rPr>
          <w:color w:val="000000"/>
        </w:rPr>
        <w:t> </w:t>
      </w:r>
      <w:r w:rsidRPr="009026CA">
        <w:rPr>
          <w:color w:val="000000"/>
        </w:rPr>
        <w:t>mg tablet</w:t>
      </w:r>
      <w:r w:rsidR="003945B0">
        <w:rPr>
          <w:color w:val="000000"/>
        </w:rPr>
        <w:t>y</w:t>
      </w:r>
      <w:r w:rsidRPr="009026CA">
        <w:rPr>
          <w:color w:val="000000"/>
        </w:rPr>
        <w:t xml:space="preserve"> s riadeným uvoľňovaním</w:t>
      </w:r>
    </w:p>
    <w:p w:rsidR="00780926" w:rsidRPr="00405EB6" w:rsidRDefault="00780926" w:rsidP="004C512E">
      <w:pPr>
        <w:ind w:left="0" w:firstLine="0"/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2.</w:t>
      </w:r>
      <w:r w:rsidRPr="00405EB6">
        <w:rPr>
          <w:b/>
          <w:szCs w:val="22"/>
        </w:rPr>
        <w:tab/>
        <w:t>KVALITATÍVNE A KVANTITATÍVNE ZLOŽENIE</w:t>
      </w:r>
    </w:p>
    <w:p w:rsidR="00250AC5" w:rsidRDefault="00250AC5" w:rsidP="00250AC5">
      <w:pPr>
        <w:rPr>
          <w:szCs w:val="22"/>
        </w:rPr>
      </w:pPr>
    </w:p>
    <w:p w:rsidR="00E530EF" w:rsidRDefault="00E530EF" w:rsidP="00E530EF">
      <w:pPr>
        <w:ind w:left="0" w:firstLine="0"/>
        <w:rPr>
          <w:szCs w:val="22"/>
        </w:rPr>
      </w:pPr>
      <w:r>
        <w:rPr>
          <w:szCs w:val="22"/>
        </w:rPr>
        <w:t xml:space="preserve">Každá tableta </w:t>
      </w:r>
      <w:r w:rsidRPr="00774119">
        <w:rPr>
          <w:szCs w:val="22"/>
        </w:rPr>
        <w:t>s </w:t>
      </w:r>
      <w:r>
        <w:rPr>
          <w:szCs w:val="22"/>
        </w:rPr>
        <w:t>riadeným</w:t>
      </w:r>
      <w:r w:rsidRPr="00774119">
        <w:rPr>
          <w:szCs w:val="22"/>
        </w:rPr>
        <w:t xml:space="preserve"> uvoľňovaním</w:t>
      </w:r>
      <w:r>
        <w:rPr>
          <w:szCs w:val="22"/>
        </w:rPr>
        <w:t xml:space="preserve"> obsahuje 60 mg </w:t>
      </w:r>
      <w:proofErr w:type="spellStart"/>
      <w:r>
        <w:rPr>
          <w:szCs w:val="22"/>
        </w:rPr>
        <w:t>gliklazidu</w:t>
      </w:r>
      <w:proofErr w:type="spellEnd"/>
      <w:r>
        <w:rPr>
          <w:szCs w:val="22"/>
        </w:rPr>
        <w:t>.</w:t>
      </w:r>
    </w:p>
    <w:p w:rsidR="00C877FB" w:rsidRPr="00405EB6" w:rsidRDefault="00C877FB" w:rsidP="004C512E">
      <w:pPr>
        <w:outlineLvl w:val="0"/>
        <w:rPr>
          <w:noProof/>
          <w:szCs w:val="22"/>
        </w:rPr>
      </w:pPr>
      <w:r w:rsidRPr="00405EB6">
        <w:rPr>
          <w:noProof/>
          <w:szCs w:val="22"/>
        </w:rPr>
        <w:t>Úplný zoznam pomocných látok, pozri časť 6.1.</w:t>
      </w: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caps/>
          <w:szCs w:val="22"/>
        </w:rPr>
      </w:pPr>
      <w:r w:rsidRPr="00405EB6">
        <w:rPr>
          <w:b/>
          <w:szCs w:val="22"/>
        </w:rPr>
        <w:t>3.</w:t>
      </w:r>
      <w:r w:rsidRPr="00405EB6">
        <w:rPr>
          <w:b/>
          <w:szCs w:val="22"/>
        </w:rPr>
        <w:tab/>
        <w:t>LIEKOVÁ FORMA</w:t>
      </w:r>
    </w:p>
    <w:p w:rsidR="00780926" w:rsidRPr="00405EB6" w:rsidRDefault="00780926" w:rsidP="004C512E">
      <w:pPr>
        <w:rPr>
          <w:szCs w:val="22"/>
        </w:rPr>
      </w:pPr>
    </w:p>
    <w:p w:rsidR="00E530EF" w:rsidRPr="00714D21" w:rsidRDefault="00E530EF" w:rsidP="00E530EF">
      <w:pPr>
        <w:rPr>
          <w:szCs w:val="22"/>
        </w:rPr>
      </w:pPr>
      <w:r w:rsidRPr="00714D21">
        <w:rPr>
          <w:szCs w:val="22"/>
        </w:rPr>
        <w:t>Tableta s riadeným uvoľňovaním.</w:t>
      </w:r>
    </w:p>
    <w:p w:rsidR="00E530EF" w:rsidRDefault="00E530EF" w:rsidP="008753AD">
      <w:pPr>
        <w:ind w:left="0" w:firstLine="0"/>
        <w:rPr>
          <w:szCs w:val="22"/>
        </w:rPr>
      </w:pPr>
      <w:r w:rsidRPr="00E530EF">
        <w:rPr>
          <w:szCs w:val="22"/>
        </w:rPr>
        <w:t>Biel</w:t>
      </w:r>
      <w:r>
        <w:rPr>
          <w:szCs w:val="22"/>
        </w:rPr>
        <w:t>a</w:t>
      </w:r>
      <w:r w:rsidRPr="00E530EF">
        <w:rPr>
          <w:szCs w:val="22"/>
        </w:rPr>
        <w:t xml:space="preserve"> až takmer biel</w:t>
      </w:r>
      <w:r>
        <w:rPr>
          <w:szCs w:val="22"/>
        </w:rPr>
        <w:t>a</w:t>
      </w:r>
      <w:r w:rsidRPr="00E530EF">
        <w:rPr>
          <w:szCs w:val="22"/>
        </w:rPr>
        <w:t xml:space="preserve"> ováln</w:t>
      </w:r>
      <w:r>
        <w:rPr>
          <w:szCs w:val="22"/>
        </w:rPr>
        <w:t>a</w:t>
      </w:r>
      <w:r w:rsidRPr="00E530EF">
        <w:rPr>
          <w:szCs w:val="22"/>
        </w:rPr>
        <w:t>, nepotiahnut</w:t>
      </w:r>
      <w:r>
        <w:rPr>
          <w:szCs w:val="22"/>
        </w:rPr>
        <w:t>á</w:t>
      </w:r>
      <w:r w:rsidRPr="00E530EF">
        <w:rPr>
          <w:szCs w:val="22"/>
        </w:rPr>
        <w:t xml:space="preserve"> tableta, 13,5</w:t>
      </w:r>
      <w:r>
        <w:rPr>
          <w:szCs w:val="22"/>
        </w:rPr>
        <w:t> </w:t>
      </w:r>
      <w:r w:rsidRPr="00E530EF">
        <w:rPr>
          <w:szCs w:val="22"/>
        </w:rPr>
        <w:t>mm dlh</w:t>
      </w:r>
      <w:r>
        <w:rPr>
          <w:szCs w:val="22"/>
        </w:rPr>
        <w:t>á</w:t>
      </w:r>
      <w:r w:rsidRPr="00E530EF">
        <w:rPr>
          <w:szCs w:val="22"/>
        </w:rPr>
        <w:t>, 6,5</w:t>
      </w:r>
      <w:r>
        <w:rPr>
          <w:szCs w:val="22"/>
        </w:rPr>
        <w:t> </w:t>
      </w:r>
      <w:r w:rsidRPr="00E530EF">
        <w:rPr>
          <w:szCs w:val="22"/>
        </w:rPr>
        <w:t>mm širok</w:t>
      </w:r>
      <w:r>
        <w:rPr>
          <w:szCs w:val="22"/>
        </w:rPr>
        <w:t>á</w:t>
      </w:r>
      <w:r w:rsidRPr="00E530EF">
        <w:rPr>
          <w:szCs w:val="22"/>
        </w:rPr>
        <w:t xml:space="preserve"> a 4,2</w:t>
      </w:r>
      <w:r>
        <w:rPr>
          <w:szCs w:val="22"/>
        </w:rPr>
        <w:t> </w:t>
      </w:r>
      <w:r w:rsidRPr="00E530EF">
        <w:rPr>
          <w:szCs w:val="22"/>
        </w:rPr>
        <w:t xml:space="preserve">mm </w:t>
      </w:r>
      <w:r>
        <w:rPr>
          <w:szCs w:val="22"/>
        </w:rPr>
        <w:t>hrubá</w:t>
      </w:r>
      <w:r w:rsidRPr="00E530EF">
        <w:rPr>
          <w:szCs w:val="22"/>
        </w:rPr>
        <w:t xml:space="preserve">, s deliacou ryhou na </w:t>
      </w:r>
      <w:r>
        <w:rPr>
          <w:szCs w:val="22"/>
        </w:rPr>
        <w:t>oboch stranách</w:t>
      </w:r>
      <w:r w:rsidRPr="00E530EF">
        <w:rPr>
          <w:szCs w:val="22"/>
        </w:rPr>
        <w:t xml:space="preserve"> </w:t>
      </w:r>
      <w:r w:rsidR="00A65440">
        <w:rPr>
          <w:szCs w:val="22"/>
        </w:rPr>
        <w:t xml:space="preserve">a </w:t>
      </w:r>
      <w:r>
        <w:rPr>
          <w:szCs w:val="22"/>
        </w:rPr>
        <w:t>s</w:t>
      </w:r>
      <w:r w:rsidRPr="00E530EF">
        <w:rPr>
          <w:szCs w:val="22"/>
        </w:rPr>
        <w:t xml:space="preserve"> vyrazen</w:t>
      </w:r>
      <w:r>
        <w:rPr>
          <w:szCs w:val="22"/>
        </w:rPr>
        <w:t>ým</w:t>
      </w:r>
      <w:r w:rsidRPr="00E530EF">
        <w:rPr>
          <w:szCs w:val="22"/>
        </w:rPr>
        <w:t xml:space="preserve"> </w:t>
      </w:r>
      <w:r>
        <w:rPr>
          <w:szCs w:val="22"/>
        </w:rPr>
        <w:t>znakom „</w:t>
      </w:r>
      <w:r w:rsidRPr="00E530EF">
        <w:rPr>
          <w:szCs w:val="22"/>
        </w:rPr>
        <w:t>60</w:t>
      </w:r>
      <w:r>
        <w:rPr>
          <w:szCs w:val="22"/>
        </w:rPr>
        <w:t>“</w:t>
      </w:r>
      <w:r w:rsidRPr="00E530EF">
        <w:rPr>
          <w:szCs w:val="22"/>
        </w:rPr>
        <w:t xml:space="preserve"> na jednej strane</w:t>
      </w:r>
      <w:r>
        <w:rPr>
          <w:szCs w:val="22"/>
        </w:rPr>
        <w:t xml:space="preserve"> </w:t>
      </w:r>
      <w:r w:rsidR="00A65440">
        <w:rPr>
          <w:szCs w:val="22"/>
        </w:rPr>
        <w:t xml:space="preserve">deliacej ryhy na jednej strane </w:t>
      </w:r>
      <w:r>
        <w:rPr>
          <w:szCs w:val="22"/>
        </w:rPr>
        <w:t>tablety</w:t>
      </w:r>
      <w:r w:rsidRPr="00E530EF">
        <w:rPr>
          <w:szCs w:val="22"/>
        </w:rPr>
        <w:t>.</w:t>
      </w:r>
      <w:r>
        <w:rPr>
          <w:szCs w:val="22"/>
        </w:rPr>
        <w:t xml:space="preserve"> </w:t>
      </w:r>
    </w:p>
    <w:p w:rsidR="008753AD" w:rsidRDefault="00E530EF" w:rsidP="008753AD">
      <w:pPr>
        <w:ind w:left="0" w:firstLine="0"/>
        <w:rPr>
          <w:szCs w:val="22"/>
        </w:rPr>
      </w:pPr>
      <w:r w:rsidRPr="00E530EF">
        <w:rPr>
          <w:szCs w:val="22"/>
        </w:rPr>
        <w:t>Tableta sa môže rozdeliť na rovnaké dávky.</w:t>
      </w:r>
    </w:p>
    <w:p w:rsidR="008753AD" w:rsidRDefault="008753AD" w:rsidP="008753AD">
      <w:pPr>
        <w:ind w:left="0" w:firstLine="0"/>
        <w:rPr>
          <w:szCs w:val="22"/>
        </w:rPr>
      </w:pPr>
    </w:p>
    <w:p w:rsidR="00883067" w:rsidRPr="00405EB6" w:rsidRDefault="00883067" w:rsidP="004C512E">
      <w:pPr>
        <w:widowControl w:val="0"/>
        <w:tabs>
          <w:tab w:val="left" w:pos="0"/>
        </w:tabs>
        <w:ind w:left="0" w:firstLine="0"/>
        <w:rPr>
          <w:szCs w:val="22"/>
        </w:rPr>
      </w:pPr>
    </w:p>
    <w:p w:rsidR="00780926" w:rsidRPr="00405EB6" w:rsidRDefault="00780926" w:rsidP="004C512E">
      <w:pPr>
        <w:rPr>
          <w:caps/>
          <w:szCs w:val="22"/>
        </w:rPr>
      </w:pPr>
      <w:r w:rsidRPr="00405EB6">
        <w:rPr>
          <w:b/>
          <w:caps/>
          <w:szCs w:val="22"/>
        </w:rPr>
        <w:t>4.</w:t>
      </w:r>
      <w:r w:rsidRPr="00405EB6">
        <w:rPr>
          <w:b/>
          <w:caps/>
          <w:szCs w:val="22"/>
        </w:rPr>
        <w:tab/>
        <w:t>KLINICKÉ ÚDAJE</w:t>
      </w: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4.1</w:t>
      </w:r>
      <w:r w:rsidRPr="00405EB6">
        <w:rPr>
          <w:b/>
          <w:szCs w:val="22"/>
        </w:rPr>
        <w:tab/>
        <w:t>Terapeutické indikácie</w:t>
      </w:r>
    </w:p>
    <w:p w:rsidR="00883067" w:rsidRPr="003A48FF" w:rsidRDefault="00883067" w:rsidP="004C512E">
      <w:pPr>
        <w:rPr>
          <w:szCs w:val="22"/>
        </w:rPr>
      </w:pPr>
    </w:p>
    <w:p w:rsidR="00A65440" w:rsidRPr="00714D21" w:rsidRDefault="00A65440" w:rsidP="00A65440">
      <w:pPr>
        <w:ind w:left="0" w:firstLine="0"/>
        <w:rPr>
          <w:szCs w:val="22"/>
        </w:rPr>
      </w:pPr>
      <w:proofErr w:type="spellStart"/>
      <w:r w:rsidRPr="00714D21">
        <w:rPr>
          <w:szCs w:val="22"/>
        </w:rPr>
        <w:t>Non</w:t>
      </w:r>
      <w:proofErr w:type="spellEnd"/>
      <w:r w:rsidRPr="00714D21">
        <w:rPr>
          <w:szCs w:val="22"/>
        </w:rPr>
        <w:t>-inzulín-</w:t>
      </w:r>
      <w:proofErr w:type="spellStart"/>
      <w:r w:rsidRPr="00714D21">
        <w:rPr>
          <w:szCs w:val="22"/>
        </w:rPr>
        <w:t>dependentný</w:t>
      </w:r>
      <w:proofErr w:type="spellEnd"/>
      <w:r w:rsidRPr="00714D21">
        <w:rPr>
          <w:szCs w:val="22"/>
        </w:rPr>
        <w:t xml:space="preserve"> diabetes (diabetes mellitus 2. typu) u dospelých pacientov, ak dietetické opatrenia, telesné cvičenie a redukcia telesnej hmotnosti samy nestačia kontrolovať glukózu v krvi.</w:t>
      </w:r>
    </w:p>
    <w:p w:rsidR="00780926" w:rsidRPr="00405EB6" w:rsidRDefault="00780926" w:rsidP="00A65440">
      <w:pPr>
        <w:ind w:left="0" w:firstLine="0"/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4.2</w:t>
      </w:r>
      <w:r w:rsidRPr="00405EB6">
        <w:rPr>
          <w:b/>
          <w:szCs w:val="22"/>
        </w:rPr>
        <w:tab/>
        <w:t>Dávkovanie a spôsob pod</w:t>
      </w:r>
      <w:r w:rsidR="004F0429">
        <w:rPr>
          <w:b/>
          <w:szCs w:val="22"/>
        </w:rPr>
        <w:t>áv</w:t>
      </w:r>
      <w:r w:rsidRPr="00405EB6">
        <w:rPr>
          <w:b/>
          <w:szCs w:val="22"/>
        </w:rPr>
        <w:t>ania</w:t>
      </w:r>
    </w:p>
    <w:p w:rsidR="00780926" w:rsidRPr="00405EB6" w:rsidRDefault="00780926" w:rsidP="004C512E">
      <w:pPr>
        <w:rPr>
          <w:szCs w:val="22"/>
        </w:rPr>
      </w:pPr>
    </w:p>
    <w:p w:rsidR="00AB4913" w:rsidRPr="00EC60F8" w:rsidRDefault="00AB4913" w:rsidP="00AB4913">
      <w:pPr>
        <w:tabs>
          <w:tab w:val="left" w:pos="426"/>
          <w:tab w:val="left" w:pos="5217"/>
        </w:tabs>
        <w:ind w:left="0" w:firstLine="0"/>
        <w:rPr>
          <w:spacing w:val="-3"/>
          <w:szCs w:val="22"/>
          <w:u w:val="single"/>
        </w:rPr>
      </w:pPr>
      <w:r w:rsidRPr="00E15BE8">
        <w:rPr>
          <w:spacing w:val="-3"/>
          <w:szCs w:val="22"/>
          <w:u w:val="single"/>
        </w:rPr>
        <w:t>Dávkovanie</w:t>
      </w:r>
    </w:p>
    <w:p w:rsidR="00EA1668" w:rsidRDefault="00EA1668" w:rsidP="0025659E">
      <w:pPr>
        <w:tabs>
          <w:tab w:val="left" w:pos="426"/>
          <w:tab w:val="left" w:pos="5217"/>
        </w:tabs>
        <w:ind w:left="0" w:firstLine="0"/>
        <w:rPr>
          <w:spacing w:val="-3"/>
          <w:szCs w:val="22"/>
        </w:rPr>
      </w:pP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 xml:space="preserve">Denná dávka </w:t>
      </w:r>
      <w:proofErr w:type="spellStart"/>
      <w:r w:rsidRPr="009026CA">
        <w:rPr>
          <w:color w:val="000000"/>
        </w:rPr>
        <w:t>Gliklazid</w:t>
      </w:r>
      <w:r>
        <w:rPr>
          <w:color w:val="000000"/>
        </w:rPr>
        <w:t>u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 w:rsidRPr="009026CA">
        <w:rPr>
          <w:color w:val="000000"/>
        </w:rPr>
        <w:t xml:space="preserve"> </w:t>
      </w:r>
      <w:r w:rsidRPr="00714D21">
        <w:rPr>
          <w:szCs w:val="22"/>
        </w:rPr>
        <w:t xml:space="preserve">sa môže pohybovať od jednej polovice do 2 tabliet denne, </w:t>
      </w:r>
      <w:proofErr w:type="spellStart"/>
      <w:r w:rsidRPr="00714D21">
        <w:rPr>
          <w:i/>
          <w:szCs w:val="22"/>
        </w:rPr>
        <w:t>t.j</w:t>
      </w:r>
      <w:proofErr w:type="spellEnd"/>
      <w:r w:rsidRPr="00714D21">
        <w:rPr>
          <w:i/>
          <w:szCs w:val="22"/>
        </w:rPr>
        <w:t>.</w:t>
      </w:r>
      <w:r w:rsidRPr="00714D21">
        <w:rPr>
          <w:szCs w:val="22"/>
        </w:rPr>
        <w:t xml:space="preserve"> od 30</w:t>
      </w:r>
      <w:r>
        <w:rPr>
          <w:szCs w:val="22"/>
        </w:rPr>
        <w:t xml:space="preserve"> </w:t>
      </w:r>
      <w:r w:rsidRPr="00714D21">
        <w:rPr>
          <w:szCs w:val="22"/>
        </w:rPr>
        <w:t xml:space="preserve">do 120 mg užitých perorálne v jednorazovom podaní počas raňajok. </w:t>
      </w: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>Odporúča sa prehltnúť dávku bez drvenia alebo žuvania.</w:t>
      </w: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 xml:space="preserve">Ak dôjde k vynechaniu dávky, na ďalší deň sa užitá dávka nesmie zvýšiť. </w:t>
      </w:r>
    </w:p>
    <w:p w:rsidR="00EA1668" w:rsidRPr="00EA1668" w:rsidRDefault="00EA1668" w:rsidP="0025659E">
      <w:pPr>
        <w:pStyle w:val="Zarkazkladnhotextu3"/>
        <w:spacing w:after="0"/>
        <w:ind w:left="0" w:firstLine="0"/>
        <w:rPr>
          <w:sz w:val="22"/>
          <w:szCs w:val="22"/>
        </w:rPr>
      </w:pPr>
      <w:r w:rsidRPr="00EA1668">
        <w:rPr>
          <w:sz w:val="22"/>
          <w:szCs w:val="22"/>
        </w:rPr>
        <w:t xml:space="preserve">Tak ako pri všetkých </w:t>
      </w:r>
      <w:proofErr w:type="spellStart"/>
      <w:r w:rsidRPr="00EA1668">
        <w:rPr>
          <w:sz w:val="22"/>
          <w:szCs w:val="22"/>
        </w:rPr>
        <w:t>hypoglykemi</w:t>
      </w:r>
      <w:r w:rsidR="00E64EB5">
        <w:rPr>
          <w:sz w:val="22"/>
          <w:szCs w:val="22"/>
          <w:lang w:val="sk-SK"/>
        </w:rPr>
        <w:t>zujúcich</w:t>
      </w:r>
      <w:proofErr w:type="spellEnd"/>
      <w:r w:rsidRPr="00EA1668">
        <w:rPr>
          <w:sz w:val="22"/>
          <w:szCs w:val="22"/>
        </w:rPr>
        <w:t xml:space="preserve"> látkach, dávka sa má nastaviť podľa individuálnej metabolickej odpovede pacienta (glykémia, HbA1c).</w:t>
      </w:r>
    </w:p>
    <w:p w:rsidR="00EA1668" w:rsidRPr="00714D21" w:rsidRDefault="00EA1668" w:rsidP="0025659E">
      <w:pPr>
        <w:ind w:left="0" w:firstLine="0"/>
        <w:rPr>
          <w:szCs w:val="22"/>
        </w:rPr>
      </w:pPr>
    </w:p>
    <w:p w:rsidR="00EA1668" w:rsidRPr="0025659E" w:rsidRDefault="00EA1668" w:rsidP="0025659E">
      <w:pPr>
        <w:ind w:left="0" w:firstLine="0"/>
        <w:rPr>
          <w:b/>
          <w:szCs w:val="22"/>
        </w:rPr>
      </w:pPr>
      <w:r w:rsidRPr="0025659E">
        <w:rPr>
          <w:b/>
          <w:szCs w:val="22"/>
        </w:rPr>
        <w:t>Úvodná dávka</w:t>
      </w:r>
      <w:r w:rsidR="0025659E">
        <w:rPr>
          <w:b/>
          <w:szCs w:val="22"/>
        </w:rPr>
        <w:t>:</w:t>
      </w:r>
    </w:p>
    <w:p w:rsidR="009D4AFF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 xml:space="preserve">Odporúčaná úvodná dávka je 30 mg denne (polovica tablety </w:t>
      </w:r>
      <w:proofErr w:type="spellStart"/>
      <w:r w:rsidR="00D34CBD" w:rsidRPr="009026CA">
        <w:rPr>
          <w:color w:val="000000"/>
        </w:rPr>
        <w:t>Gliklazid</w:t>
      </w:r>
      <w:r w:rsidR="00D34CBD">
        <w:rPr>
          <w:color w:val="000000"/>
        </w:rPr>
        <w:t>u</w:t>
      </w:r>
      <w:proofErr w:type="spellEnd"/>
      <w:r w:rsidR="00D34CBD" w:rsidRPr="009026CA">
        <w:rPr>
          <w:color w:val="000000"/>
        </w:rPr>
        <w:t xml:space="preserve"> </w:t>
      </w:r>
      <w:proofErr w:type="spellStart"/>
      <w:r w:rsidR="00D34CBD" w:rsidRPr="009026CA">
        <w:rPr>
          <w:color w:val="000000"/>
        </w:rPr>
        <w:t>Sandoz</w:t>
      </w:r>
      <w:proofErr w:type="spellEnd"/>
      <w:r w:rsidRPr="00714D21">
        <w:rPr>
          <w:szCs w:val="22"/>
        </w:rPr>
        <w:t>).</w:t>
      </w: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>Ak je glykémia účinne kontrolovaná, táto dávka môže byť použitá na udržiavaciu liečbu.</w:t>
      </w: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 xml:space="preserve">Ak glykémia nie je adekvátne kontrolovaná, dávka môže byť v postupných krokoch zvýšená na 60, 90 alebo 120 mg denne. Interval medzi </w:t>
      </w:r>
      <w:r w:rsidRPr="00714D21">
        <w:rPr>
          <w:szCs w:val="22"/>
          <w:u w:val="single"/>
        </w:rPr>
        <w:t>zvýšením každej dávky má byť aspoň 1 mesiac</w:t>
      </w:r>
      <w:r w:rsidRPr="00714D21">
        <w:rPr>
          <w:szCs w:val="22"/>
        </w:rPr>
        <w:t>, okrem pacientov, u ktorých sa glykémia neznížila po dvoch týždňoch liečby. V takýchto prípadoch môže byť dávka zvýšená na konci druhého týždňa liečby.</w:t>
      </w:r>
    </w:p>
    <w:p w:rsidR="00EA1668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>Maximálna odporúčaná denná dávka je 120 mg.</w:t>
      </w:r>
    </w:p>
    <w:p w:rsidR="007F4F01" w:rsidRPr="00714D21" w:rsidRDefault="007F4F01" w:rsidP="0025659E">
      <w:pPr>
        <w:ind w:left="0" w:firstLine="0"/>
        <w:rPr>
          <w:szCs w:val="22"/>
        </w:rPr>
      </w:pPr>
    </w:p>
    <w:p w:rsidR="00EA1668" w:rsidRPr="00714D21" w:rsidRDefault="00EA1668" w:rsidP="0025659E">
      <w:pPr>
        <w:ind w:left="0" w:firstLine="0"/>
        <w:rPr>
          <w:szCs w:val="22"/>
        </w:rPr>
      </w:pPr>
      <w:r w:rsidRPr="00714D21">
        <w:rPr>
          <w:szCs w:val="22"/>
        </w:rPr>
        <w:t xml:space="preserve">Jedna tableta s riadeným uvoľňovaním </w:t>
      </w:r>
      <w:proofErr w:type="spellStart"/>
      <w:r w:rsidR="007F4F01" w:rsidRPr="009026CA">
        <w:rPr>
          <w:color w:val="000000"/>
        </w:rPr>
        <w:t>Gliklazid</w:t>
      </w:r>
      <w:r w:rsidR="007F4F01">
        <w:rPr>
          <w:color w:val="000000"/>
        </w:rPr>
        <w:t>u</w:t>
      </w:r>
      <w:proofErr w:type="spellEnd"/>
      <w:r w:rsidR="007F4F01" w:rsidRPr="009026CA">
        <w:rPr>
          <w:color w:val="000000"/>
        </w:rPr>
        <w:t xml:space="preserve"> </w:t>
      </w:r>
      <w:proofErr w:type="spellStart"/>
      <w:r w:rsidR="007F4F01" w:rsidRPr="009026CA">
        <w:rPr>
          <w:color w:val="000000"/>
        </w:rPr>
        <w:t>Sandoz</w:t>
      </w:r>
      <w:proofErr w:type="spellEnd"/>
      <w:r w:rsidR="007F4F01">
        <w:rPr>
          <w:color w:val="000000"/>
        </w:rPr>
        <w:t xml:space="preserve"> 60 mg</w:t>
      </w:r>
      <w:r w:rsidR="007F4F01" w:rsidRPr="009026CA">
        <w:rPr>
          <w:color w:val="000000"/>
        </w:rPr>
        <w:t xml:space="preserve"> </w:t>
      </w:r>
      <w:r w:rsidRPr="00714D21">
        <w:rPr>
          <w:szCs w:val="22"/>
        </w:rPr>
        <w:t xml:space="preserve">zodpovedá dvom tabletám s riadeným uvoľňovaním </w:t>
      </w:r>
      <w:proofErr w:type="spellStart"/>
      <w:r w:rsidR="007F4F0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30 mg. Možnosť rozdeliť </w:t>
      </w:r>
      <w:proofErr w:type="spellStart"/>
      <w:r w:rsidR="007F4F01" w:rsidRPr="009026CA">
        <w:rPr>
          <w:color w:val="000000"/>
        </w:rPr>
        <w:t>Gliklazid</w:t>
      </w:r>
      <w:proofErr w:type="spellEnd"/>
      <w:r w:rsidR="007F4F01" w:rsidRPr="009026CA">
        <w:rPr>
          <w:color w:val="000000"/>
        </w:rPr>
        <w:t xml:space="preserve"> </w:t>
      </w:r>
      <w:proofErr w:type="spellStart"/>
      <w:r w:rsidR="007F4F01" w:rsidRPr="009026CA">
        <w:rPr>
          <w:color w:val="000000"/>
        </w:rPr>
        <w:t>Sandoz</w:t>
      </w:r>
      <w:proofErr w:type="spellEnd"/>
      <w:r w:rsidRPr="00714D21">
        <w:rPr>
          <w:szCs w:val="22"/>
        </w:rPr>
        <w:t xml:space="preserve"> tabletu s riadeným uvoľňovaním na dve rovnaké p</w:t>
      </w:r>
      <w:smartTag w:uri="urn:schemas-microsoft-com:office:smarttags" w:element="PersonName">
        <w:r w:rsidRPr="00714D21">
          <w:rPr>
            <w:szCs w:val="22"/>
          </w:rPr>
          <w:t>olo</w:t>
        </w:r>
      </w:smartTag>
      <w:r w:rsidRPr="00714D21">
        <w:rPr>
          <w:szCs w:val="22"/>
        </w:rPr>
        <w:t>vice umožňuje flexibilitu dávkovania, ktorá sa má dosiahnuť.</w:t>
      </w:r>
    </w:p>
    <w:p w:rsidR="00EA1668" w:rsidRPr="00714D21" w:rsidRDefault="00EA1668" w:rsidP="00DC70F4">
      <w:pPr>
        <w:ind w:left="0" w:firstLine="0"/>
        <w:rPr>
          <w:szCs w:val="22"/>
        </w:rPr>
      </w:pPr>
    </w:p>
    <w:p w:rsidR="00EA1668" w:rsidRPr="00DC70F4" w:rsidRDefault="00EA1668" w:rsidP="00DC70F4">
      <w:pPr>
        <w:tabs>
          <w:tab w:val="num" w:pos="360"/>
        </w:tabs>
        <w:ind w:left="0" w:firstLine="0"/>
        <w:rPr>
          <w:b/>
          <w:szCs w:val="22"/>
        </w:rPr>
      </w:pPr>
      <w:r w:rsidRPr="00DC70F4">
        <w:rPr>
          <w:b/>
          <w:szCs w:val="22"/>
        </w:rPr>
        <w:t xml:space="preserve">Zmena liečby z tabliet </w:t>
      </w:r>
      <w:r w:rsidR="00DC70F4">
        <w:rPr>
          <w:b/>
          <w:szCs w:val="22"/>
        </w:rPr>
        <w:t>obsahujúcich</w:t>
      </w:r>
      <w:r w:rsidRPr="00DC70F4">
        <w:rPr>
          <w:b/>
          <w:szCs w:val="22"/>
        </w:rPr>
        <w:t xml:space="preserve"> 80 mg </w:t>
      </w:r>
      <w:proofErr w:type="spellStart"/>
      <w:r w:rsidR="00DC70F4">
        <w:rPr>
          <w:b/>
          <w:szCs w:val="22"/>
        </w:rPr>
        <w:t>gliklazidu</w:t>
      </w:r>
      <w:proofErr w:type="spellEnd"/>
      <w:r w:rsidR="00DC70F4">
        <w:rPr>
          <w:b/>
          <w:szCs w:val="22"/>
        </w:rPr>
        <w:t xml:space="preserve"> </w:t>
      </w:r>
      <w:r w:rsidRPr="00DC70F4">
        <w:rPr>
          <w:b/>
          <w:szCs w:val="22"/>
        </w:rPr>
        <w:t xml:space="preserve">na </w:t>
      </w:r>
      <w:proofErr w:type="spellStart"/>
      <w:r w:rsidR="00DC70F4" w:rsidRPr="00DC70F4">
        <w:rPr>
          <w:b/>
          <w:color w:val="000000"/>
        </w:rPr>
        <w:t>Gliklazid</w:t>
      </w:r>
      <w:proofErr w:type="spellEnd"/>
      <w:r w:rsidR="00DC70F4" w:rsidRPr="00DC70F4">
        <w:rPr>
          <w:b/>
          <w:color w:val="000000"/>
        </w:rPr>
        <w:t xml:space="preserve"> </w:t>
      </w:r>
      <w:proofErr w:type="spellStart"/>
      <w:r w:rsidR="00DC70F4" w:rsidRPr="00DC70F4">
        <w:rPr>
          <w:b/>
          <w:color w:val="000000"/>
        </w:rPr>
        <w:t>Sandoz</w:t>
      </w:r>
      <w:proofErr w:type="spellEnd"/>
      <w:r w:rsidRPr="00DC70F4">
        <w:rPr>
          <w:b/>
          <w:szCs w:val="22"/>
        </w:rPr>
        <w:t xml:space="preserve"> </w:t>
      </w:r>
      <w:r w:rsidR="00DC70F4">
        <w:rPr>
          <w:b/>
          <w:szCs w:val="22"/>
        </w:rPr>
        <w:t xml:space="preserve">60 mg </w:t>
      </w:r>
      <w:r w:rsidR="00DC70F4" w:rsidRPr="00DC70F4">
        <w:rPr>
          <w:b/>
          <w:szCs w:val="22"/>
        </w:rPr>
        <w:t>tablety</w:t>
      </w:r>
      <w:r w:rsidR="00DC70F4" w:rsidRPr="00DC70F4">
        <w:rPr>
          <w:color w:val="000000"/>
        </w:rPr>
        <w:t xml:space="preserve"> </w:t>
      </w:r>
      <w:r w:rsidRPr="00DC70F4">
        <w:rPr>
          <w:b/>
          <w:szCs w:val="22"/>
        </w:rPr>
        <w:t>s riadeným uvoľňovaním:</w:t>
      </w:r>
    </w:p>
    <w:p w:rsidR="00EA1668" w:rsidRDefault="00EA1668" w:rsidP="00DC70F4">
      <w:pPr>
        <w:pStyle w:val="Zarkazkladnhotextu"/>
        <w:spacing w:after="0"/>
        <w:ind w:left="0" w:firstLine="0"/>
        <w:rPr>
          <w:szCs w:val="22"/>
        </w:rPr>
      </w:pPr>
      <w:r w:rsidRPr="00714D21">
        <w:rPr>
          <w:szCs w:val="22"/>
        </w:rPr>
        <w:lastRenderedPageBreak/>
        <w:t xml:space="preserve">1 tableta </w:t>
      </w:r>
      <w:r w:rsidR="00DC70F4">
        <w:rPr>
          <w:szCs w:val="22"/>
        </w:rPr>
        <w:t>obsahujúca</w:t>
      </w:r>
      <w:r w:rsidRPr="00714D21">
        <w:rPr>
          <w:szCs w:val="22"/>
        </w:rPr>
        <w:t xml:space="preserve"> 80 mg </w:t>
      </w:r>
      <w:proofErr w:type="spellStart"/>
      <w:r w:rsidR="00DC70F4">
        <w:rPr>
          <w:szCs w:val="22"/>
        </w:rPr>
        <w:t>gliklazidu</w:t>
      </w:r>
      <w:proofErr w:type="spellEnd"/>
      <w:r w:rsidR="00DC70F4">
        <w:rPr>
          <w:szCs w:val="22"/>
        </w:rPr>
        <w:t xml:space="preserve"> </w:t>
      </w:r>
      <w:r w:rsidRPr="00714D21">
        <w:rPr>
          <w:szCs w:val="22"/>
        </w:rPr>
        <w:t>je porovnateľná s 30 mg tablet</w:t>
      </w:r>
      <w:r w:rsidR="00DC70F4">
        <w:rPr>
          <w:szCs w:val="22"/>
        </w:rPr>
        <w:t>ami</w:t>
      </w:r>
      <w:r w:rsidRPr="00714D21">
        <w:rPr>
          <w:szCs w:val="22"/>
        </w:rPr>
        <w:t xml:space="preserve"> s riadeným uvoľňovaním (</w:t>
      </w:r>
      <w:proofErr w:type="spellStart"/>
      <w:r w:rsidRPr="00714D21">
        <w:rPr>
          <w:i/>
          <w:szCs w:val="22"/>
        </w:rPr>
        <w:t>t.j</w:t>
      </w:r>
      <w:proofErr w:type="spellEnd"/>
      <w:r w:rsidRPr="00714D21">
        <w:rPr>
          <w:szCs w:val="22"/>
        </w:rPr>
        <w:t xml:space="preserve">. polovica tablety </w:t>
      </w:r>
      <w:proofErr w:type="spellStart"/>
      <w:r w:rsidR="00DC70F4" w:rsidRPr="009026CA">
        <w:rPr>
          <w:color w:val="000000"/>
        </w:rPr>
        <w:t>Gliklazid</w:t>
      </w:r>
      <w:r w:rsidR="00DC70F4">
        <w:rPr>
          <w:color w:val="000000"/>
        </w:rPr>
        <w:t>u</w:t>
      </w:r>
      <w:proofErr w:type="spellEnd"/>
      <w:r w:rsidR="00DC70F4" w:rsidRPr="009026CA">
        <w:rPr>
          <w:color w:val="000000"/>
        </w:rPr>
        <w:t xml:space="preserve"> </w:t>
      </w:r>
      <w:proofErr w:type="spellStart"/>
      <w:r w:rsidR="00DC70F4" w:rsidRPr="009026CA">
        <w:rPr>
          <w:color w:val="000000"/>
        </w:rPr>
        <w:t>Sandoz</w:t>
      </w:r>
      <w:proofErr w:type="spellEnd"/>
      <w:r w:rsidRPr="00714D21">
        <w:rPr>
          <w:szCs w:val="22"/>
        </w:rPr>
        <w:t>). Preto je možné zmenu liečby uskutočniť za predpokladu starostlivého monitorovania glykémie.</w:t>
      </w:r>
    </w:p>
    <w:p w:rsidR="00EA1668" w:rsidRPr="00714D21" w:rsidRDefault="00EA1668" w:rsidP="00DC70F4">
      <w:pPr>
        <w:pStyle w:val="Zarkazkladnhotextu"/>
        <w:spacing w:after="0"/>
        <w:ind w:left="0" w:firstLine="0"/>
        <w:rPr>
          <w:szCs w:val="22"/>
        </w:rPr>
      </w:pPr>
    </w:p>
    <w:p w:rsidR="00EA1668" w:rsidRPr="00DC70F4" w:rsidRDefault="00EA1668" w:rsidP="00DC70F4">
      <w:pPr>
        <w:tabs>
          <w:tab w:val="num" w:pos="360"/>
        </w:tabs>
        <w:ind w:left="0" w:firstLine="0"/>
        <w:rPr>
          <w:b/>
          <w:szCs w:val="22"/>
        </w:rPr>
      </w:pPr>
      <w:r w:rsidRPr="00DC70F4">
        <w:rPr>
          <w:b/>
          <w:szCs w:val="22"/>
        </w:rPr>
        <w:t xml:space="preserve">Zmena liečby z iného perorálneho </w:t>
      </w:r>
      <w:proofErr w:type="spellStart"/>
      <w:r w:rsidRPr="00DC70F4">
        <w:rPr>
          <w:b/>
          <w:szCs w:val="22"/>
        </w:rPr>
        <w:t>antidiabetika</w:t>
      </w:r>
      <w:proofErr w:type="spellEnd"/>
      <w:r w:rsidRPr="00DC70F4">
        <w:rPr>
          <w:b/>
          <w:szCs w:val="22"/>
        </w:rPr>
        <w:t xml:space="preserve"> na </w:t>
      </w:r>
      <w:proofErr w:type="spellStart"/>
      <w:r w:rsidR="00DC70F4" w:rsidRPr="00DC70F4">
        <w:rPr>
          <w:b/>
          <w:color w:val="000000"/>
        </w:rPr>
        <w:t>Gliklazid</w:t>
      </w:r>
      <w:proofErr w:type="spellEnd"/>
      <w:r w:rsidR="00DC70F4" w:rsidRPr="00DC70F4">
        <w:rPr>
          <w:b/>
          <w:color w:val="000000"/>
        </w:rPr>
        <w:t xml:space="preserve"> </w:t>
      </w:r>
      <w:proofErr w:type="spellStart"/>
      <w:r w:rsidR="00DC70F4" w:rsidRPr="00DC70F4">
        <w:rPr>
          <w:b/>
          <w:color w:val="000000"/>
        </w:rPr>
        <w:t>Sandoz</w:t>
      </w:r>
      <w:proofErr w:type="spellEnd"/>
      <w:r w:rsidRPr="00DC70F4">
        <w:rPr>
          <w:b/>
          <w:szCs w:val="22"/>
        </w:rPr>
        <w:t>:</w:t>
      </w:r>
    </w:p>
    <w:p w:rsidR="00EA1668" w:rsidRPr="00714D21" w:rsidRDefault="00DC70F4" w:rsidP="00DC70F4">
      <w:pPr>
        <w:ind w:left="0" w:firstLine="0"/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 w:rsidRPr="009026CA">
        <w:rPr>
          <w:color w:val="000000"/>
        </w:rPr>
        <w:t xml:space="preserve"> </w:t>
      </w:r>
      <w:r w:rsidR="00EA1668" w:rsidRPr="00714D21">
        <w:rPr>
          <w:szCs w:val="22"/>
        </w:rPr>
        <w:t xml:space="preserve">môže nahradiť iné perorálne </w:t>
      </w:r>
      <w:proofErr w:type="spellStart"/>
      <w:r w:rsidR="00EA1668" w:rsidRPr="00714D21">
        <w:rPr>
          <w:szCs w:val="22"/>
        </w:rPr>
        <w:t>antidiabetiká</w:t>
      </w:r>
      <w:proofErr w:type="spellEnd"/>
      <w:r w:rsidR="00EA1668" w:rsidRPr="00714D21">
        <w:rPr>
          <w:szCs w:val="22"/>
        </w:rPr>
        <w:t>.</w:t>
      </w:r>
    </w:p>
    <w:p w:rsidR="00EA1668" w:rsidRPr="00714D21" w:rsidRDefault="00EA1668" w:rsidP="00DC70F4">
      <w:pPr>
        <w:ind w:left="0" w:firstLine="0"/>
        <w:rPr>
          <w:szCs w:val="22"/>
        </w:rPr>
      </w:pPr>
      <w:r w:rsidRPr="00714D21">
        <w:rPr>
          <w:szCs w:val="22"/>
        </w:rPr>
        <w:t xml:space="preserve">Pri zmene liečby na </w:t>
      </w:r>
      <w:proofErr w:type="spellStart"/>
      <w:r w:rsidR="00DC70F4" w:rsidRPr="009026CA">
        <w:rPr>
          <w:color w:val="000000"/>
        </w:rPr>
        <w:t>Gliklazid</w:t>
      </w:r>
      <w:proofErr w:type="spellEnd"/>
      <w:r w:rsidR="00DC70F4" w:rsidRPr="009026CA">
        <w:rPr>
          <w:color w:val="000000"/>
        </w:rPr>
        <w:t xml:space="preserve"> </w:t>
      </w:r>
      <w:proofErr w:type="spellStart"/>
      <w:r w:rsidR="00DC70F4" w:rsidRPr="009026CA">
        <w:rPr>
          <w:color w:val="000000"/>
        </w:rPr>
        <w:t>Sandoz</w:t>
      </w:r>
      <w:proofErr w:type="spellEnd"/>
      <w:r w:rsidR="00DC70F4" w:rsidRPr="009026CA">
        <w:rPr>
          <w:color w:val="000000"/>
        </w:rPr>
        <w:t xml:space="preserve"> </w:t>
      </w:r>
      <w:r w:rsidRPr="00714D21">
        <w:rPr>
          <w:szCs w:val="22"/>
        </w:rPr>
        <w:t>je potrebné brať do úvahy dávk</w:t>
      </w:r>
      <w:r w:rsidR="00EA293C">
        <w:rPr>
          <w:szCs w:val="22"/>
        </w:rPr>
        <w:t>u</w:t>
      </w:r>
      <w:r w:rsidRPr="00714D21">
        <w:rPr>
          <w:szCs w:val="22"/>
        </w:rPr>
        <w:t xml:space="preserve"> a biologický polčas predchádzajúceho </w:t>
      </w:r>
      <w:proofErr w:type="spellStart"/>
      <w:r w:rsidRPr="00714D21">
        <w:rPr>
          <w:szCs w:val="22"/>
        </w:rPr>
        <w:t>antidiabetika</w:t>
      </w:r>
      <w:proofErr w:type="spellEnd"/>
      <w:r w:rsidRPr="00714D21">
        <w:rPr>
          <w:szCs w:val="22"/>
        </w:rPr>
        <w:t>.</w:t>
      </w:r>
    </w:p>
    <w:p w:rsidR="00EA1668" w:rsidRPr="00714D21" w:rsidRDefault="00EA1668" w:rsidP="00DC70F4">
      <w:pPr>
        <w:ind w:left="0" w:firstLine="0"/>
        <w:rPr>
          <w:szCs w:val="22"/>
        </w:rPr>
      </w:pPr>
      <w:r w:rsidRPr="00714D21">
        <w:rPr>
          <w:szCs w:val="22"/>
        </w:rPr>
        <w:t>Vo všeobecnosti sa prechodné obdobie nevyžaduje. Má sa použiť počiatočná dávka 30 mg, a táto má byť prispôsobená glykemickej odpovedi pacienta tak, ako je popísané vyššie.</w:t>
      </w:r>
    </w:p>
    <w:p w:rsidR="00EA1668" w:rsidRPr="00714D21" w:rsidRDefault="00EA1668" w:rsidP="00EA1668">
      <w:pPr>
        <w:ind w:left="0" w:firstLine="0"/>
        <w:rPr>
          <w:szCs w:val="22"/>
        </w:rPr>
      </w:pPr>
      <w:r w:rsidRPr="00714D21">
        <w:rPr>
          <w:szCs w:val="22"/>
        </w:rPr>
        <w:t>Pri zmene liečby z </w:t>
      </w:r>
      <w:proofErr w:type="spellStart"/>
      <w:r w:rsidRPr="00714D21">
        <w:rPr>
          <w:szCs w:val="22"/>
        </w:rPr>
        <w:t>hypoglykemi</w:t>
      </w:r>
      <w:r w:rsidR="00E64EB5">
        <w:rPr>
          <w:szCs w:val="22"/>
        </w:rPr>
        <w:t>zujúceho</w:t>
      </w:r>
      <w:proofErr w:type="spellEnd"/>
      <w:r w:rsidRPr="00714D21">
        <w:rPr>
          <w:szCs w:val="22"/>
        </w:rPr>
        <w:t xml:space="preserve"> derivátu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 s </w:t>
      </w:r>
      <w:r w:rsidRPr="00714D21">
        <w:rPr>
          <w:szCs w:val="22"/>
          <w:u w:val="single"/>
        </w:rPr>
        <w:t>predĺženým biologickým polčasom</w:t>
      </w:r>
      <w:r w:rsidRPr="00714D21">
        <w:rPr>
          <w:szCs w:val="22"/>
        </w:rPr>
        <w:t xml:space="preserve"> môže byť potrebný niekoľkodňový časový úsek bez medikácie, aby sa predišlo aditívnemu účinku týchto dvoch liekov, ktorý </w:t>
      </w:r>
      <w:r w:rsidR="00AC65BA">
        <w:rPr>
          <w:szCs w:val="22"/>
        </w:rPr>
        <w:t xml:space="preserve">môže </w:t>
      </w:r>
      <w:r w:rsidRPr="00714D21">
        <w:rPr>
          <w:szCs w:val="22"/>
        </w:rPr>
        <w:t xml:space="preserve">spôsobiť </w:t>
      </w:r>
      <w:proofErr w:type="spellStart"/>
      <w:r w:rsidRPr="00714D21">
        <w:rPr>
          <w:szCs w:val="22"/>
        </w:rPr>
        <w:t>hypoglykémiu</w:t>
      </w:r>
      <w:proofErr w:type="spellEnd"/>
      <w:r w:rsidRPr="00714D21">
        <w:rPr>
          <w:szCs w:val="22"/>
        </w:rPr>
        <w:t xml:space="preserve">. Postup popísaný pre úvodnú liečbu sa má použiť aj pri zmene liečby na </w:t>
      </w:r>
      <w:proofErr w:type="spellStart"/>
      <w:r w:rsidR="002162A5" w:rsidRPr="009026CA">
        <w:rPr>
          <w:color w:val="000000"/>
        </w:rPr>
        <w:t>Gliklazid</w:t>
      </w:r>
      <w:proofErr w:type="spellEnd"/>
      <w:r w:rsidR="002162A5" w:rsidRPr="009026CA">
        <w:rPr>
          <w:color w:val="000000"/>
        </w:rPr>
        <w:t xml:space="preserve"> </w:t>
      </w:r>
      <w:proofErr w:type="spellStart"/>
      <w:r w:rsidR="002162A5" w:rsidRPr="009026CA">
        <w:rPr>
          <w:color w:val="000000"/>
        </w:rPr>
        <w:t>Sandoz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i/>
          <w:szCs w:val="22"/>
        </w:rPr>
        <w:t>t.j</w:t>
      </w:r>
      <w:proofErr w:type="spellEnd"/>
      <w:r w:rsidRPr="00714D21">
        <w:rPr>
          <w:i/>
          <w:szCs w:val="22"/>
        </w:rPr>
        <w:t>.</w:t>
      </w:r>
      <w:r w:rsidRPr="00714D21">
        <w:rPr>
          <w:szCs w:val="22"/>
        </w:rPr>
        <w:t xml:space="preserve"> po počiatočnej dávke 30 mg denne nasleduje postupné zvyšovanie dávky v závislosti od metabolickej odpovede.</w:t>
      </w:r>
    </w:p>
    <w:p w:rsidR="00EA1668" w:rsidRPr="00714D21" w:rsidRDefault="00EA1668" w:rsidP="00BE68CB">
      <w:pPr>
        <w:ind w:left="0" w:firstLine="0"/>
        <w:rPr>
          <w:szCs w:val="22"/>
        </w:rPr>
      </w:pPr>
    </w:p>
    <w:p w:rsidR="00EA1668" w:rsidRPr="00BE68CB" w:rsidRDefault="00EA1668" w:rsidP="00BE68CB">
      <w:pPr>
        <w:tabs>
          <w:tab w:val="num" w:pos="360"/>
        </w:tabs>
        <w:ind w:left="0" w:firstLine="0"/>
        <w:rPr>
          <w:b/>
          <w:szCs w:val="22"/>
        </w:rPr>
      </w:pPr>
      <w:r w:rsidRPr="00BE68CB">
        <w:rPr>
          <w:b/>
          <w:szCs w:val="22"/>
        </w:rPr>
        <w:t xml:space="preserve">Kombinovaná liečba s inými </w:t>
      </w:r>
      <w:proofErr w:type="spellStart"/>
      <w:r w:rsidRPr="00BE68CB">
        <w:rPr>
          <w:b/>
          <w:szCs w:val="22"/>
        </w:rPr>
        <w:t>antidiabetikami</w:t>
      </w:r>
      <w:proofErr w:type="spellEnd"/>
      <w:r w:rsidRPr="00BE68CB">
        <w:rPr>
          <w:b/>
          <w:szCs w:val="22"/>
        </w:rPr>
        <w:t>:</w:t>
      </w:r>
    </w:p>
    <w:p w:rsidR="004947DC" w:rsidRDefault="00BE68CB" w:rsidP="00BE68CB">
      <w:pPr>
        <w:pStyle w:val="Zkladntext"/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 w:rsidRPr="009026CA">
        <w:rPr>
          <w:color w:val="000000"/>
        </w:rPr>
        <w:t xml:space="preserve"> </w:t>
      </w:r>
      <w:r w:rsidR="00EA1668" w:rsidRPr="00714D21">
        <w:rPr>
          <w:szCs w:val="22"/>
        </w:rPr>
        <w:t>sa môže podávať v kombinácii s </w:t>
      </w:r>
      <w:proofErr w:type="spellStart"/>
      <w:r w:rsidR="00EA1668" w:rsidRPr="00714D21">
        <w:rPr>
          <w:szCs w:val="22"/>
        </w:rPr>
        <w:t>biguanidmi</w:t>
      </w:r>
      <w:proofErr w:type="spellEnd"/>
      <w:r w:rsidR="00EA1668" w:rsidRPr="00714D21">
        <w:rPr>
          <w:szCs w:val="22"/>
        </w:rPr>
        <w:t>, inhibítormi alfa</w:t>
      </w:r>
      <w:r w:rsidR="00F53B1F">
        <w:rPr>
          <w:szCs w:val="22"/>
        </w:rPr>
        <w:t xml:space="preserve"> </w:t>
      </w:r>
      <w:r w:rsidR="004947DC">
        <w:rPr>
          <w:szCs w:val="22"/>
        </w:rPr>
        <w:t>–</w:t>
      </w:r>
      <w:r w:rsidR="00F53B1F">
        <w:rPr>
          <w:szCs w:val="22"/>
        </w:rPr>
        <w:t xml:space="preserve"> </w:t>
      </w:r>
    </w:p>
    <w:p w:rsidR="00EA1668" w:rsidRPr="00714D21" w:rsidRDefault="00EA1668" w:rsidP="00BE68CB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glukozidázy</w:t>
      </w:r>
      <w:proofErr w:type="spellEnd"/>
      <w:r w:rsidRPr="00714D21">
        <w:rPr>
          <w:szCs w:val="22"/>
        </w:rPr>
        <w:t xml:space="preserve"> alebo s inzulínom.</w:t>
      </w:r>
    </w:p>
    <w:p w:rsidR="00EA1668" w:rsidRPr="00714D21" w:rsidRDefault="00EA1668" w:rsidP="00BE68CB">
      <w:pPr>
        <w:ind w:left="0" w:firstLine="0"/>
        <w:rPr>
          <w:szCs w:val="22"/>
        </w:rPr>
      </w:pPr>
      <w:r w:rsidRPr="00714D21">
        <w:rPr>
          <w:szCs w:val="22"/>
        </w:rPr>
        <w:t xml:space="preserve">U pacientov s nedostatočnou kontrolou glykémie </w:t>
      </w:r>
      <w:proofErr w:type="spellStart"/>
      <w:r w:rsidR="00247A47" w:rsidRPr="009026CA">
        <w:rPr>
          <w:color w:val="000000"/>
        </w:rPr>
        <w:t>Gliklazid</w:t>
      </w:r>
      <w:r w:rsidR="00247A47">
        <w:rPr>
          <w:color w:val="000000"/>
        </w:rPr>
        <w:t>om</w:t>
      </w:r>
      <w:proofErr w:type="spellEnd"/>
      <w:r w:rsidR="00247A47" w:rsidRPr="009026CA">
        <w:rPr>
          <w:color w:val="000000"/>
        </w:rPr>
        <w:t xml:space="preserve"> </w:t>
      </w:r>
      <w:proofErr w:type="spellStart"/>
      <w:r w:rsidR="00247A47" w:rsidRPr="009026CA">
        <w:rPr>
          <w:color w:val="000000"/>
        </w:rPr>
        <w:t>Sandoz</w:t>
      </w:r>
      <w:proofErr w:type="spellEnd"/>
      <w:r w:rsidR="00247A47" w:rsidRPr="009026CA">
        <w:rPr>
          <w:color w:val="000000"/>
        </w:rPr>
        <w:t xml:space="preserve"> </w:t>
      </w:r>
      <w:r w:rsidRPr="00714D21">
        <w:rPr>
          <w:szCs w:val="22"/>
        </w:rPr>
        <w:t xml:space="preserve">je možné pod starostlivým lekárskym dohľadom začať </w:t>
      </w:r>
      <w:r w:rsidR="00247A47">
        <w:rPr>
          <w:szCs w:val="22"/>
        </w:rPr>
        <w:t>súbežnú</w:t>
      </w:r>
      <w:r w:rsidRPr="00714D21">
        <w:rPr>
          <w:szCs w:val="22"/>
        </w:rPr>
        <w:t xml:space="preserve"> liečbu inzulínom.</w:t>
      </w:r>
    </w:p>
    <w:p w:rsidR="00EA1668" w:rsidRPr="00714D21" w:rsidRDefault="00EA1668" w:rsidP="00BE68CB">
      <w:pPr>
        <w:ind w:left="0" w:firstLine="0"/>
        <w:rPr>
          <w:szCs w:val="22"/>
        </w:rPr>
      </w:pPr>
    </w:p>
    <w:p w:rsidR="00EA1668" w:rsidRPr="00714D21" w:rsidRDefault="00EA1668" w:rsidP="00BE68CB">
      <w:pPr>
        <w:ind w:left="0" w:firstLine="0"/>
        <w:rPr>
          <w:szCs w:val="22"/>
          <w:u w:val="single"/>
        </w:rPr>
      </w:pPr>
      <w:r w:rsidRPr="00714D21">
        <w:rPr>
          <w:szCs w:val="22"/>
          <w:u w:val="single"/>
        </w:rPr>
        <w:t>Osobitné skupiny pacientov</w:t>
      </w:r>
    </w:p>
    <w:p w:rsidR="00EA1668" w:rsidRPr="00714D21" w:rsidRDefault="00EA1668" w:rsidP="00BE68CB">
      <w:pPr>
        <w:ind w:left="0" w:firstLine="0"/>
        <w:rPr>
          <w:szCs w:val="22"/>
          <w:u w:val="single"/>
        </w:rPr>
      </w:pPr>
    </w:p>
    <w:p w:rsidR="00EA1668" w:rsidRPr="00247A47" w:rsidRDefault="00EA1668" w:rsidP="00BE68CB">
      <w:pPr>
        <w:ind w:left="0" w:firstLine="0"/>
        <w:rPr>
          <w:b/>
          <w:i/>
          <w:szCs w:val="22"/>
        </w:rPr>
      </w:pPr>
      <w:r w:rsidRPr="00247A47">
        <w:rPr>
          <w:b/>
          <w:i/>
          <w:szCs w:val="22"/>
        </w:rPr>
        <w:t>Starší pacienti</w:t>
      </w:r>
    </w:p>
    <w:p w:rsidR="00EA1668" w:rsidRPr="00714D21" w:rsidRDefault="00247A47" w:rsidP="00BE68CB">
      <w:pPr>
        <w:ind w:left="0" w:firstLine="0"/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 w:rsidRPr="009026CA">
        <w:rPr>
          <w:color w:val="000000"/>
        </w:rPr>
        <w:t xml:space="preserve"> </w:t>
      </w:r>
      <w:r w:rsidR="00EA1668" w:rsidRPr="00714D21">
        <w:rPr>
          <w:szCs w:val="22"/>
        </w:rPr>
        <w:t>sa má predpisovať v rovnakom dávkovacom režime, ktorý je odporúčaný pacientom vo veku do 65 rokov.</w:t>
      </w:r>
    </w:p>
    <w:p w:rsidR="00EA1668" w:rsidRPr="00714D21" w:rsidRDefault="00EA1668" w:rsidP="00EA1668">
      <w:pPr>
        <w:ind w:left="0" w:firstLine="0"/>
        <w:rPr>
          <w:szCs w:val="22"/>
        </w:rPr>
      </w:pPr>
    </w:p>
    <w:p w:rsidR="00EA1668" w:rsidRPr="00247A47" w:rsidRDefault="00C535BE" w:rsidP="00EA1668">
      <w:pPr>
        <w:ind w:left="0" w:firstLine="0"/>
        <w:rPr>
          <w:b/>
          <w:i/>
          <w:szCs w:val="22"/>
        </w:rPr>
      </w:pPr>
      <w:r>
        <w:rPr>
          <w:b/>
          <w:i/>
          <w:szCs w:val="22"/>
        </w:rPr>
        <w:t>P</w:t>
      </w:r>
      <w:r w:rsidR="00EA1668" w:rsidRPr="00247A47">
        <w:rPr>
          <w:b/>
          <w:i/>
          <w:szCs w:val="22"/>
        </w:rPr>
        <w:t>oruch</w:t>
      </w:r>
      <w:r>
        <w:rPr>
          <w:b/>
          <w:i/>
          <w:szCs w:val="22"/>
        </w:rPr>
        <w:t>a</w:t>
      </w:r>
      <w:r w:rsidR="00EA1668" w:rsidRPr="00247A47">
        <w:rPr>
          <w:b/>
          <w:i/>
          <w:szCs w:val="22"/>
        </w:rPr>
        <w:t xml:space="preserve"> funkcie obličiek</w:t>
      </w:r>
    </w:p>
    <w:p w:rsidR="00EA1668" w:rsidRPr="00714D21" w:rsidRDefault="00EA1668" w:rsidP="00EA1668">
      <w:pPr>
        <w:ind w:left="0" w:firstLine="0"/>
        <w:rPr>
          <w:szCs w:val="22"/>
        </w:rPr>
      </w:pPr>
      <w:r w:rsidRPr="00714D21">
        <w:rPr>
          <w:szCs w:val="22"/>
        </w:rPr>
        <w:t xml:space="preserve">U pacientov s miernou až stredne </w:t>
      </w:r>
      <w:r w:rsidR="00F2334C">
        <w:rPr>
          <w:szCs w:val="22"/>
        </w:rPr>
        <w:t>závažnou</w:t>
      </w:r>
      <w:r w:rsidRPr="00714D21">
        <w:rPr>
          <w:szCs w:val="22"/>
        </w:rPr>
        <w:t xml:space="preserve"> obličkovou nedostatočnosťou môže byť pri starostlivom sledovaní pacienta použitý rovnaký dávkovací režim ako u pacientov s normálnou funkciou obličiek. Tieto údaje boli potvrdené v klinických štúdiách. </w:t>
      </w:r>
    </w:p>
    <w:p w:rsidR="00EA1668" w:rsidRPr="00714D21" w:rsidRDefault="00EA1668" w:rsidP="00EA1668">
      <w:pPr>
        <w:ind w:left="0" w:firstLine="0"/>
        <w:rPr>
          <w:szCs w:val="22"/>
        </w:rPr>
      </w:pPr>
    </w:p>
    <w:p w:rsidR="00EA1668" w:rsidRPr="00247A47" w:rsidRDefault="00EA1668" w:rsidP="00EA1668">
      <w:pPr>
        <w:ind w:left="0" w:firstLine="0"/>
        <w:rPr>
          <w:b/>
          <w:szCs w:val="22"/>
        </w:rPr>
      </w:pPr>
      <w:r w:rsidRPr="00247A47">
        <w:rPr>
          <w:b/>
          <w:i/>
          <w:szCs w:val="22"/>
        </w:rPr>
        <w:t xml:space="preserve">Pacienti s rizikom </w:t>
      </w:r>
      <w:proofErr w:type="spellStart"/>
      <w:r w:rsidRPr="00247A47">
        <w:rPr>
          <w:b/>
          <w:i/>
          <w:szCs w:val="22"/>
        </w:rPr>
        <w:t>hypoglykémie</w:t>
      </w:r>
      <w:proofErr w:type="spellEnd"/>
      <w:r w:rsidRPr="00247A47">
        <w:rPr>
          <w:b/>
          <w:i/>
          <w:szCs w:val="22"/>
        </w:rPr>
        <w:t>:</w:t>
      </w:r>
    </w:p>
    <w:p w:rsidR="00EA1668" w:rsidRPr="00714D21" w:rsidRDefault="00EA1668" w:rsidP="00AD6646">
      <w:pPr>
        <w:numPr>
          <w:ilvl w:val="0"/>
          <w:numId w:val="23"/>
        </w:numPr>
        <w:tabs>
          <w:tab w:val="clear" w:pos="624"/>
        </w:tabs>
        <w:ind w:left="426" w:hanging="426"/>
        <w:rPr>
          <w:szCs w:val="22"/>
        </w:rPr>
      </w:pPr>
      <w:r w:rsidRPr="00714D21">
        <w:rPr>
          <w:szCs w:val="22"/>
        </w:rPr>
        <w:t>podvyživení alebo s </w:t>
      </w:r>
      <w:proofErr w:type="spellStart"/>
      <w:r w:rsidRPr="00714D21">
        <w:rPr>
          <w:szCs w:val="22"/>
        </w:rPr>
        <w:t>malnutríciou</w:t>
      </w:r>
      <w:proofErr w:type="spellEnd"/>
      <w:r w:rsidRPr="00714D21">
        <w:rPr>
          <w:szCs w:val="22"/>
        </w:rPr>
        <w:t>,</w:t>
      </w:r>
    </w:p>
    <w:p w:rsidR="00EA1668" w:rsidRPr="00714D21" w:rsidRDefault="00EA1668" w:rsidP="00AD6646">
      <w:pPr>
        <w:numPr>
          <w:ilvl w:val="0"/>
          <w:numId w:val="23"/>
        </w:numPr>
        <w:tabs>
          <w:tab w:val="clear" w:pos="624"/>
        </w:tabs>
        <w:ind w:left="426" w:hanging="426"/>
        <w:rPr>
          <w:szCs w:val="22"/>
        </w:rPr>
      </w:pPr>
      <w:r w:rsidRPr="00714D21">
        <w:rPr>
          <w:szCs w:val="22"/>
        </w:rPr>
        <w:t xml:space="preserve">so závažnými alebo </w:t>
      </w:r>
      <w:r w:rsidR="00F2334C">
        <w:rPr>
          <w:szCs w:val="22"/>
        </w:rPr>
        <w:t>nedostatočne</w:t>
      </w:r>
      <w:r w:rsidRPr="00714D21">
        <w:rPr>
          <w:szCs w:val="22"/>
        </w:rPr>
        <w:t xml:space="preserve"> kompenzovanými endokrinnými poruchami (</w:t>
      </w:r>
      <w:proofErr w:type="spellStart"/>
      <w:r w:rsidRPr="00714D21">
        <w:rPr>
          <w:szCs w:val="22"/>
        </w:rPr>
        <w:t>hypopituitarizmus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hypotyreoidizmus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adrenokortikotropná</w:t>
      </w:r>
      <w:proofErr w:type="spellEnd"/>
      <w:r w:rsidRPr="00714D21">
        <w:rPr>
          <w:szCs w:val="22"/>
        </w:rPr>
        <w:t xml:space="preserve"> nedostatočnosť),</w:t>
      </w:r>
    </w:p>
    <w:p w:rsidR="00EA1668" w:rsidRPr="00714D21" w:rsidRDefault="00EA1668" w:rsidP="00AD6646">
      <w:pPr>
        <w:numPr>
          <w:ilvl w:val="0"/>
          <w:numId w:val="23"/>
        </w:numPr>
        <w:tabs>
          <w:tab w:val="clear" w:pos="624"/>
        </w:tabs>
        <w:ind w:left="426" w:hanging="426"/>
        <w:rPr>
          <w:szCs w:val="22"/>
        </w:rPr>
      </w:pPr>
      <w:r w:rsidRPr="00714D21">
        <w:rPr>
          <w:szCs w:val="22"/>
        </w:rPr>
        <w:t xml:space="preserve">po prerušení prolongovanej </w:t>
      </w:r>
      <w:proofErr w:type="spellStart"/>
      <w:r w:rsidRPr="00714D21">
        <w:rPr>
          <w:szCs w:val="22"/>
        </w:rPr>
        <w:t>kortikosteroidnej</w:t>
      </w:r>
      <w:proofErr w:type="spellEnd"/>
      <w:r w:rsidRPr="00714D21">
        <w:rPr>
          <w:szCs w:val="22"/>
        </w:rPr>
        <w:t xml:space="preserve"> terapie a/alebo </w:t>
      </w:r>
      <w:proofErr w:type="spellStart"/>
      <w:r w:rsidRPr="00714D21">
        <w:rPr>
          <w:szCs w:val="22"/>
        </w:rPr>
        <w:t>kortikosteroidnej</w:t>
      </w:r>
      <w:proofErr w:type="spellEnd"/>
      <w:r w:rsidRPr="00714D21">
        <w:rPr>
          <w:szCs w:val="22"/>
        </w:rPr>
        <w:t xml:space="preserve"> terapie s vysokými dávkami,</w:t>
      </w:r>
    </w:p>
    <w:p w:rsidR="00EA1668" w:rsidRPr="00714D21" w:rsidRDefault="00EA1668" w:rsidP="00AD6646">
      <w:pPr>
        <w:numPr>
          <w:ilvl w:val="0"/>
          <w:numId w:val="23"/>
        </w:numPr>
        <w:tabs>
          <w:tab w:val="clear" w:pos="624"/>
        </w:tabs>
        <w:ind w:left="426" w:hanging="426"/>
        <w:rPr>
          <w:szCs w:val="22"/>
        </w:rPr>
      </w:pPr>
      <w:r w:rsidRPr="00714D21">
        <w:rPr>
          <w:szCs w:val="22"/>
        </w:rPr>
        <w:t>so závažným cievnym ochorením (</w:t>
      </w:r>
      <w:r w:rsidR="00F2334C">
        <w:rPr>
          <w:szCs w:val="22"/>
        </w:rPr>
        <w:t>závažná</w:t>
      </w:r>
      <w:r w:rsidRPr="00714D21">
        <w:rPr>
          <w:szCs w:val="22"/>
        </w:rPr>
        <w:t xml:space="preserve"> forma ischemickej choroby srdca, </w:t>
      </w:r>
      <w:r w:rsidR="00F2334C">
        <w:rPr>
          <w:szCs w:val="22"/>
        </w:rPr>
        <w:t>závažná</w:t>
      </w:r>
      <w:r w:rsidRPr="00714D21">
        <w:rPr>
          <w:szCs w:val="22"/>
        </w:rPr>
        <w:t xml:space="preserve"> porucha </w:t>
      </w:r>
      <w:proofErr w:type="spellStart"/>
      <w:r w:rsidRPr="00714D21">
        <w:rPr>
          <w:szCs w:val="22"/>
        </w:rPr>
        <w:t>kar</w:t>
      </w:r>
      <w:r w:rsidR="00247A47">
        <w:rPr>
          <w:szCs w:val="22"/>
        </w:rPr>
        <w:t>otíd</w:t>
      </w:r>
      <w:proofErr w:type="spellEnd"/>
      <w:r w:rsidR="00247A47">
        <w:rPr>
          <w:szCs w:val="22"/>
        </w:rPr>
        <w:t>, difúzne cievne ochorenie).</w:t>
      </w:r>
    </w:p>
    <w:p w:rsidR="00EA1668" w:rsidRPr="00714D21" w:rsidRDefault="00EA1668" w:rsidP="00EA1668">
      <w:pPr>
        <w:ind w:left="0" w:firstLine="0"/>
        <w:rPr>
          <w:szCs w:val="22"/>
        </w:rPr>
      </w:pPr>
      <w:r w:rsidRPr="00714D21">
        <w:rPr>
          <w:szCs w:val="22"/>
        </w:rPr>
        <w:t>Odporúča sa používať minimálnu dennú počiatočnú dávku 30 mg.</w:t>
      </w:r>
    </w:p>
    <w:p w:rsidR="00EA1668" w:rsidRPr="00714D21" w:rsidRDefault="00EA1668" w:rsidP="00EA1668">
      <w:pPr>
        <w:ind w:left="0" w:firstLine="0"/>
        <w:rPr>
          <w:szCs w:val="22"/>
        </w:rPr>
      </w:pPr>
    </w:p>
    <w:p w:rsidR="00EA1668" w:rsidRPr="00247A47" w:rsidRDefault="00EA1668" w:rsidP="00EA1668">
      <w:pPr>
        <w:ind w:left="0" w:firstLine="0"/>
        <w:rPr>
          <w:b/>
          <w:szCs w:val="22"/>
        </w:rPr>
      </w:pPr>
      <w:r w:rsidRPr="00247A47">
        <w:rPr>
          <w:b/>
          <w:i/>
          <w:szCs w:val="22"/>
        </w:rPr>
        <w:t>Pediatrická populácia</w:t>
      </w:r>
    </w:p>
    <w:p w:rsidR="00EA1668" w:rsidRPr="00714D21" w:rsidRDefault="00EA1668" w:rsidP="00EA1668">
      <w:pPr>
        <w:ind w:left="0" w:firstLine="0"/>
        <w:rPr>
          <w:szCs w:val="22"/>
          <w:u w:val="single"/>
        </w:rPr>
      </w:pPr>
      <w:r w:rsidRPr="00714D21">
        <w:rPr>
          <w:szCs w:val="22"/>
        </w:rPr>
        <w:t xml:space="preserve">Bezpečnosť a účinnosť </w:t>
      </w:r>
      <w:proofErr w:type="spellStart"/>
      <w:r w:rsidR="00247A47" w:rsidRPr="009026CA">
        <w:rPr>
          <w:color w:val="000000"/>
        </w:rPr>
        <w:t>Gliklazid</w:t>
      </w:r>
      <w:r w:rsidR="00247A47">
        <w:rPr>
          <w:color w:val="000000"/>
        </w:rPr>
        <w:t>u</w:t>
      </w:r>
      <w:proofErr w:type="spellEnd"/>
      <w:r w:rsidR="00247A47" w:rsidRPr="009026CA">
        <w:rPr>
          <w:color w:val="000000"/>
        </w:rPr>
        <w:t xml:space="preserve"> </w:t>
      </w:r>
      <w:proofErr w:type="spellStart"/>
      <w:r w:rsidR="00247A47" w:rsidRPr="009026CA">
        <w:rPr>
          <w:color w:val="000000"/>
        </w:rPr>
        <w:t>Sandoz</w:t>
      </w:r>
      <w:proofErr w:type="spellEnd"/>
      <w:r w:rsidR="00247A47" w:rsidRPr="009026CA">
        <w:rPr>
          <w:color w:val="000000"/>
        </w:rPr>
        <w:t xml:space="preserve"> </w:t>
      </w:r>
      <w:r w:rsidRPr="00714D21">
        <w:rPr>
          <w:szCs w:val="22"/>
        </w:rPr>
        <w:t xml:space="preserve">u detí a dospievajúcich neboli stanovené. K dispozícii nie sú </w:t>
      </w:r>
      <w:r w:rsidR="00247A47">
        <w:rPr>
          <w:szCs w:val="22"/>
        </w:rPr>
        <w:t>žiadne</w:t>
      </w:r>
      <w:r w:rsidRPr="00714D21">
        <w:rPr>
          <w:szCs w:val="22"/>
        </w:rPr>
        <w:t xml:space="preserve"> údaje.</w:t>
      </w:r>
    </w:p>
    <w:p w:rsidR="005D75B2" w:rsidRDefault="005D75B2" w:rsidP="00AB4913">
      <w:pPr>
        <w:tabs>
          <w:tab w:val="left" w:pos="426"/>
          <w:tab w:val="left" w:pos="5217"/>
        </w:tabs>
        <w:ind w:left="0" w:firstLine="0"/>
        <w:rPr>
          <w:szCs w:val="22"/>
        </w:rPr>
      </w:pPr>
    </w:p>
    <w:p w:rsidR="00247A47" w:rsidRPr="00247A47" w:rsidRDefault="00247A47" w:rsidP="00AB4913">
      <w:pPr>
        <w:tabs>
          <w:tab w:val="left" w:pos="426"/>
          <w:tab w:val="left" w:pos="5217"/>
        </w:tabs>
        <w:ind w:left="0" w:firstLine="0"/>
        <w:rPr>
          <w:szCs w:val="22"/>
          <w:u w:val="single"/>
        </w:rPr>
      </w:pPr>
      <w:r w:rsidRPr="00247A47">
        <w:rPr>
          <w:szCs w:val="22"/>
          <w:u w:val="single"/>
        </w:rPr>
        <w:t>Spôsob podávania</w:t>
      </w:r>
    </w:p>
    <w:p w:rsidR="00247A47" w:rsidRDefault="00247A47" w:rsidP="00AB4913">
      <w:pPr>
        <w:tabs>
          <w:tab w:val="left" w:pos="426"/>
          <w:tab w:val="left" w:pos="5217"/>
        </w:tabs>
        <w:ind w:left="0" w:firstLine="0"/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>
        <w:rPr>
          <w:color w:val="000000"/>
        </w:rPr>
        <w:t xml:space="preserve"> je určený na perorálne podávanie.</w:t>
      </w:r>
    </w:p>
    <w:p w:rsidR="005D75B2" w:rsidRPr="00405EB6" w:rsidRDefault="005D75B2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662F5D">
        <w:rPr>
          <w:b/>
          <w:szCs w:val="22"/>
        </w:rPr>
        <w:t>4.3</w:t>
      </w:r>
      <w:r w:rsidRPr="00662F5D">
        <w:rPr>
          <w:b/>
          <w:szCs w:val="22"/>
        </w:rPr>
        <w:tab/>
        <w:t>Kontraindikácie</w:t>
      </w:r>
      <w:r w:rsidRPr="00405EB6">
        <w:rPr>
          <w:b/>
          <w:szCs w:val="22"/>
        </w:rPr>
        <w:t xml:space="preserve"> </w:t>
      </w:r>
    </w:p>
    <w:p w:rsidR="00780926" w:rsidRDefault="00780926" w:rsidP="004C512E">
      <w:pPr>
        <w:rPr>
          <w:szCs w:val="22"/>
        </w:rPr>
      </w:pPr>
    </w:p>
    <w:p w:rsidR="00C535BE" w:rsidRDefault="00C535BE" w:rsidP="004C512E">
      <w:pPr>
        <w:rPr>
          <w:szCs w:val="22"/>
        </w:rPr>
      </w:pPr>
      <w:r>
        <w:rPr>
          <w:szCs w:val="22"/>
        </w:rPr>
        <w:t>Tento liek je kontraindikovaný v prípade:</w:t>
      </w:r>
    </w:p>
    <w:p w:rsidR="00247A47" w:rsidRPr="00714D21" w:rsidRDefault="00247A47" w:rsidP="00AD6646">
      <w:pPr>
        <w:pStyle w:val="Zkladntext"/>
        <w:numPr>
          <w:ilvl w:val="0"/>
          <w:numId w:val="15"/>
        </w:numPr>
        <w:ind w:left="426" w:hanging="426"/>
        <w:rPr>
          <w:szCs w:val="22"/>
        </w:rPr>
      </w:pPr>
      <w:r w:rsidRPr="00714D21">
        <w:rPr>
          <w:szCs w:val="22"/>
        </w:rPr>
        <w:t xml:space="preserve">precitlivenosť na </w:t>
      </w: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alebo na ktorúkoľvek z pomocných látok uvedených v časti 6.1, na iné deriváty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>, na sulfónamidy,</w:t>
      </w:r>
    </w:p>
    <w:p w:rsidR="00247A47" w:rsidRPr="00714D21" w:rsidRDefault="00247A47" w:rsidP="00AD6646">
      <w:pPr>
        <w:numPr>
          <w:ilvl w:val="0"/>
          <w:numId w:val="15"/>
        </w:numPr>
        <w:ind w:left="426" w:hanging="426"/>
        <w:rPr>
          <w:szCs w:val="22"/>
        </w:rPr>
      </w:pPr>
      <w:r w:rsidRPr="00714D21">
        <w:rPr>
          <w:szCs w:val="22"/>
        </w:rPr>
        <w:t>diabetes mellitus 1. typu,</w:t>
      </w:r>
    </w:p>
    <w:p w:rsidR="00247A47" w:rsidRPr="00714D21" w:rsidRDefault="00247A47" w:rsidP="00AD6646">
      <w:pPr>
        <w:numPr>
          <w:ilvl w:val="0"/>
          <w:numId w:val="15"/>
        </w:numPr>
        <w:ind w:left="426" w:hanging="426"/>
        <w:rPr>
          <w:szCs w:val="22"/>
        </w:rPr>
      </w:pPr>
      <w:r w:rsidRPr="00714D21">
        <w:rPr>
          <w:szCs w:val="22"/>
        </w:rPr>
        <w:lastRenderedPageBreak/>
        <w:t xml:space="preserve">diabetická </w:t>
      </w:r>
      <w:proofErr w:type="spellStart"/>
      <w:r w:rsidRPr="00714D21">
        <w:rPr>
          <w:szCs w:val="22"/>
        </w:rPr>
        <w:t>prekóma</w:t>
      </w:r>
      <w:proofErr w:type="spellEnd"/>
      <w:r w:rsidRPr="00714D21">
        <w:rPr>
          <w:szCs w:val="22"/>
        </w:rPr>
        <w:t xml:space="preserve"> a kóma, diabetická </w:t>
      </w:r>
      <w:proofErr w:type="spellStart"/>
      <w:r w:rsidRPr="00714D21">
        <w:rPr>
          <w:szCs w:val="22"/>
        </w:rPr>
        <w:t>ketoacidóza</w:t>
      </w:r>
      <w:proofErr w:type="spellEnd"/>
      <w:r w:rsidRPr="00714D21">
        <w:rPr>
          <w:szCs w:val="22"/>
        </w:rPr>
        <w:t>,</w:t>
      </w:r>
    </w:p>
    <w:p w:rsidR="00247A47" w:rsidRPr="00714D21" w:rsidRDefault="00247A47" w:rsidP="00AD6646">
      <w:pPr>
        <w:numPr>
          <w:ilvl w:val="0"/>
          <w:numId w:val="15"/>
        </w:numPr>
        <w:ind w:left="426" w:hanging="426"/>
        <w:rPr>
          <w:szCs w:val="22"/>
        </w:rPr>
      </w:pPr>
      <w:r w:rsidRPr="00714D21">
        <w:rPr>
          <w:szCs w:val="22"/>
        </w:rPr>
        <w:t>závažná obličková alebo pečeňová nedostatočnosť: v takýchto prípadoch sa odporúča použitie inzulínu,</w:t>
      </w:r>
    </w:p>
    <w:p w:rsidR="00247A47" w:rsidRPr="00714D21" w:rsidRDefault="00247A47" w:rsidP="00AD6646">
      <w:pPr>
        <w:numPr>
          <w:ilvl w:val="0"/>
          <w:numId w:val="15"/>
        </w:numPr>
        <w:ind w:left="426" w:hanging="426"/>
        <w:rPr>
          <w:szCs w:val="22"/>
        </w:rPr>
      </w:pPr>
      <w:r w:rsidRPr="00714D21">
        <w:rPr>
          <w:szCs w:val="22"/>
        </w:rPr>
        <w:t xml:space="preserve">liečba </w:t>
      </w:r>
      <w:proofErr w:type="spellStart"/>
      <w:r w:rsidRPr="00714D21">
        <w:rPr>
          <w:szCs w:val="22"/>
        </w:rPr>
        <w:t>mikonazolom</w:t>
      </w:r>
      <w:proofErr w:type="spellEnd"/>
      <w:r w:rsidRPr="00714D21">
        <w:rPr>
          <w:szCs w:val="22"/>
        </w:rPr>
        <w:t xml:space="preserve"> (pozri časť 4.5),</w:t>
      </w:r>
    </w:p>
    <w:p w:rsidR="00247A47" w:rsidRPr="00714D21" w:rsidRDefault="00E64EB5" w:rsidP="00AD6646">
      <w:pPr>
        <w:numPr>
          <w:ilvl w:val="0"/>
          <w:numId w:val="15"/>
        </w:numPr>
        <w:ind w:left="426" w:hanging="426"/>
        <w:rPr>
          <w:szCs w:val="22"/>
        </w:rPr>
      </w:pPr>
      <w:r>
        <w:rPr>
          <w:szCs w:val="22"/>
        </w:rPr>
        <w:t>dojčenie</w:t>
      </w:r>
      <w:r w:rsidR="00247A47" w:rsidRPr="00714D21">
        <w:rPr>
          <w:szCs w:val="22"/>
        </w:rPr>
        <w:t xml:space="preserve"> (pozri časť 4.6).</w:t>
      </w:r>
    </w:p>
    <w:p w:rsidR="009B0D4B" w:rsidRPr="00405EB6" w:rsidRDefault="009B0D4B" w:rsidP="004C512E">
      <w:pPr>
        <w:ind w:left="0" w:firstLine="0"/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4.4</w:t>
      </w:r>
      <w:r w:rsidRPr="00405EB6">
        <w:rPr>
          <w:b/>
          <w:szCs w:val="22"/>
        </w:rPr>
        <w:tab/>
        <w:t>Osobitné upozornenia a opatrenia pri používaní</w:t>
      </w:r>
    </w:p>
    <w:p w:rsidR="00E1698A" w:rsidRPr="00405EB6" w:rsidRDefault="00E1698A" w:rsidP="004C512E">
      <w:pPr>
        <w:rPr>
          <w:szCs w:val="22"/>
        </w:rPr>
      </w:pPr>
    </w:p>
    <w:p w:rsidR="00247A47" w:rsidRPr="00247A47" w:rsidRDefault="00247A47" w:rsidP="00247A47">
      <w:pPr>
        <w:ind w:left="0" w:firstLine="0"/>
        <w:rPr>
          <w:b/>
          <w:szCs w:val="22"/>
        </w:rPr>
      </w:pPr>
      <w:proofErr w:type="spellStart"/>
      <w:r w:rsidRPr="00247A47">
        <w:rPr>
          <w:b/>
          <w:szCs w:val="22"/>
        </w:rPr>
        <w:t>Hypoglykémia</w:t>
      </w:r>
      <w:proofErr w:type="spellEnd"/>
    </w:p>
    <w:p w:rsidR="00247A47" w:rsidRPr="00247A47" w:rsidRDefault="00247A47" w:rsidP="00247A47">
      <w:pPr>
        <w:pStyle w:val="Zkladntext"/>
        <w:rPr>
          <w:szCs w:val="22"/>
        </w:rPr>
      </w:pPr>
      <w:r w:rsidRPr="00247A47">
        <w:rPr>
          <w:szCs w:val="22"/>
        </w:rPr>
        <w:t>Táto liečba má</w:t>
      </w:r>
      <w:r w:rsidR="00674D4E">
        <w:rPr>
          <w:szCs w:val="22"/>
        </w:rPr>
        <w:t xml:space="preserve"> byť</w:t>
      </w:r>
      <w:r w:rsidRPr="00247A47">
        <w:rPr>
          <w:szCs w:val="22"/>
        </w:rPr>
        <w:t xml:space="preserve"> predpísa</w:t>
      </w:r>
      <w:r w:rsidR="00674D4E">
        <w:rPr>
          <w:szCs w:val="22"/>
        </w:rPr>
        <w:t>ná</w:t>
      </w:r>
      <w:r w:rsidRPr="00247A47">
        <w:rPr>
          <w:szCs w:val="22"/>
        </w:rPr>
        <w:t xml:space="preserve"> iba v prípade, ak sa u pacienta predpokladá pravidelný príjem potravy (vrátane raňajok). Je dôležité mať pravidelný príjem sacharidov vzhľadom na zvýšené riziko vzniku </w:t>
      </w:r>
      <w:proofErr w:type="spellStart"/>
      <w:r w:rsidRPr="00247A47">
        <w:rPr>
          <w:szCs w:val="22"/>
        </w:rPr>
        <w:t>hypoglykémie</w:t>
      </w:r>
      <w:proofErr w:type="spellEnd"/>
      <w:r w:rsidRPr="00247A47">
        <w:rPr>
          <w:szCs w:val="22"/>
        </w:rPr>
        <w:t xml:space="preserve"> v prípade, ak je príjem potravy oneskorený, ak sa konzumuje neprimerané množstvo potravy, alebo ak má potrava nízky obsah sacharidov. </w:t>
      </w:r>
      <w:proofErr w:type="spellStart"/>
      <w:r w:rsidRPr="00247A47">
        <w:rPr>
          <w:szCs w:val="22"/>
        </w:rPr>
        <w:t>Hypoglykémia</w:t>
      </w:r>
      <w:proofErr w:type="spellEnd"/>
      <w:r w:rsidRPr="00247A47">
        <w:rPr>
          <w:szCs w:val="22"/>
        </w:rPr>
        <w:t xml:space="preserve"> sa s väčšou pravdepodobnosťou vyskytuje počas </w:t>
      </w:r>
      <w:proofErr w:type="spellStart"/>
      <w:r w:rsidRPr="00247A47">
        <w:rPr>
          <w:szCs w:val="22"/>
        </w:rPr>
        <w:t>nízkokalorických</w:t>
      </w:r>
      <w:proofErr w:type="spellEnd"/>
      <w:r w:rsidRPr="00247A47">
        <w:rPr>
          <w:szCs w:val="22"/>
        </w:rPr>
        <w:t xml:space="preserve"> diét, po predĺženom alebo namáhavom cvičení, po konzumácii alkoholu, alebo pri použití kombinácie </w:t>
      </w:r>
      <w:proofErr w:type="spellStart"/>
      <w:r w:rsidRPr="00247A47">
        <w:rPr>
          <w:szCs w:val="22"/>
        </w:rPr>
        <w:t>hypoglykemi</w:t>
      </w:r>
      <w:r w:rsidR="00EE6A5E">
        <w:rPr>
          <w:szCs w:val="22"/>
        </w:rPr>
        <w:t>ckých</w:t>
      </w:r>
      <w:proofErr w:type="spellEnd"/>
      <w:r w:rsidRPr="00247A47">
        <w:rPr>
          <w:szCs w:val="22"/>
        </w:rPr>
        <w:t xml:space="preserve"> látok.</w:t>
      </w:r>
    </w:p>
    <w:p w:rsidR="00247A47" w:rsidRPr="00247A47" w:rsidRDefault="00247A47" w:rsidP="00247A47">
      <w:pPr>
        <w:pStyle w:val="Zarkazkladnhotextu3"/>
        <w:spacing w:after="0"/>
        <w:ind w:left="0" w:firstLine="0"/>
        <w:rPr>
          <w:sz w:val="22"/>
          <w:szCs w:val="22"/>
        </w:rPr>
      </w:pPr>
      <w:r w:rsidRPr="00247A47">
        <w:rPr>
          <w:sz w:val="22"/>
          <w:szCs w:val="22"/>
        </w:rPr>
        <w:t>K </w:t>
      </w:r>
      <w:proofErr w:type="spellStart"/>
      <w:r w:rsidRPr="00247A47">
        <w:rPr>
          <w:sz w:val="22"/>
          <w:szCs w:val="22"/>
        </w:rPr>
        <w:t>hypoglykémii</w:t>
      </w:r>
      <w:proofErr w:type="spellEnd"/>
      <w:r w:rsidRPr="00247A47">
        <w:rPr>
          <w:sz w:val="22"/>
          <w:szCs w:val="22"/>
        </w:rPr>
        <w:t xml:space="preserve"> môže dôjsť po podaní derivátov </w:t>
      </w:r>
      <w:proofErr w:type="spellStart"/>
      <w:r w:rsidRPr="00247A47">
        <w:rPr>
          <w:sz w:val="22"/>
          <w:szCs w:val="22"/>
        </w:rPr>
        <w:t>sulfonylurey</w:t>
      </w:r>
      <w:proofErr w:type="spellEnd"/>
      <w:r w:rsidRPr="00247A47">
        <w:rPr>
          <w:sz w:val="22"/>
          <w:szCs w:val="22"/>
        </w:rPr>
        <w:t xml:space="preserve"> (pozri časť 4.8). Niektoré stavy môžu byť závažné a dlhotrvajúce. Môže byť potrebná hospitalizácia a pokračovanie v podávaní glukózy počas niekoľkých dní.</w:t>
      </w:r>
    </w:p>
    <w:p w:rsidR="00247A47" w:rsidRDefault="00247A47" w:rsidP="00247A47">
      <w:pPr>
        <w:pStyle w:val="Zarkazkladnhotextu3"/>
        <w:spacing w:after="0"/>
        <w:ind w:left="0" w:firstLine="0"/>
        <w:rPr>
          <w:sz w:val="22"/>
          <w:szCs w:val="22"/>
        </w:rPr>
      </w:pPr>
      <w:r w:rsidRPr="00247A47">
        <w:rPr>
          <w:sz w:val="22"/>
          <w:szCs w:val="22"/>
        </w:rPr>
        <w:t xml:space="preserve">Na zníženie rizika vzniku </w:t>
      </w:r>
      <w:proofErr w:type="spellStart"/>
      <w:r w:rsidRPr="00247A47">
        <w:rPr>
          <w:sz w:val="22"/>
          <w:szCs w:val="22"/>
        </w:rPr>
        <w:t>hypoglykemických</w:t>
      </w:r>
      <w:proofErr w:type="spellEnd"/>
      <w:r w:rsidRPr="00247A47">
        <w:rPr>
          <w:sz w:val="22"/>
          <w:szCs w:val="22"/>
        </w:rPr>
        <w:t xml:space="preserve"> príhod je potrebný starostlivý výber pacientov, použitej dávky a jasné pokyny pre pacienta.</w:t>
      </w:r>
    </w:p>
    <w:p w:rsidR="00EE6A5E" w:rsidRPr="00247A47" w:rsidRDefault="00EE6A5E" w:rsidP="00247A47">
      <w:pPr>
        <w:pStyle w:val="Zarkazkladnhotextu3"/>
        <w:spacing w:after="0"/>
        <w:ind w:left="0" w:firstLine="0"/>
        <w:rPr>
          <w:sz w:val="22"/>
          <w:szCs w:val="22"/>
        </w:rPr>
      </w:pPr>
    </w:p>
    <w:p w:rsidR="00247A47" w:rsidRPr="00247A47" w:rsidRDefault="00247A47" w:rsidP="00247A47">
      <w:pPr>
        <w:pStyle w:val="Zarkazkladnhotextu2"/>
        <w:spacing w:after="0" w:line="240" w:lineRule="auto"/>
        <w:ind w:left="0" w:firstLine="0"/>
        <w:rPr>
          <w:szCs w:val="22"/>
        </w:rPr>
      </w:pPr>
      <w:r w:rsidRPr="00247A47">
        <w:rPr>
          <w:szCs w:val="22"/>
        </w:rPr>
        <w:t xml:space="preserve">Faktory zvyšujúce riziko vzniku </w:t>
      </w:r>
      <w:proofErr w:type="spellStart"/>
      <w:r w:rsidRPr="00247A47">
        <w:rPr>
          <w:szCs w:val="22"/>
        </w:rPr>
        <w:t>hypoglykémie</w:t>
      </w:r>
      <w:proofErr w:type="spellEnd"/>
      <w:r w:rsidRPr="00247A47">
        <w:rPr>
          <w:szCs w:val="22"/>
        </w:rPr>
        <w:t>: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>pacient odmieta alebo</w:t>
      </w:r>
      <w:r w:rsidR="00AD6646">
        <w:rPr>
          <w:szCs w:val="22"/>
        </w:rPr>
        <w:t xml:space="preserve"> </w:t>
      </w:r>
      <w:r w:rsidR="00AD6646" w:rsidRPr="00247A47">
        <w:rPr>
          <w:szCs w:val="22"/>
        </w:rPr>
        <w:t>(najmä starší pacienti)</w:t>
      </w:r>
      <w:r w:rsidRPr="00247A47">
        <w:rPr>
          <w:szCs w:val="22"/>
        </w:rPr>
        <w:t xml:space="preserve"> nie je schopný spolupracovať, 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proofErr w:type="spellStart"/>
      <w:r w:rsidRPr="00247A47">
        <w:rPr>
          <w:szCs w:val="22"/>
        </w:rPr>
        <w:t>malnutrícia</w:t>
      </w:r>
      <w:proofErr w:type="spellEnd"/>
      <w:r w:rsidRPr="00247A47">
        <w:rPr>
          <w:szCs w:val="22"/>
        </w:rPr>
        <w:t>, nepravidelný čas stravovania, vynechávanie jedál, obdobia hladovania alebo dietetických zmien,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>nerovnováha medzi fyzickou záťažou a príjmom sacharidov,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>obličk</w:t>
      </w:r>
      <w:r w:rsidR="00B61430">
        <w:rPr>
          <w:szCs w:val="22"/>
        </w:rPr>
        <w:t>ová nedostatočnosť</w:t>
      </w:r>
      <w:r w:rsidRPr="00247A47">
        <w:rPr>
          <w:szCs w:val="22"/>
        </w:rPr>
        <w:t>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>závažn</w:t>
      </w:r>
      <w:r w:rsidR="00B61430">
        <w:rPr>
          <w:szCs w:val="22"/>
        </w:rPr>
        <w:t>á</w:t>
      </w:r>
      <w:r w:rsidRPr="00247A47">
        <w:rPr>
          <w:szCs w:val="22"/>
        </w:rPr>
        <w:t xml:space="preserve"> peče</w:t>
      </w:r>
      <w:r w:rsidR="00B61430">
        <w:rPr>
          <w:szCs w:val="22"/>
        </w:rPr>
        <w:t>ňová nedostatočnosť</w:t>
      </w:r>
      <w:r w:rsidRPr="00247A47">
        <w:rPr>
          <w:szCs w:val="22"/>
        </w:rPr>
        <w:t>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 xml:space="preserve">predávkovanie </w:t>
      </w:r>
      <w:proofErr w:type="spellStart"/>
      <w:r w:rsidR="00EA293C">
        <w:rPr>
          <w:szCs w:val="22"/>
        </w:rPr>
        <w:t>g</w:t>
      </w:r>
      <w:r w:rsidR="00AD6646" w:rsidRPr="009026CA">
        <w:rPr>
          <w:color w:val="000000"/>
        </w:rPr>
        <w:t>liklazid</w:t>
      </w:r>
      <w:r w:rsidR="00AD6646">
        <w:rPr>
          <w:color w:val="000000"/>
        </w:rPr>
        <w:t>om</w:t>
      </w:r>
      <w:proofErr w:type="spellEnd"/>
      <w:r w:rsidRPr="00247A47">
        <w:rPr>
          <w:szCs w:val="22"/>
        </w:rPr>
        <w:t>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 xml:space="preserve">niektoré endokrinné poruchy: poruchy štítnej žľazy, </w:t>
      </w:r>
      <w:proofErr w:type="spellStart"/>
      <w:r w:rsidRPr="00247A47">
        <w:rPr>
          <w:szCs w:val="22"/>
        </w:rPr>
        <w:t>hypopituitarizmus</w:t>
      </w:r>
      <w:proofErr w:type="spellEnd"/>
      <w:r w:rsidRPr="00247A47">
        <w:rPr>
          <w:szCs w:val="22"/>
        </w:rPr>
        <w:t xml:space="preserve"> a nedostatočná funkcia nadobličiek,</w:t>
      </w:r>
    </w:p>
    <w:p w:rsidR="00247A47" w:rsidRPr="00247A47" w:rsidRDefault="00247A47" w:rsidP="00AD6646">
      <w:pPr>
        <w:numPr>
          <w:ilvl w:val="0"/>
          <w:numId w:val="26"/>
        </w:numPr>
        <w:tabs>
          <w:tab w:val="clear" w:pos="360"/>
        </w:tabs>
        <w:ind w:left="426" w:hanging="426"/>
        <w:rPr>
          <w:szCs w:val="22"/>
        </w:rPr>
      </w:pPr>
      <w:r w:rsidRPr="00247A47">
        <w:rPr>
          <w:szCs w:val="22"/>
        </w:rPr>
        <w:t xml:space="preserve">súbežné podávanie niektorých iných liekov (pozri časť 4.5). </w:t>
      </w:r>
    </w:p>
    <w:p w:rsidR="00AD6646" w:rsidRDefault="00AD6646" w:rsidP="00247A47">
      <w:pPr>
        <w:pStyle w:val="Zarkazkladnhotextu3"/>
        <w:spacing w:after="0"/>
        <w:ind w:left="0" w:firstLine="0"/>
        <w:rPr>
          <w:sz w:val="22"/>
          <w:szCs w:val="22"/>
        </w:rPr>
      </w:pPr>
    </w:p>
    <w:p w:rsidR="00AD6646" w:rsidRPr="00CD505D" w:rsidRDefault="00247A47" w:rsidP="00247A47">
      <w:pPr>
        <w:pStyle w:val="Zarkazkladnhotextu3"/>
        <w:spacing w:after="0"/>
        <w:ind w:left="0" w:firstLine="0"/>
        <w:rPr>
          <w:b/>
          <w:sz w:val="22"/>
          <w:szCs w:val="22"/>
          <w:lang w:val="sk-SK"/>
        </w:rPr>
      </w:pPr>
      <w:r w:rsidRPr="00AD6646">
        <w:rPr>
          <w:b/>
          <w:sz w:val="22"/>
          <w:szCs w:val="22"/>
        </w:rPr>
        <w:t>Obličková a pečeňová nedostatočnosť</w:t>
      </w:r>
    </w:p>
    <w:p w:rsidR="00247A47" w:rsidRPr="00247A47" w:rsidRDefault="00247A47" w:rsidP="00247A47">
      <w:pPr>
        <w:pStyle w:val="Zarkazkladnhotextu3"/>
        <w:spacing w:after="0"/>
        <w:ind w:left="0" w:firstLine="0"/>
        <w:rPr>
          <w:sz w:val="22"/>
          <w:szCs w:val="22"/>
        </w:rPr>
      </w:pPr>
      <w:proofErr w:type="spellStart"/>
      <w:r w:rsidRPr="00247A47">
        <w:rPr>
          <w:sz w:val="22"/>
          <w:szCs w:val="22"/>
        </w:rPr>
        <w:t>Farmakokinetika</w:t>
      </w:r>
      <w:proofErr w:type="spellEnd"/>
      <w:r w:rsidRPr="00247A47">
        <w:rPr>
          <w:sz w:val="22"/>
          <w:szCs w:val="22"/>
        </w:rPr>
        <w:t xml:space="preserve"> a/alebo </w:t>
      </w:r>
      <w:proofErr w:type="spellStart"/>
      <w:r w:rsidRPr="00247A47">
        <w:rPr>
          <w:sz w:val="22"/>
          <w:szCs w:val="22"/>
        </w:rPr>
        <w:t>farmakodynamika</w:t>
      </w:r>
      <w:proofErr w:type="spellEnd"/>
      <w:r w:rsidRPr="00247A47">
        <w:rPr>
          <w:sz w:val="22"/>
          <w:szCs w:val="22"/>
        </w:rPr>
        <w:t xml:space="preserve"> </w:t>
      </w:r>
      <w:proofErr w:type="spellStart"/>
      <w:r w:rsidRPr="00247A47">
        <w:rPr>
          <w:sz w:val="22"/>
          <w:szCs w:val="22"/>
        </w:rPr>
        <w:t>gliklazidu</w:t>
      </w:r>
      <w:proofErr w:type="spellEnd"/>
      <w:r w:rsidRPr="00247A47">
        <w:rPr>
          <w:sz w:val="22"/>
          <w:szCs w:val="22"/>
        </w:rPr>
        <w:t xml:space="preserve"> môžu byť modifikované u pacientov s pečeňovou nedostatočnosťou alebo závažným obličkovým zlyhaním. </w:t>
      </w:r>
      <w:proofErr w:type="spellStart"/>
      <w:r w:rsidRPr="00247A47">
        <w:rPr>
          <w:sz w:val="22"/>
          <w:szCs w:val="22"/>
        </w:rPr>
        <w:t>Hypoglykemická</w:t>
      </w:r>
      <w:proofErr w:type="spellEnd"/>
      <w:r w:rsidRPr="00247A47">
        <w:rPr>
          <w:sz w:val="22"/>
          <w:szCs w:val="22"/>
        </w:rPr>
        <w:t xml:space="preserve"> epizóda, ktorá sa vyskytne u týchto pacientov, môže byť predĺžená, preto je potrebné začať vhodnú liečbu.</w:t>
      </w:r>
    </w:p>
    <w:p w:rsidR="0074652C" w:rsidRDefault="0074652C" w:rsidP="00247A47">
      <w:pPr>
        <w:pStyle w:val="Zarkazkladnhotextu3"/>
        <w:spacing w:after="0"/>
        <w:ind w:left="0" w:firstLine="0"/>
        <w:rPr>
          <w:sz w:val="22"/>
          <w:szCs w:val="22"/>
        </w:rPr>
      </w:pPr>
    </w:p>
    <w:p w:rsidR="00247A47" w:rsidRPr="00CD505D" w:rsidRDefault="00247A47" w:rsidP="00247A47">
      <w:pPr>
        <w:pStyle w:val="Zarkazkladnhotextu3"/>
        <w:spacing w:after="0"/>
        <w:ind w:left="0" w:firstLine="0"/>
        <w:rPr>
          <w:b/>
          <w:sz w:val="22"/>
          <w:szCs w:val="22"/>
          <w:lang w:val="sk-SK"/>
        </w:rPr>
      </w:pPr>
      <w:r w:rsidRPr="0074652C">
        <w:rPr>
          <w:b/>
          <w:sz w:val="22"/>
          <w:szCs w:val="22"/>
        </w:rPr>
        <w:t>Informácia pre pacienta</w:t>
      </w:r>
    </w:p>
    <w:p w:rsidR="00247A47" w:rsidRPr="00247A47" w:rsidRDefault="00247A47" w:rsidP="00247A47">
      <w:pPr>
        <w:ind w:left="0" w:firstLine="0"/>
        <w:rPr>
          <w:szCs w:val="22"/>
        </w:rPr>
      </w:pPr>
      <w:r w:rsidRPr="00247A47">
        <w:rPr>
          <w:szCs w:val="22"/>
        </w:rPr>
        <w:t xml:space="preserve">Riziká </w:t>
      </w:r>
      <w:proofErr w:type="spellStart"/>
      <w:r w:rsidRPr="00247A47">
        <w:rPr>
          <w:szCs w:val="22"/>
        </w:rPr>
        <w:t>hypoglykémie</w:t>
      </w:r>
      <w:proofErr w:type="spellEnd"/>
      <w:r w:rsidRPr="00247A47">
        <w:rPr>
          <w:szCs w:val="22"/>
        </w:rPr>
        <w:t xml:space="preserve"> spolu s jej príznakmi (pozri časť 4.8), liečbou a podmienkami vedúcimi k jej vzniku sa majú vysvetliť pacientovi a členom jeho rodiny.</w:t>
      </w:r>
    </w:p>
    <w:p w:rsidR="00247A47" w:rsidRPr="00247A47" w:rsidRDefault="00247A47" w:rsidP="00247A47">
      <w:pPr>
        <w:ind w:left="0" w:firstLine="0"/>
        <w:rPr>
          <w:szCs w:val="22"/>
        </w:rPr>
      </w:pPr>
      <w:r w:rsidRPr="00247A47">
        <w:rPr>
          <w:szCs w:val="22"/>
        </w:rPr>
        <w:t>Pacient má byť informovaný o dôležitosti dodržiavania diétneho režimu, pravidelného cvičenia a pravidelného sledovania hlad</w:t>
      </w:r>
      <w:r w:rsidR="00674D4E">
        <w:rPr>
          <w:szCs w:val="22"/>
        </w:rPr>
        <w:t>iny</w:t>
      </w:r>
      <w:r w:rsidRPr="00247A47">
        <w:rPr>
          <w:szCs w:val="22"/>
        </w:rPr>
        <w:t xml:space="preserve"> glukózy v krvi.</w:t>
      </w:r>
    </w:p>
    <w:p w:rsidR="00247A47" w:rsidRPr="00247A47" w:rsidRDefault="00247A47" w:rsidP="00247A47">
      <w:pPr>
        <w:ind w:left="0" w:firstLine="0"/>
        <w:rPr>
          <w:szCs w:val="22"/>
        </w:rPr>
      </w:pPr>
    </w:p>
    <w:p w:rsidR="00247A47" w:rsidRPr="00CD505D" w:rsidRDefault="00247A47" w:rsidP="00247A47">
      <w:pPr>
        <w:pStyle w:val="Zarkazkladnhotextu3"/>
        <w:spacing w:after="0"/>
        <w:ind w:left="0" w:firstLine="0"/>
        <w:rPr>
          <w:b/>
          <w:sz w:val="22"/>
          <w:szCs w:val="22"/>
          <w:lang w:val="sk-SK"/>
        </w:rPr>
      </w:pPr>
      <w:r w:rsidRPr="0074652C">
        <w:rPr>
          <w:b/>
          <w:sz w:val="22"/>
          <w:szCs w:val="22"/>
        </w:rPr>
        <w:t>Nedostatočná kontrola glykémie</w:t>
      </w:r>
    </w:p>
    <w:p w:rsidR="00247A47" w:rsidRPr="00247A47" w:rsidRDefault="00247A47" w:rsidP="00247A47">
      <w:pPr>
        <w:pStyle w:val="Zarkazkladnhotextu3"/>
        <w:spacing w:after="0"/>
        <w:ind w:left="0" w:firstLine="0"/>
        <w:rPr>
          <w:sz w:val="22"/>
          <w:szCs w:val="22"/>
        </w:rPr>
      </w:pPr>
      <w:r w:rsidRPr="00247A47">
        <w:rPr>
          <w:sz w:val="22"/>
          <w:szCs w:val="22"/>
        </w:rPr>
        <w:t xml:space="preserve">Kontrola glykémie u pacientov liečených </w:t>
      </w:r>
      <w:proofErr w:type="spellStart"/>
      <w:r w:rsidRPr="00247A47">
        <w:rPr>
          <w:sz w:val="22"/>
          <w:szCs w:val="22"/>
        </w:rPr>
        <w:t>antidiabetikami</w:t>
      </w:r>
      <w:proofErr w:type="spellEnd"/>
      <w:r w:rsidRPr="00247A47">
        <w:rPr>
          <w:sz w:val="22"/>
          <w:szCs w:val="22"/>
        </w:rPr>
        <w:t xml:space="preserve"> môže byť ovplyvnená niektorým z nasledujúcich faktorov:</w:t>
      </w:r>
      <w:r w:rsidR="00EA293C" w:rsidRPr="00A32F75">
        <w:rPr>
          <w:sz w:val="22"/>
          <w:szCs w:val="22"/>
        </w:rPr>
        <w:t xml:space="preserve"> </w:t>
      </w:r>
      <w:r w:rsidR="00A32F75" w:rsidRPr="00A32F75">
        <w:rPr>
          <w:sz w:val="22"/>
          <w:szCs w:val="22"/>
        </w:rPr>
        <w:t>užívanie prípravkov s ľubovníkom bodkovaným (</w:t>
      </w:r>
      <w:proofErr w:type="spellStart"/>
      <w:r w:rsidR="00A32F75" w:rsidRPr="00CD505D">
        <w:rPr>
          <w:i/>
          <w:sz w:val="22"/>
          <w:szCs w:val="22"/>
        </w:rPr>
        <w:t>Hypericum</w:t>
      </w:r>
      <w:proofErr w:type="spellEnd"/>
      <w:r w:rsidR="00A32F75" w:rsidRPr="00CD505D">
        <w:rPr>
          <w:i/>
          <w:sz w:val="22"/>
          <w:szCs w:val="22"/>
        </w:rPr>
        <w:t xml:space="preserve"> </w:t>
      </w:r>
      <w:proofErr w:type="spellStart"/>
      <w:r w:rsidR="00A32F75" w:rsidRPr="00CD505D">
        <w:rPr>
          <w:i/>
          <w:sz w:val="22"/>
          <w:szCs w:val="22"/>
        </w:rPr>
        <w:t>perforatum</w:t>
      </w:r>
      <w:proofErr w:type="spellEnd"/>
      <w:r w:rsidR="00A32F75" w:rsidRPr="00A32F75">
        <w:rPr>
          <w:sz w:val="22"/>
          <w:szCs w:val="22"/>
        </w:rPr>
        <w:t xml:space="preserve">) (pozri časť 4.5), </w:t>
      </w:r>
      <w:r w:rsidRPr="00247A47">
        <w:rPr>
          <w:sz w:val="22"/>
          <w:szCs w:val="22"/>
        </w:rPr>
        <w:t>horúčka, úraz, infekcia alebo chirurgický zákrok. V niektorých prípadoch môže byť nevyhnutné podávanie inzulínu.</w:t>
      </w:r>
    </w:p>
    <w:p w:rsidR="00247A47" w:rsidRPr="00247A47" w:rsidRDefault="00247A47" w:rsidP="00247A47">
      <w:pPr>
        <w:pStyle w:val="Zarkazkladnhotextu3"/>
        <w:spacing w:after="0"/>
        <w:ind w:left="0" w:firstLine="0"/>
        <w:rPr>
          <w:sz w:val="22"/>
          <w:szCs w:val="22"/>
        </w:rPr>
      </w:pPr>
      <w:proofErr w:type="spellStart"/>
      <w:r w:rsidRPr="00247A47">
        <w:rPr>
          <w:sz w:val="22"/>
          <w:szCs w:val="22"/>
        </w:rPr>
        <w:t>Hypoglykemická</w:t>
      </w:r>
      <w:proofErr w:type="spellEnd"/>
      <w:r w:rsidRPr="00247A47">
        <w:rPr>
          <w:sz w:val="22"/>
          <w:szCs w:val="22"/>
        </w:rPr>
        <w:t xml:space="preserve"> účinnosť akéhokoľvek perorálneho </w:t>
      </w:r>
      <w:proofErr w:type="spellStart"/>
      <w:r w:rsidRPr="00247A47">
        <w:rPr>
          <w:sz w:val="22"/>
          <w:szCs w:val="22"/>
        </w:rPr>
        <w:t>antidiabetika</w:t>
      </w:r>
      <w:proofErr w:type="spellEnd"/>
      <w:r w:rsidRPr="00247A47">
        <w:rPr>
          <w:sz w:val="22"/>
          <w:szCs w:val="22"/>
        </w:rPr>
        <w:t xml:space="preserve">, vrátane </w:t>
      </w:r>
      <w:proofErr w:type="spellStart"/>
      <w:r w:rsidRPr="00247A47">
        <w:rPr>
          <w:sz w:val="22"/>
          <w:szCs w:val="22"/>
        </w:rPr>
        <w:t>gliklazidu</w:t>
      </w:r>
      <w:proofErr w:type="spellEnd"/>
      <w:r w:rsidRPr="00247A47">
        <w:rPr>
          <w:sz w:val="22"/>
          <w:szCs w:val="22"/>
        </w:rPr>
        <w:t xml:space="preserve">, u mnohých pacientov počas dlhšieho obdobia klesá: môže to byť spôsobené progresiou závažnosti diabetu, alebo zníženou odpoveďou na liečbu. Tento fenomén je známy ako sekundárne zlyhanie, ktoré je odlišné od primárneho zlyhania, pri ktorom je </w:t>
      </w:r>
      <w:r w:rsidR="00B504DC">
        <w:rPr>
          <w:sz w:val="22"/>
          <w:szCs w:val="22"/>
        </w:rPr>
        <w:t>liečivo</w:t>
      </w:r>
      <w:r w:rsidRPr="00247A47">
        <w:rPr>
          <w:sz w:val="22"/>
          <w:szCs w:val="22"/>
        </w:rPr>
        <w:t xml:space="preserve"> neúčinn</w:t>
      </w:r>
      <w:r w:rsidR="00B504DC">
        <w:rPr>
          <w:sz w:val="22"/>
          <w:szCs w:val="22"/>
        </w:rPr>
        <w:t>é</w:t>
      </w:r>
      <w:r w:rsidRPr="00247A47">
        <w:rPr>
          <w:sz w:val="22"/>
          <w:szCs w:val="22"/>
        </w:rPr>
        <w:t>, ak je použit</w:t>
      </w:r>
      <w:r w:rsidR="00B504DC">
        <w:rPr>
          <w:sz w:val="22"/>
          <w:szCs w:val="22"/>
        </w:rPr>
        <w:t>é</w:t>
      </w:r>
      <w:r w:rsidRPr="00247A47">
        <w:rPr>
          <w:sz w:val="22"/>
          <w:szCs w:val="22"/>
        </w:rPr>
        <w:t xml:space="preserve"> ako liečba prvej voľby. Pred diagnostikovaním sekundárneho zlyhania sa má u pacienta zvážiť adekvátna úprava dávky a dodržiavanie diétneho režimu.</w:t>
      </w:r>
    </w:p>
    <w:p w:rsidR="00247A47" w:rsidRDefault="00247A47" w:rsidP="00A32F75">
      <w:pPr>
        <w:pStyle w:val="Zarkazkladnhotextu3"/>
        <w:spacing w:after="0"/>
        <w:ind w:left="0" w:firstLine="0"/>
        <w:rPr>
          <w:sz w:val="22"/>
          <w:szCs w:val="22"/>
          <w:lang w:val="sk-SK"/>
        </w:rPr>
      </w:pPr>
    </w:p>
    <w:p w:rsidR="00A32F75" w:rsidRPr="00CD505D" w:rsidRDefault="00A32F75" w:rsidP="00A32F75">
      <w:pPr>
        <w:pStyle w:val="Zarkazkladnhotextu"/>
        <w:ind w:left="0" w:firstLine="0"/>
        <w:rPr>
          <w:b/>
          <w:szCs w:val="22"/>
          <w:lang w:val="sk-SK"/>
        </w:rPr>
      </w:pPr>
      <w:proofErr w:type="spellStart"/>
      <w:r w:rsidRPr="00CD505D">
        <w:rPr>
          <w:b/>
          <w:szCs w:val="22"/>
          <w:lang w:val="sk-SK"/>
        </w:rPr>
        <w:t>Dysglykémia</w:t>
      </w:r>
      <w:proofErr w:type="spellEnd"/>
    </w:p>
    <w:p w:rsidR="00A32F75" w:rsidRPr="00CD505D" w:rsidRDefault="00A32F75" w:rsidP="00CD505D">
      <w:pPr>
        <w:pStyle w:val="Zarkazkladnhotextu"/>
        <w:spacing w:after="0"/>
        <w:ind w:left="0" w:firstLine="0"/>
        <w:rPr>
          <w:szCs w:val="22"/>
          <w:lang w:val="sk-SK"/>
        </w:rPr>
      </w:pPr>
      <w:r w:rsidRPr="00CD505D">
        <w:rPr>
          <w:szCs w:val="22"/>
          <w:lang w:val="sk-SK"/>
        </w:rPr>
        <w:lastRenderedPageBreak/>
        <w:t xml:space="preserve">U diabetických pacientov, </w:t>
      </w:r>
      <w:r w:rsidR="00935F03" w:rsidRPr="00AC08FB">
        <w:rPr>
          <w:szCs w:val="22"/>
          <w:lang w:val="sk-SK"/>
        </w:rPr>
        <w:t>najmä u</w:t>
      </w:r>
      <w:r w:rsidR="00935F03">
        <w:rPr>
          <w:szCs w:val="22"/>
          <w:lang w:val="sk-SK"/>
        </w:rPr>
        <w:t> </w:t>
      </w:r>
      <w:r w:rsidR="00935F03" w:rsidRPr="00AC08FB">
        <w:rPr>
          <w:szCs w:val="22"/>
          <w:lang w:val="sk-SK"/>
        </w:rPr>
        <w:t xml:space="preserve">starších pacientov, </w:t>
      </w:r>
      <w:r w:rsidRPr="00CD505D">
        <w:rPr>
          <w:szCs w:val="22"/>
          <w:lang w:val="sk-SK"/>
        </w:rPr>
        <w:t xml:space="preserve">ktorí boli súbežne liečení </w:t>
      </w:r>
      <w:proofErr w:type="spellStart"/>
      <w:r w:rsidRPr="00CD505D">
        <w:rPr>
          <w:szCs w:val="22"/>
          <w:lang w:val="sk-SK"/>
        </w:rPr>
        <w:t>fluorochinolónmi</w:t>
      </w:r>
      <w:proofErr w:type="spellEnd"/>
      <w:r w:rsidRPr="00CD505D">
        <w:rPr>
          <w:szCs w:val="22"/>
          <w:lang w:val="sk-SK"/>
        </w:rPr>
        <w:t xml:space="preserve">, boli hlásené poruchy glykémie, vrátane </w:t>
      </w:r>
      <w:proofErr w:type="spellStart"/>
      <w:r w:rsidRPr="00CD505D">
        <w:rPr>
          <w:szCs w:val="22"/>
          <w:lang w:val="sk-SK"/>
        </w:rPr>
        <w:t>hypoglykémie</w:t>
      </w:r>
      <w:proofErr w:type="spellEnd"/>
      <w:r w:rsidRPr="00CD505D">
        <w:rPr>
          <w:szCs w:val="22"/>
          <w:lang w:val="sk-SK"/>
        </w:rPr>
        <w:t xml:space="preserve"> a hyperglykémie. Odporúča sa starostlivé monitorovanie hladiny glukózy v krvi u</w:t>
      </w:r>
      <w:r>
        <w:rPr>
          <w:szCs w:val="22"/>
          <w:lang w:val="sk-SK"/>
        </w:rPr>
        <w:t> </w:t>
      </w:r>
      <w:r w:rsidRPr="00CD505D">
        <w:rPr>
          <w:szCs w:val="22"/>
          <w:lang w:val="sk-SK"/>
        </w:rPr>
        <w:t>všetkých pacientov, ktorí sú</w:t>
      </w:r>
      <w:r w:rsidR="00935F03">
        <w:rPr>
          <w:szCs w:val="22"/>
          <w:lang w:val="sk-SK"/>
        </w:rPr>
        <w:t>bež</w:t>
      </w:r>
      <w:r w:rsidRPr="00CD505D">
        <w:rPr>
          <w:szCs w:val="22"/>
          <w:lang w:val="sk-SK"/>
        </w:rPr>
        <w:t xml:space="preserve">ne užívajú </w:t>
      </w:r>
      <w:proofErr w:type="spellStart"/>
      <w:r>
        <w:rPr>
          <w:szCs w:val="22"/>
          <w:lang w:val="sk-SK"/>
        </w:rPr>
        <w:t>gliklazid</w:t>
      </w:r>
      <w:proofErr w:type="spellEnd"/>
      <w:r w:rsidRPr="00CD505D">
        <w:rPr>
          <w:szCs w:val="22"/>
          <w:lang w:val="sk-SK"/>
        </w:rPr>
        <w:t xml:space="preserve"> a </w:t>
      </w:r>
      <w:proofErr w:type="spellStart"/>
      <w:r w:rsidRPr="00CD505D">
        <w:rPr>
          <w:szCs w:val="22"/>
          <w:lang w:val="sk-SK"/>
        </w:rPr>
        <w:t>fluorochinolóny</w:t>
      </w:r>
      <w:proofErr w:type="spellEnd"/>
      <w:r w:rsidRPr="00CD505D">
        <w:rPr>
          <w:szCs w:val="22"/>
          <w:lang w:val="sk-SK"/>
        </w:rPr>
        <w:t>.</w:t>
      </w:r>
    </w:p>
    <w:p w:rsidR="00A32F75" w:rsidRPr="00CD505D" w:rsidRDefault="00A32F75" w:rsidP="00247A47">
      <w:pPr>
        <w:pStyle w:val="Zarkazkladnhotextu3"/>
        <w:spacing w:after="0"/>
        <w:ind w:left="0" w:firstLine="0"/>
        <w:rPr>
          <w:sz w:val="22"/>
          <w:szCs w:val="22"/>
          <w:lang w:val="sk-SK"/>
        </w:rPr>
      </w:pPr>
    </w:p>
    <w:p w:rsidR="00247A47" w:rsidRPr="00B504DC" w:rsidRDefault="00247A47" w:rsidP="00247A47">
      <w:pPr>
        <w:ind w:left="0" w:firstLine="0"/>
        <w:rPr>
          <w:b/>
          <w:szCs w:val="22"/>
        </w:rPr>
      </w:pPr>
      <w:r w:rsidRPr="00B504DC">
        <w:rPr>
          <w:b/>
          <w:szCs w:val="22"/>
        </w:rPr>
        <w:t>Laboratórne testy</w:t>
      </w:r>
    </w:p>
    <w:p w:rsidR="00247A47" w:rsidRDefault="00247A47" w:rsidP="00247A47">
      <w:pPr>
        <w:ind w:left="0" w:firstLine="0"/>
        <w:rPr>
          <w:szCs w:val="22"/>
        </w:rPr>
      </w:pPr>
      <w:r w:rsidRPr="00247A47">
        <w:rPr>
          <w:szCs w:val="22"/>
        </w:rPr>
        <w:t>Pri hodnotení kontroly glykémie sa odporúča merať hladin</w:t>
      </w:r>
      <w:r w:rsidR="00674D4E">
        <w:rPr>
          <w:szCs w:val="22"/>
        </w:rPr>
        <w:t>u</w:t>
      </w:r>
      <w:r w:rsidRPr="00247A47">
        <w:rPr>
          <w:szCs w:val="22"/>
        </w:rPr>
        <w:t xml:space="preserve"> </w:t>
      </w:r>
      <w:proofErr w:type="spellStart"/>
      <w:r w:rsidRPr="00247A47">
        <w:rPr>
          <w:szCs w:val="22"/>
        </w:rPr>
        <w:t>glykovaného</w:t>
      </w:r>
      <w:proofErr w:type="spellEnd"/>
      <w:r w:rsidRPr="00247A47">
        <w:rPr>
          <w:szCs w:val="22"/>
        </w:rPr>
        <w:t xml:space="preserve"> hemoglobínu (alebo plazmatickú hladinu glukózy nalačno). Užitočné môže byť aj </w:t>
      </w:r>
      <w:proofErr w:type="spellStart"/>
      <w:r w:rsidRPr="00247A47">
        <w:rPr>
          <w:szCs w:val="22"/>
        </w:rPr>
        <w:t>samomonitorovanie</w:t>
      </w:r>
      <w:proofErr w:type="spellEnd"/>
      <w:r w:rsidRPr="00247A47">
        <w:rPr>
          <w:szCs w:val="22"/>
        </w:rPr>
        <w:t xml:space="preserve"> glykémie.</w:t>
      </w:r>
    </w:p>
    <w:p w:rsidR="00546279" w:rsidRPr="00247A47" w:rsidRDefault="00546279" w:rsidP="00247A47">
      <w:pPr>
        <w:ind w:left="0" w:firstLine="0"/>
        <w:rPr>
          <w:szCs w:val="22"/>
        </w:rPr>
      </w:pPr>
    </w:p>
    <w:p w:rsidR="00247A47" w:rsidRPr="00247A47" w:rsidRDefault="00247A47" w:rsidP="00247A47">
      <w:pPr>
        <w:ind w:left="0" w:firstLine="0"/>
        <w:rPr>
          <w:szCs w:val="22"/>
        </w:rPr>
      </w:pPr>
      <w:r w:rsidRPr="00247A47">
        <w:rPr>
          <w:szCs w:val="22"/>
        </w:rPr>
        <w:t xml:space="preserve">Liečba pacientov s G6PD-deficienciou derivátmi </w:t>
      </w:r>
      <w:proofErr w:type="spellStart"/>
      <w:r w:rsidRPr="00247A47">
        <w:rPr>
          <w:szCs w:val="22"/>
        </w:rPr>
        <w:t>sulfonylurey</w:t>
      </w:r>
      <w:proofErr w:type="spellEnd"/>
      <w:r w:rsidRPr="00247A47">
        <w:rPr>
          <w:szCs w:val="22"/>
        </w:rPr>
        <w:t xml:space="preserve"> môže viesť k </w:t>
      </w:r>
      <w:proofErr w:type="spellStart"/>
      <w:r w:rsidRPr="00247A47">
        <w:rPr>
          <w:szCs w:val="22"/>
        </w:rPr>
        <w:t>hemolytickej</w:t>
      </w:r>
      <w:proofErr w:type="spellEnd"/>
      <w:r w:rsidRPr="00247A47">
        <w:rPr>
          <w:szCs w:val="22"/>
        </w:rPr>
        <w:t xml:space="preserve"> anémii. Keďže </w:t>
      </w:r>
      <w:proofErr w:type="spellStart"/>
      <w:r w:rsidRPr="00247A47">
        <w:rPr>
          <w:szCs w:val="22"/>
        </w:rPr>
        <w:t>gliklazid</w:t>
      </w:r>
      <w:proofErr w:type="spellEnd"/>
      <w:r w:rsidRPr="00247A47">
        <w:rPr>
          <w:szCs w:val="22"/>
        </w:rPr>
        <w:t xml:space="preserve"> patrí do chemickej skupiny derivátov </w:t>
      </w:r>
      <w:proofErr w:type="spellStart"/>
      <w:r w:rsidRPr="00247A47">
        <w:rPr>
          <w:szCs w:val="22"/>
        </w:rPr>
        <w:t>sulfonylurey</w:t>
      </w:r>
      <w:proofErr w:type="spellEnd"/>
      <w:r w:rsidRPr="00247A47">
        <w:rPr>
          <w:szCs w:val="22"/>
        </w:rPr>
        <w:t>,</w:t>
      </w:r>
      <w:r w:rsidR="00546279">
        <w:rPr>
          <w:szCs w:val="22"/>
        </w:rPr>
        <w:t xml:space="preserve"> u </w:t>
      </w:r>
      <w:r w:rsidRPr="00247A47">
        <w:rPr>
          <w:szCs w:val="22"/>
        </w:rPr>
        <w:t>paciento</w:t>
      </w:r>
      <w:r w:rsidR="00546279">
        <w:rPr>
          <w:szCs w:val="22"/>
        </w:rPr>
        <w:t xml:space="preserve">v </w:t>
      </w:r>
      <w:r w:rsidRPr="00247A47">
        <w:rPr>
          <w:szCs w:val="22"/>
        </w:rPr>
        <w:t xml:space="preserve">s G6PD-deficienciou sa má </w:t>
      </w:r>
      <w:r w:rsidR="00546279">
        <w:rPr>
          <w:szCs w:val="22"/>
        </w:rPr>
        <w:t>postupovať so</w:t>
      </w:r>
      <w:r w:rsidRPr="00247A47">
        <w:rPr>
          <w:szCs w:val="22"/>
        </w:rPr>
        <w:t xml:space="preserve"> zvýšen</w:t>
      </w:r>
      <w:r w:rsidR="00546279">
        <w:rPr>
          <w:szCs w:val="22"/>
        </w:rPr>
        <w:t>ou</w:t>
      </w:r>
      <w:r w:rsidRPr="00247A47">
        <w:rPr>
          <w:szCs w:val="22"/>
        </w:rPr>
        <w:t xml:space="preserve"> opatrnosť</w:t>
      </w:r>
      <w:r w:rsidR="00546279">
        <w:rPr>
          <w:szCs w:val="22"/>
        </w:rPr>
        <w:t>ou</w:t>
      </w:r>
      <w:r w:rsidRPr="00247A47">
        <w:rPr>
          <w:szCs w:val="22"/>
        </w:rPr>
        <w:t xml:space="preserve"> a má sa zvážiť alternatívna liečba </w:t>
      </w:r>
      <w:proofErr w:type="spellStart"/>
      <w:r w:rsidRPr="00247A47">
        <w:rPr>
          <w:szCs w:val="22"/>
        </w:rPr>
        <w:t>non-sulfonylureou</w:t>
      </w:r>
      <w:proofErr w:type="spellEnd"/>
      <w:r w:rsidRPr="00247A47">
        <w:rPr>
          <w:szCs w:val="22"/>
        </w:rPr>
        <w:t>.</w:t>
      </w:r>
    </w:p>
    <w:p w:rsidR="00247A47" w:rsidRPr="00247A47" w:rsidRDefault="00247A47" w:rsidP="00247A47">
      <w:pPr>
        <w:ind w:left="0" w:firstLine="0"/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4.5</w:t>
      </w:r>
      <w:r w:rsidRPr="00405EB6">
        <w:rPr>
          <w:b/>
          <w:szCs w:val="22"/>
        </w:rPr>
        <w:tab/>
        <w:t>Liekové a iné interakcie</w:t>
      </w:r>
    </w:p>
    <w:p w:rsidR="001F4BAD" w:rsidRPr="00405EB6" w:rsidRDefault="001F4BAD" w:rsidP="004C512E">
      <w:pPr>
        <w:rPr>
          <w:szCs w:val="22"/>
        </w:rPr>
      </w:pPr>
    </w:p>
    <w:p w:rsidR="009A63C8" w:rsidRPr="009A63C8" w:rsidRDefault="00674D4E" w:rsidP="00C535BE">
      <w:pPr>
        <w:ind w:left="0" w:firstLine="0"/>
        <w:rPr>
          <w:b/>
          <w:szCs w:val="22"/>
        </w:rPr>
      </w:pPr>
      <w:r>
        <w:rPr>
          <w:b/>
          <w:szCs w:val="22"/>
        </w:rPr>
        <w:t>N</w:t>
      </w:r>
      <w:r w:rsidR="009A63C8" w:rsidRPr="009A63C8">
        <w:rPr>
          <w:b/>
          <w:szCs w:val="22"/>
        </w:rPr>
        <w:t>asledujúc</w:t>
      </w:r>
      <w:r>
        <w:rPr>
          <w:b/>
          <w:szCs w:val="22"/>
        </w:rPr>
        <w:t>e</w:t>
      </w:r>
      <w:r w:rsidR="009A63C8" w:rsidRPr="009A63C8">
        <w:rPr>
          <w:b/>
          <w:szCs w:val="22"/>
        </w:rPr>
        <w:t xml:space="preserve"> liek</w:t>
      </w:r>
      <w:r>
        <w:rPr>
          <w:b/>
          <w:szCs w:val="22"/>
        </w:rPr>
        <w:t>y môžu zvýšiť</w:t>
      </w:r>
      <w:r w:rsidR="009A63C8" w:rsidRPr="009A63C8">
        <w:rPr>
          <w:b/>
          <w:szCs w:val="22"/>
        </w:rPr>
        <w:t xml:space="preserve"> rizik</w:t>
      </w:r>
      <w:r>
        <w:rPr>
          <w:b/>
          <w:szCs w:val="22"/>
        </w:rPr>
        <w:t>o</w:t>
      </w:r>
      <w:r w:rsidR="009A63C8" w:rsidRPr="009A63C8">
        <w:rPr>
          <w:b/>
          <w:szCs w:val="22"/>
        </w:rPr>
        <w:t xml:space="preserve"> vzniku </w:t>
      </w:r>
      <w:proofErr w:type="spellStart"/>
      <w:r w:rsidR="009A63C8" w:rsidRPr="009A63C8">
        <w:rPr>
          <w:b/>
          <w:szCs w:val="22"/>
        </w:rPr>
        <w:t>hypoglykémie</w:t>
      </w:r>
      <w:proofErr w:type="spellEnd"/>
    </w:p>
    <w:p w:rsidR="009A63C8" w:rsidRDefault="009A63C8" w:rsidP="009A63C8">
      <w:pPr>
        <w:rPr>
          <w:i/>
          <w:iCs/>
          <w:szCs w:val="22"/>
        </w:rPr>
      </w:pPr>
    </w:p>
    <w:p w:rsidR="009A63C8" w:rsidRDefault="009A63C8" w:rsidP="009A63C8">
      <w:pPr>
        <w:rPr>
          <w:b/>
          <w:i/>
          <w:iCs/>
          <w:szCs w:val="22"/>
        </w:rPr>
      </w:pPr>
      <w:r w:rsidRPr="009A63C8">
        <w:rPr>
          <w:b/>
          <w:i/>
          <w:iCs/>
          <w:szCs w:val="22"/>
        </w:rPr>
        <w:t>Kontraindikovaná kombinácia</w:t>
      </w:r>
    </w:p>
    <w:p w:rsidR="00D67E16" w:rsidRPr="00D67E16" w:rsidRDefault="00D67E16" w:rsidP="009A63C8">
      <w:pPr>
        <w:rPr>
          <w:iCs/>
          <w:szCs w:val="22"/>
        </w:rPr>
      </w:pPr>
    </w:p>
    <w:p w:rsidR="009A63C8" w:rsidRPr="00714D21" w:rsidRDefault="009A63C8" w:rsidP="009A63C8">
      <w:pPr>
        <w:numPr>
          <w:ilvl w:val="0"/>
          <w:numId w:val="27"/>
        </w:numPr>
        <w:ind w:left="0" w:firstLine="0"/>
        <w:rPr>
          <w:szCs w:val="22"/>
          <w:u w:val="single"/>
        </w:rPr>
      </w:pPr>
      <w:proofErr w:type="spellStart"/>
      <w:r w:rsidRPr="00714D21">
        <w:rPr>
          <w:b/>
          <w:bCs/>
          <w:szCs w:val="22"/>
        </w:rPr>
        <w:t>Mikonazol</w:t>
      </w:r>
      <w:proofErr w:type="spellEnd"/>
      <w:r w:rsidRPr="00714D21">
        <w:rPr>
          <w:szCs w:val="22"/>
        </w:rPr>
        <w:t xml:space="preserve"> (systémové podanie, o</w:t>
      </w:r>
      <w:r w:rsidR="00D67E16">
        <w:rPr>
          <w:szCs w:val="22"/>
        </w:rPr>
        <w:t xml:space="preserve">rálny gél): zvyšuje </w:t>
      </w:r>
      <w:proofErr w:type="spellStart"/>
      <w:r w:rsidR="00D67E16">
        <w:rPr>
          <w:szCs w:val="22"/>
        </w:rPr>
        <w:t>hypoglykemi</w:t>
      </w:r>
      <w:r w:rsidR="00E64EB5">
        <w:rPr>
          <w:szCs w:val="22"/>
        </w:rPr>
        <w:t>zujúci</w:t>
      </w:r>
      <w:proofErr w:type="spellEnd"/>
      <w:r w:rsidR="00D67E16">
        <w:rPr>
          <w:szCs w:val="22"/>
        </w:rPr>
        <w:t xml:space="preserve"> </w:t>
      </w:r>
      <w:r w:rsidRPr="00714D21">
        <w:rPr>
          <w:szCs w:val="22"/>
        </w:rPr>
        <w:t xml:space="preserve">účinok s možným nástupom </w:t>
      </w:r>
      <w:proofErr w:type="spellStart"/>
      <w:r w:rsidRPr="00714D21">
        <w:rPr>
          <w:szCs w:val="22"/>
        </w:rPr>
        <w:t>hypoglykemických</w:t>
      </w:r>
      <w:proofErr w:type="spellEnd"/>
      <w:r w:rsidRPr="00714D21">
        <w:rPr>
          <w:szCs w:val="22"/>
        </w:rPr>
        <w:t xml:space="preserve"> príznakov alebo až kómy.</w:t>
      </w:r>
    </w:p>
    <w:p w:rsidR="009A63C8" w:rsidRPr="00714D21" w:rsidRDefault="009A63C8" w:rsidP="009A63C8">
      <w:pPr>
        <w:rPr>
          <w:szCs w:val="22"/>
          <w:u w:val="single"/>
        </w:rPr>
      </w:pPr>
    </w:p>
    <w:p w:rsidR="009A63C8" w:rsidRDefault="009A63C8" w:rsidP="009A63C8">
      <w:pPr>
        <w:rPr>
          <w:b/>
          <w:i/>
          <w:iCs/>
          <w:szCs w:val="22"/>
        </w:rPr>
      </w:pPr>
      <w:r w:rsidRPr="00D67E16">
        <w:rPr>
          <w:b/>
          <w:i/>
          <w:iCs/>
          <w:szCs w:val="22"/>
        </w:rPr>
        <w:t>Kombinácie, ktoré sa neodporúčajú</w:t>
      </w:r>
    </w:p>
    <w:p w:rsidR="00D67E16" w:rsidRPr="00D67E16" w:rsidRDefault="00D67E16" w:rsidP="009A63C8">
      <w:pPr>
        <w:rPr>
          <w:iCs/>
          <w:szCs w:val="22"/>
        </w:rPr>
      </w:pPr>
    </w:p>
    <w:p w:rsidR="009A63C8" w:rsidRPr="00714D21" w:rsidRDefault="009A63C8" w:rsidP="003E38F4">
      <w:pPr>
        <w:numPr>
          <w:ilvl w:val="1"/>
          <w:numId w:val="28"/>
        </w:numPr>
        <w:tabs>
          <w:tab w:val="clear" w:pos="1591"/>
        </w:tabs>
        <w:ind w:left="426" w:hanging="426"/>
        <w:rPr>
          <w:szCs w:val="22"/>
        </w:rPr>
      </w:pPr>
      <w:proofErr w:type="spellStart"/>
      <w:r w:rsidRPr="00714D21">
        <w:rPr>
          <w:b/>
          <w:bCs/>
          <w:szCs w:val="22"/>
        </w:rPr>
        <w:t>Fenylbutazón</w:t>
      </w:r>
      <w:proofErr w:type="spellEnd"/>
      <w:r w:rsidRPr="00714D21">
        <w:rPr>
          <w:b/>
          <w:bCs/>
          <w:szCs w:val="22"/>
        </w:rPr>
        <w:t xml:space="preserve"> </w:t>
      </w:r>
      <w:r w:rsidRPr="00714D21">
        <w:rPr>
          <w:szCs w:val="22"/>
        </w:rPr>
        <w:t xml:space="preserve">(systémové podanie): zvyšuje </w:t>
      </w:r>
      <w:proofErr w:type="spellStart"/>
      <w:r w:rsidRPr="00714D21">
        <w:rPr>
          <w:szCs w:val="22"/>
        </w:rPr>
        <w:t>hypoglykemi</w:t>
      </w:r>
      <w:r w:rsidR="00E64EB5">
        <w:rPr>
          <w:szCs w:val="22"/>
        </w:rPr>
        <w:t>zujúci</w:t>
      </w:r>
      <w:proofErr w:type="spellEnd"/>
      <w:r w:rsidRPr="00714D21">
        <w:rPr>
          <w:szCs w:val="22"/>
        </w:rPr>
        <w:t xml:space="preserve"> účinok derivátov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 (vytláča ich z väzby na plazmatické bielkoviny a/alebo spomaľuje ich elimináciu).</w:t>
      </w:r>
    </w:p>
    <w:p w:rsidR="009A63C8" w:rsidRPr="00714D21" w:rsidRDefault="009A63C8" w:rsidP="003E38F4">
      <w:pPr>
        <w:ind w:left="426" w:firstLine="0"/>
        <w:rPr>
          <w:szCs w:val="22"/>
        </w:rPr>
      </w:pPr>
      <w:r w:rsidRPr="00714D21">
        <w:rPr>
          <w:szCs w:val="22"/>
        </w:rPr>
        <w:t xml:space="preserve">Je vhodnejšie použiť iné </w:t>
      </w:r>
      <w:proofErr w:type="spellStart"/>
      <w:r w:rsidRPr="00714D21">
        <w:rPr>
          <w:szCs w:val="22"/>
        </w:rPr>
        <w:t>antiflogistikum</w:t>
      </w:r>
      <w:proofErr w:type="spellEnd"/>
      <w:r w:rsidRPr="00714D21">
        <w:rPr>
          <w:szCs w:val="22"/>
        </w:rPr>
        <w:t xml:space="preserve"> alebo v opačnom prípade upozorniť pacienta a zdôrazniť dôležitosť </w:t>
      </w:r>
      <w:proofErr w:type="spellStart"/>
      <w:r w:rsidRPr="00714D21">
        <w:rPr>
          <w:szCs w:val="22"/>
        </w:rPr>
        <w:t>samomonitorovania</w:t>
      </w:r>
      <w:proofErr w:type="spellEnd"/>
      <w:r w:rsidRPr="00714D21">
        <w:rPr>
          <w:szCs w:val="22"/>
        </w:rPr>
        <w:t xml:space="preserve"> glykémie. V prípade nutnosti upravte dávku počas alebo po ukončení liečby </w:t>
      </w:r>
      <w:proofErr w:type="spellStart"/>
      <w:r w:rsidRPr="00714D21">
        <w:rPr>
          <w:szCs w:val="22"/>
        </w:rPr>
        <w:t>antiflogistikom</w:t>
      </w:r>
      <w:proofErr w:type="spellEnd"/>
      <w:r w:rsidRPr="00714D21">
        <w:rPr>
          <w:szCs w:val="22"/>
        </w:rPr>
        <w:t>.</w:t>
      </w:r>
    </w:p>
    <w:p w:rsidR="009A63C8" w:rsidRPr="00714D21" w:rsidRDefault="009A63C8" w:rsidP="003E38F4">
      <w:pPr>
        <w:numPr>
          <w:ilvl w:val="1"/>
          <w:numId w:val="28"/>
        </w:numPr>
        <w:tabs>
          <w:tab w:val="clear" w:pos="1591"/>
        </w:tabs>
        <w:ind w:left="426" w:hanging="426"/>
        <w:rPr>
          <w:szCs w:val="22"/>
        </w:rPr>
      </w:pPr>
      <w:r w:rsidRPr="00714D21">
        <w:rPr>
          <w:b/>
          <w:bCs/>
          <w:szCs w:val="22"/>
        </w:rPr>
        <w:t xml:space="preserve">Alkohol: </w:t>
      </w:r>
      <w:r w:rsidRPr="00714D21">
        <w:rPr>
          <w:szCs w:val="22"/>
        </w:rPr>
        <w:t xml:space="preserve">zvyšuje </w:t>
      </w:r>
      <w:proofErr w:type="spellStart"/>
      <w:r w:rsidRPr="00714D21">
        <w:rPr>
          <w:szCs w:val="22"/>
        </w:rPr>
        <w:t>hypoglykemickú</w:t>
      </w:r>
      <w:proofErr w:type="spellEnd"/>
      <w:r w:rsidRPr="00714D21">
        <w:rPr>
          <w:szCs w:val="22"/>
        </w:rPr>
        <w:t xml:space="preserve"> reakciu (inhibíciou kompenzačných reakcií), čo môže viesť k nástupu </w:t>
      </w:r>
      <w:proofErr w:type="spellStart"/>
      <w:r w:rsidRPr="00714D21">
        <w:rPr>
          <w:szCs w:val="22"/>
        </w:rPr>
        <w:t>hypoglykemickej</w:t>
      </w:r>
      <w:proofErr w:type="spellEnd"/>
      <w:r w:rsidRPr="00714D21">
        <w:rPr>
          <w:szCs w:val="22"/>
        </w:rPr>
        <w:t xml:space="preserve"> kómy.</w:t>
      </w:r>
    </w:p>
    <w:p w:rsidR="003E38F4" w:rsidRDefault="003E38F4" w:rsidP="009A63C8">
      <w:pPr>
        <w:rPr>
          <w:szCs w:val="22"/>
        </w:rPr>
      </w:pPr>
    </w:p>
    <w:p w:rsidR="009A63C8" w:rsidRPr="00714D21" w:rsidRDefault="009A63C8" w:rsidP="009A63C8">
      <w:pPr>
        <w:rPr>
          <w:szCs w:val="22"/>
        </w:rPr>
      </w:pPr>
      <w:r w:rsidRPr="00714D21">
        <w:rPr>
          <w:szCs w:val="22"/>
        </w:rPr>
        <w:t>Je potrebné sa vyhnúť konzumácii alkoholu alebo užívaniu liekov obsahujúcich alkohol.</w:t>
      </w:r>
    </w:p>
    <w:p w:rsidR="009A63C8" w:rsidRPr="00714D21" w:rsidRDefault="009A63C8" w:rsidP="009A63C8">
      <w:pPr>
        <w:rPr>
          <w:szCs w:val="22"/>
        </w:rPr>
      </w:pPr>
    </w:p>
    <w:p w:rsidR="009A63C8" w:rsidRPr="003E38F4" w:rsidRDefault="009A63C8" w:rsidP="009A63C8">
      <w:pPr>
        <w:rPr>
          <w:b/>
          <w:i/>
          <w:iCs/>
          <w:szCs w:val="22"/>
        </w:rPr>
      </w:pPr>
      <w:r w:rsidRPr="003E38F4">
        <w:rPr>
          <w:b/>
          <w:i/>
          <w:iCs/>
          <w:szCs w:val="22"/>
        </w:rPr>
        <w:t xml:space="preserve">Kombinácie vyžadujúce opatrnosť pri používaní </w:t>
      </w:r>
    </w:p>
    <w:p w:rsidR="003E38F4" w:rsidRDefault="003E38F4" w:rsidP="009A63C8">
      <w:pPr>
        <w:pStyle w:val="Zkladntext"/>
        <w:rPr>
          <w:szCs w:val="22"/>
        </w:rPr>
      </w:pPr>
    </w:p>
    <w:p w:rsidR="009A63C8" w:rsidRPr="00714D21" w:rsidRDefault="009A63C8" w:rsidP="009A63C8">
      <w:pPr>
        <w:pStyle w:val="Zkladntext"/>
        <w:rPr>
          <w:szCs w:val="22"/>
        </w:rPr>
      </w:pPr>
      <w:r w:rsidRPr="00714D21">
        <w:rPr>
          <w:szCs w:val="22"/>
        </w:rPr>
        <w:t>K </w:t>
      </w:r>
      <w:proofErr w:type="spellStart"/>
      <w:r w:rsidR="003E38F4">
        <w:rPr>
          <w:szCs w:val="22"/>
        </w:rPr>
        <w:t>potenciácii</w:t>
      </w:r>
      <w:proofErr w:type="spellEnd"/>
      <w:r w:rsidR="003E38F4">
        <w:rPr>
          <w:szCs w:val="22"/>
        </w:rPr>
        <w:t xml:space="preserve"> </w:t>
      </w:r>
      <w:proofErr w:type="spellStart"/>
      <w:r w:rsidR="003E38F4">
        <w:rPr>
          <w:szCs w:val="22"/>
        </w:rPr>
        <w:t>hypoglykemi</w:t>
      </w:r>
      <w:r w:rsidR="00E64EB5">
        <w:rPr>
          <w:szCs w:val="22"/>
        </w:rPr>
        <w:t>zujúceho</w:t>
      </w:r>
      <w:proofErr w:type="spellEnd"/>
      <w:r w:rsidRPr="00714D21">
        <w:rPr>
          <w:szCs w:val="22"/>
        </w:rPr>
        <w:t xml:space="preserve"> účinku</w:t>
      </w:r>
      <w:r w:rsidR="003E38F4">
        <w:rPr>
          <w:szCs w:val="22"/>
        </w:rPr>
        <w:t>,</w:t>
      </w:r>
      <w:r w:rsidRPr="00714D21">
        <w:rPr>
          <w:szCs w:val="22"/>
        </w:rPr>
        <w:t xml:space="preserve"> a teda v niektorých prípadoch i k</w:t>
      </w:r>
      <w:r w:rsidR="003E38F4">
        <w:rPr>
          <w:szCs w:val="22"/>
        </w:rPr>
        <w:t> </w:t>
      </w:r>
      <w:proofErr w:type="spellStart"/>
      <w:r w:rsidRPr="00714D21">
        <w:rPr>
          <w:szCs w:val="22"/>
        </w:rPr>
        <w:t>hypoglykémii</w:t>
      </w:r>
      <w:proofErr w:type="spellEnd"/>
      <w:r w:rsidR="003E38F4">
        <w:rPr>
          <w:szCs w:val="22"/>
        </w:rPr>
        <w:t>,</w:t>
      </w:r>
      <w:r w:rsidRPr="00714D21">
        <w:rPr>
          <w:szCs w:val="22"/>
        </w:rPr>
        <w:t xml:space="preserve"> môže dôjsť vtedy, ak sa užíva niektorý z nasledujúcich liekov: </w:t>
      </w:r>
    </w:p>
    <w:p w:rsidR="009A63C8" w:rsidRPr="00714D21" w:rsidRDefault="009A63C8" w:rsidP="009A63C8">
      <w:pPr>
        <w:pStyle w:val="Zkladntext"/>
        <w:rPr>
          <w:szCs w:val="22"/>
        </w:rPr>
      </w:pPr>
      <w:r w:rsidRPr="00714D21">
        <w:rPr>
          <w:szCs w:val="22"/>
        </w:rPr>
        <w:t xml:space="preserve">iné </w:t>
      </w:r>
      <w:proofErr w:type="spellStart"/>
      <w:r w:rsidRPr="00714D21">
        <w:rPr>
          <w:szCs w:val="22"/>
        </w:rPr>
        <w:t>antidiabetiká</w:t>
      </w:r>
      <w:proofErr w:type="spellEnd"/>
      <w:r w:rsidRPr="00714D21">
        <w:rPr>
          <w:szCs w:val="22"/>
        </w:rPr>
        <w:t xml:space="preserve"> (inzulíny, </w:t>
      </w:r>
      <w:proofErr w:type="spellStart"/>
      <w:r w:rsidRPr="00714D21">
        <w:rPr>
          <w:szCs w:val="22"/>
        </w:rPr>
        <w:t>akarbóza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metformín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tiazolidíndióny</w:t>
      </w:r>
      <w:proofErr w:type="spellEnd"/>
      <w:r w:rsidRPr="00714D21">
        <w:rPr>
          <w:szCs w:val="22"/>
        </w:rPr>
        <w:t xml:space="preserve">, inhibítory </w:t>
      </w:r>
      <w:proofErr w:type="spellStart"/>
      <w:r w:rsidRPr="00714D21">
        <w:rPr>
          <w:szCs w:val="22"/>
        </w:rPr>
        <w:t>dipeptidyl</w:t>
      </w:r>
      <w:proofErr w:type="spellEnd"/>
      <w:r w:rsidRPr="00714D21">
        <w:rPr>
          <w:szCs w:val="22"/>
        </w:rPr>
        <w:t xml:space="preserve"> peptidázy-4, </w:t>
      </w:r>
      <w:proofErr w:type="spellStart"/>
      <w:r w:rsidRPr="00714D21">
        <w:rPr>
          <w:szCs w:val="22"/>
        </w:rPr>
        <w:t>agonisty</w:t>
      </w:r>
      <w:proofErr w:type="spellEnd"/>
      <w:r w:rsidRPr="00714D21">
        <w:rPr>
          <w:szCs w:val="22"/>
        </w:rPr>
        <w:t xml:space="preserve"> GLP-1 receptora), </w:t>
      </w:r>
      <w:proofErr w:type="spellStart"/>
      <w:r w:rsidRPr="00714D21">
        <w:rPr>
          <w:szCs w:val="22"/>
        </w:rPr>
        <w:t>betablokátory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flukonazol</w:t>
      </w:r>
      <w:proofErr w:type="spellEnd"/>
      <w:r w:rsidRPr="00714D21">
        <w:rPr>
          <w:szCs w:val="22"/>
        </w:rPr>
        <w:t xml:space="preserve">, inhibítory </w:t>
      </w:r>
      <w:proofErr w:type="spellStart"/>
      <w:r w:rsidRPr="00714D21">
        <w:rPr>
          <w:szCs w:val="22"/>
        </w:rPr>
        <w:t>angiotenzín</w:t>
      </w:r>
      <w:proofErr w:type="spellEnd"/>
      <w:r w:rsidRPr="00714D21">
        <w:rPr>
          <w:szCs w:val="22"/>
        </w:rPr>
        <w:t>-konvertujúceho enzýmu (</w:t>
      </w:r>
      <w:proofErr w:type="spellStart"/>
      <w:r w:rsidRPr="00714D21">
        <w:rPr>
          <w:szCs w:val="22"/>
        </w:rPr>
        <w:t>kaptopril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enalapril</w:t>
      </w:r>
      <w:proofErr w:type="spellEnd"/>
      <w:r w:rsidRPr="00714D21">
        <w:rPr>
          <w:szCs w:val="22"/>
        </w:rPr>
        <w:t xml:space="preserve">), </w:t>
      </w:r>
      <w:proofErr w:type="spellStart"/>
      <w:r w:rsidRPr="00714D21">
        <w:rPr>
          <w:szCs w:val="22"/>
        </w:rPr>
        <w:t>antagonisty</w:t>
      </w:r>
      <w:proofErr w:type="spellEnd"/>
      <w:r w:rsidRPr="00714D21">
        <w:rPr>
          <w:szCs w:val="22"/>
        </w:rPr>
        <w:t xml:space="preserve"> H</w:t>
      </w:r>
      <w:r w:rsidRPr="00714D21">
        <w:rPr>
          <w:szCs w:val="22"/>
          <w:vertAlign w:val="subscript"/>
        </w:rPr>
        <w:t xml:space="preserve">2 </w:t>
      </w:r>
      <w:r w:rsidRPr="00714D21">
        <w:rPr>
          <w:szCs w:val="22"/>
        </w:rPr>
        <w:t xml:space="preserve">-receptorov, inhibítory MAO, sulfónamidy, </w:t>
      </w:r>
      <w:proofErr w:type="spellStart"/>
      <w:r w:rsidRPr="00714D21">
        <w:rPr>
          <w:szCs w:val="22"/>
        </w:rPr>
        <w:t>klaritromycín</w:t>
      </w:r>
      <w:proofErr w:type="spellEnd"/>
      <w:r w:rsidRPr="00714D21">
        <w:rPr>
          <w:szCs w:val="22"/>
        </w:rPr>
        <w:t xml:space="preserve"> a </w:t>
      </w:r>
      <w:proofErr w:type="spellStart"/>
      <w:r w:rsidRPr="00714D21">
        <w:rPr>
          <w:szCs w:val="22"/>
        </w:rPr>
        <w:t>nesteroidové</w:t>
      </w:r>
      <w:proofErr w:type="spellEnd"/>
      <w:r w:rsidRPr="00714D21">
        <w:rPr>
          <w:szCs w:val="22"/>
        </w:rPr>
        <w:t xml:space="preserve"> </w:t>
      </w:r>
      <w:proofErr w:type="spellStart"/>
      <w:r w:rsidRPr="00714D21">
        <w:rPr>
          <w:szCs w:val="22"/>
        </w:rPr>
        <w:t>antiflogistiká</w:t>
      </w:r>
      <w:proofErr w:type="spellEnd"/>
      <w:r w:rsidRPr="00714D21">
        <w:rPr>
          <w:szCs w:val="22"/>
        </w:rPr>
        <w:t xml:space="preserve">. </w:t>
      </w:r>
    </w:p>
    <w:p w:rsidR="009A63C8" w:rsidRPr="00714D21" w:rsidRDefault="009A63C8" w:rsidP="009A63C8">
      <w:pPr>
        <w:rPr>
          <w:szCs w:val="22"/>
        </w:rPr>
      </w:pPr>
    </w:p>
    <w:p w:rsidR="009A63C8" w:rsidRPr="003E38F4" w:rsidRDefault="009A63C8" w:rsidP="00C535BE">
      <w:pPr>
        <w:ind w:left="0" w:firstLine="0"/>
        <w:rPr>
          <w:b/>
          <w:szCs w:val="22"/>
        </w:rPr>
      </w:pPr>
      <w:r w:rsidRPr="003E38F4">
        <w:rPr>
          <w:b/>
          <w:szCs w:val="22"/>
        </w:rPr>
        <w:t xml:space="preserve">Nasledujúce lieky môžu spôsobiť zvýšenie hladín glykémie </w:t>
      </w:r>
    </w:p>
    <w:p w:rsidR="003E38F4" w:rsidRDefault="003E38F4" w:rsidP="009A63C8">
      <w:pPr>
        <w:rPr>
          <w:i/>
          <w:iCs/>
          <w:szCs w:val="22"/>
        </w:rPr>
      </w:pPr>
    </w:p>
    <w:p w:rsidR="009A63C8" w:rsidRPr="003E38F4" w:rsidRDefault="009A63C8" w:rsidP="009A63C8">
      <w:pPr>
        <w:rPr>
          <w:b/>
          <w:i/>
          <w:iCs/>
          <w:szCs w:val="22"/>
        </w:rPr>
      </w:pPr>
      <w:r w:rsidRPr="003E38F4">
        <w:rPr>
          <w:b/>
          <w:i/>
          <w:iCs/>
          <w:szCs w:val="22"/>
        </w:rPr>
        <w:t>Kombinácia, ktorá sa neodporúča</w:t>
      </w:r>
    </w:p>
    <w:p w:rsidR="009A63C8" w:rsidRPr="00714D21" w:rsidRDefault="009A63C8" w:rsidP="003E38F4">
      <w:pPr>
        <w:numPr>
          <w:ilvl w:val="0"/>
          <w:numId w:val="27"/>
        </w:numPr>
        <w:tabs>
          <w:tab w:val="clear" w:pos="360"/>
        </w:tabs>
        <w:ind w:left="426" w:hanging="403"/>
        <w:rPr>
          <w:b/>
          <w:bCs/>
          <w:szCs w:val="22"/>
        </w:rPr>
      </w:pPr>
      <w:proofErr w:type="spellStart"/>
      <w:r w:rsidRPr="00714D21">
        <w:rPr>
          <w:b/>
          <w:bCs/>
          <w:szCs w:val="22"/>
        </w:rPr>
        <w:t>Danazol</w:t>
      </w:r>
      <w:proofErr w:type="spellEnd"/>
      <w:r w:rsidRPr="00714D21">
        <w:rPr>
          <w:b/>
          <w:bCs/>
          <w:szCs w:val="22"/>
        </w:rPr>
        <w:t xml:space="preserve">: </w:t>
      </w:r>
      <w:proofErr w:type="spellStart"/>
      <w:r w:rsidRPr="00714D21">
        <w:rPr>
          <w:szCs w:val="22"/>
        </w:rPr>
        <w:t>diabetogénny</w:t>
      </w:r>
      <w:proofErr w:type="spellEnd"/>
      <w:r w:rsidRPr="00714D21">
        <w:rPr>
          <w:szCs w:val="22"/>
        </w:rPr>
        <w:t xml:space="preserve"> účinok </w:t>
      </w:r>
      <w:proofErr w:type="spellStart"/>
      <w:r w:rsidRPr="00714D21">
        <w:rPr>
          <w:szCs w:val="22"/>
        </w:rPr>
        <w:t>danazolu</w:t>
      </w:r>
      <w:proofErr w:type="spellEnd"/>
      <w:r w:rsidRPr="00714D21">
        <w:rPr>
          <w:szCs w:val="22"/>
        </w:rPr>
        <w:t>.</w:t>
      </w:r>
    </w:p>
    <w:p w:rsidR="009A63C8" w:rsidRPr="00714D21" w:rsidRDefault="009A63C8" w:rsidP="003E38F4">
      <w:pPr>
        <w:pStyle w:val="Zkladntext"/>
        <w:ind w:left="426"/>
        <w:rPr>
          <w:szCs w:val="22"/>
        </w:rPr>
      </w:pPr>
      <w:r w:rsidRPr="00714D21">
        <w:rPr>
          <w:szCs w:val="22"/>
        </w:rPr>
        <w:t>Ak sa podávaniu tohto liečiva nedá vyhnúť, upozornite pacienta a zdôraznite mu dôležitosť sledovania glykémie a </w:t>
      </w:r>
      <w:proofErr w:type="spellStart"/>
      <w:r w:rsidRPr="00714D21">
        <w:rPr>
          <w:szCs w:val="22"/>
        </w:rPr>
        <w:t>glykozúrie</w:t>
      </w:r>
      <w:proofErr w:type="spellEnd"/>
      <w:r w:rsidRPr="00714D21">
        <w:rPr>
          <w:szCs w:val="22"/>
        </w:rPr>
        <w:t xml:space="preserve">. Počas a po ukončení liečby </w:t>
      </w:r>
      <w:proofErr w:type="spellStart"/>
      <w:r w:rsidRPr="00714D21">
        <w:rPr>
          <w:szCs w:val="22"/>
        </w:rPr>
        <w:t>danazolom</w:t>
      </w:r>
      <w:proofErr w:type="spellEnd"/>
      <w:r w:rsidRPr="00714D21">
        <w:rPr>
          <w:szCs w:val="22"/>
        </w:rPr>
        <w:t xml:space="preserve"> môže byť potrebné upraviť dávku </w:t>
      </w:r>
      <w:proofErr w:type="spellStart"/>
      <w:r w:rsidRPr="00714D21">
        <w:rPr>
          <w:szCs w:val="22"/>
        </w:rPr>
        <w:t>antidiabetika</w:t>
      </w:r>
      <w:proofErr w:type="spellEnd"/>
      <w:r w:rsidRPr="00714D21">
        <w:rPr>
          <w:szCs w:val="22"/>
        </w:rPr>
        <w:t>.</w:t>
      </w:r>
    </w:p>
    <w:p w:rsidR="009A63C8" w:rsidRPr="00714D21" w:rsidRDefault="009A63C8" w:rsidP="009A63C8">
      <w:pPr>
        <w:pStyle w:val="Zkladntext"/>
        <w:rPr>
          <w:szCs w:val="22"/>
        </w:rPr>
      </w:pPr>
    </w:p>
    <w:p w:rsidR="009A63C8" w:rsidRDefault="009A63C8" w:rsidP="009A63C8">
      <w:pPr>
        <w:pStyle w:val="Zkladntext"/>
        <w:rPr>
          <w:b/>
          <w:i/>
          <w:iCs/>
          <w:szCs w:val="22"/>
        </w:rPr>
      </w:pPr>
      <w:r w:rsidRPr="00DC1D0A">
        <w:rPr>
          <w:b/>
          <w:i/>
          <w:iCs/>
          <w:szCs w:val="22"/>
        </w:rPr>
        <w:t xml:space="preserve">Kombinácie vyžadujúce opatrnosť pri používaní </w:t>
      </w:r>
    </w:p>
    <w:p w:rsidR="00DC1D0A" w:rsidRPr="00DC1D0A" w:rsidRDefault="00DC1D0A" w:rsidP="009A63C8">
      <w:pPr>
        <w:pStyle w:val="Zkladntext"/>
        <w:rPr>
          <w:iCs/>
          <w:szCs w:val="22"/>
        </w:rPr>
      </w:pPr>
    </w:p>
    <w:p w:rsidR="009A63C8" w:rsidRPr="00714D21" w:rsidRDefault="009A63C8" w:rsidP="00DC1D0A">
      <w:pPr>
        <w:numPr>
          <w:ilvl w:val="0"/>
          <w:numId w:val="27"/>
        </w:numPr>
        <w:tabs>
          <w:tab w:val="clear" w:pos="360"/>
        </w:tabs>
        <w:ind w:left="426" w:hanging="403"/>
        <w:rPr>
          <w:b/>
          <w:bCs/>
          <w:szCs w:val="22"/>
        </w:rPr>
      </w:pPr>
      <w:proofErr w:type="spellStart"/>
      <w:r w:rsidRPr="00714D21">
        <w:rPr>
          <w:b/>
          <w:bCs/>
          <w:szCs w:val="22"/>
        </w:rPr>
        <w:t>Chlórpromazín</w:t>
      </w:r>
      <w:proofErr w:type="spellEnd"/>
      <w:r w:rsidRPr="00714D21">
        <w:rPr>
          <w:b/>
          <w:bCs/>
          <w:szCs w:val="22"/>
        </w:rPr>
        <w:t xml:space="preserve"> </w:t>
      </w:r>
      <w:r w:rsidRPr="00714D21">
        <w:rPr>
          <w:szCs w:val="22"/>
        </w:rPr>
        <w:t>(</w:t>
      </w:r>
      <w:proofErr w:type="spellStart"/>
      <w:r w:rsidRPr="00714D21">
        <w:rPr>
          <w:szCs w:val="22"/>
        </w:rPr>
        <w:t>neuroleptikum</w:t>
      </w:r>
      <w:proofErr w:type="spellEnd"/>
      <w:r w:rsidRPr="00714D21">
        <w:rPr>
          <w:szCs w:val="22"/>
        </w:rPr>
        <w:t xml:space="preserve">): vysoké dávky (&gt; 100 mg </w:t>
      </w:r>
      <w:proofErr w:type="spellStart"/>
      <w:r w:rsidRPr="00714D21">
        <w:rPr>
          <w:szCs w:val="22"/>
        </w:rPr>
        <w:t>chlórpromazínu</w:t>
      </w:r>
      <w:proofErr w:type="spellEnd"/>
      <w:r w:rsidRPr="00714D21">
        <w:rPr>
          <w:szCs w:val="22"/>
        </w:rPr>
        <w:t xml:space="preserve"> denne) zvyšujú hladiny glykémie (znížené uvoľňovanie inzulínu).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Upozornite pacienta a zdôraznite dôležitosť sledovania glykémie. Počas a po ukončení liečby </w:t>
      </w:r>
      <w:proofErr w:type="spellStart"/>
      <w:r w:rsidRPr="00714D21">
        <w:rPr>
          <w:szCs w:val="22"/>
        </w:rPr>
        <w:t>neuroleptikom</w:t>
      </w:r>
      <w:proofErr w:type="spellEnd"/>
      <w:r w:rsidRPr="00714D21">
        <w:rPr>
          <w:szCs w:val="22"/>
        </w:rPr>
        <w:t xml:space="preserve"> môže byť potrebné upraviť dávku </w:t>
      </w:r>
      <w:proofErr w:type="spellStart"/>
      <w:r w:rsidRPr="00714D21">
        <w:rPr>
          <w:szCs w:val="22"/>
        </w:rPr>
        <w:t>antidiabetika</w:t>
      </w:r>
      <w:proofErr w:type="spellEnd"/>
      <w:r w:rsidRPr="00714D21">
        <w:rPr>
          <w:szCs w:val="22"/>
        </w:rPr>
        <w:t>.</w:t>
      </w:r>
    </w:p>
    <w:p w:rsidR="009A63C8" w:rsidRPr="00714D21" w:rsidRDefault="009A63C8" w:rsidP="00DC1D0A">
      <w:pPr>
        <w:pStyle w:val="Zkladntext"/>
        <w:numPr>
          <w:ilvl w:val="0"/>
          <w:numId w:val="27"/>
        </w:numPr>
        <w:tabs>
          <w:tab w:val="clear" w:pos="360"/>
        </w:tabs>
        <w:ind w:left="426" w:hanging="403"/>
        <w:rPr>
          <w:b/>
          <w:bCs/>
          <w:szCs w:val="22"/>
        </w:rPr>
      </w:pPr>
      <w:proofErr w:type="spellStart"/>
      <w:r w:rsidRPr="00714D21">
        <w:rPr>
          <w:b/>
          <w:bCs/>
          <w:szCs w:val="22"/>
        </w:rPr>
        <w:lastRenderedPageBreak/>
        <w:t>Glukokortikoidy</w:t>
      </w:r>
      <w:proofErr w:type="spellEnd"/>
      <w:r w:rsidRPr="00714D21">
        <w:rPr>
          <w:b/>
          <w:bCs/>
          <w:szCs w:val="22"/>
        </w:rPr>
        <w:t xml:space="preserve"> </w:t>
      </w:r>
      <w:r w:rsidRPr="00714D21">
        <w:rPr>
          <w:szCs w:val="22"/>
        </w:rPr>
        <w:t xml:space="preserve">(systémová a lokálna cesta podania: </w:t>
      </w:r>
      <w:proofErr w:type="spellStart"/>
      <w:r w:rsidRPr="00714D21">
        <w:rPr>
          <w:szCs w:val="22"/>
        </w:rPr>
        <w:t>intraartikulárne</w:t>
      </w:r>
      <w:proofErr w:type="spellEnd"/>
      <w:r w:rsidRPr="00714D21">
        <w:rPr>
          <w:szCs w:val="22"/>
        </w:rPr>
        <w:t>, topické a </w:t>
      </w:r>
      <w:proofErr w:type="spellStart"/>
      <w:r w:rsidRPr="00714D21">
        <w:rPr>
          <w:szCs w:val="22"/>
        </w:rPr>
        <w:t>rektálne</w:t>
      </w:r>
      <w:proofErr w:type="spellEnd"/>
      <w:r w:rsidRPr="00714D21">
        <w:rPr>
          <w:szCs w:val="22"/>
        </w:rPr>
        <w:t xml:space="preserve"> </w:t>
      </w:r>
      <w:r w:rsidR="00DC1D0A">
        <w:rPr>
          <w:szCs w:val="22"/>
        </w:rPr>
        <w:t>lieky</w:t>
      </w:r>
      <w:r w:rsidRPr="00714D21">
        <w:rPr>
          <w:szCs w:val="22"/>
        </w:rPr>
        <w:t>) a </w:t>
      </w:r>
      <w:proofErr w:type="spellStart"/>
      <w:r w:rsidRPr="00714D21">
        <w:rPr>
          <w:szCs w:val="22"/>
        </w:rPr>
        <w:t>tetrakosaktrin</w:t>
      </w:r>
      <w:proofErr w:type="spellEnd"/>
      <w:r w:rsidRPr="00714D21">
        <w:rPr>
          <w:szCs w:val="22"/>
        </w:rPr>
        <w:t xml:space="preserve">: zvýšenie hladín glykémie s možnou </w:t>
      </w:r>
      <w:proofErr w:type="spellStart"/>
      <w:r w:rsidRPr="00714D21">
        <w:rPr>
          <w:szCs w:val="22"/>
        </w:rPr>
        <w:t>ketózou</w:t>
      </w:r>
      <w:proofErr w:type="spellEnd"/>
      <w:r w:rsidRPr="00714D21">
        <w:rPr>
          <w:szCs w:val="22"/>
        </w:rPr>
        <w:t xml:space="preserve"> (znížená tolerancia sacharidov spôsobená </w:t>
      </w:r>
      <w:proofErr w:type="spellStart"/>
      <w:r w:rsidRPr="00714D21">
        <w:rPr>
          <w:szCs w:val="22"/>
        </w:rPr>
        <w:t>glukokortikoidmi</w:t>
      </w:r>
      <w:proofErr w:type="spellEnd"/>
      <w:r w:rsidRPr="00714D21">
        <w:rPr>
          <w:szCs w:val="22"/>
        </w:rPr>
        <w:t>).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Upozornite pacienta a zdôraznite dôležitosť sledovania glykémie, obzvlášť na začiatku liečby. Počas a po ukončení liečby </w:t>
      </w:r>
      <w:proofErr w:type="spellStart"/>
      <w:r w:rsidRPr="00714D21">
        <w:rPr>
          <w:szCs w:val="22"/>
        </w:rPr>
        <w:t>glukokortikoidmi</w:t>
      </w:r>
      <w:proofErr w:type="spellEnd"/>
      <w:r w:rsidRPr="00714D21">
        <w:rPr>
          <w:szCs w:val="22"/>
        </w:rPr>
        <w:t xml:space="preserve"> môže byť potrebné upraviť dávku </w:t>
      </w:r>
      <w:proofErr w:type="spellStart"/>
      <w:r w:rsidRPr="00714D21">
        <w:rPr>
          <w:szCs w:val="22"/>
        </w:rPr>
        <w:t>antidiabetika</w:t>
      </w:r>
      <w:proofErr w:type="spellEnd"/>
      <w:r w:rsidRPr="00714D21">
        <w:rPr>
          <w:szCs w:val="22"/>
        </w:rPr>
        <w:t>.</w:t>
      </w:r>
    </w:p>
    <w:p w:rsidR="009A63C8" w:rsidRPr="00714D21" w:rsidRDefault="009A63C8" w:rsidP="00DC1D0A">
      <w:pPr>
        <w:numPr>
          <w:ilvl w:val="0"/>
          <w:numId w:val="27"/>
        </w:numPr>
        <w:tabs>
          <w:tab w:val="clear" w:pos="360"/>
        </w:tabs>
        <w:ind w:left="426" w:hanging="403"/>
        <w:rPr>
          <w:b/>
          <w:bCs/>
          <w:szCs w:val="22"/>
        </w:rPr>
      </w:pPr>
      <w:proofErr w:type="spellStart"/>
      <w:r w:rsidRPr="00714D21">
        <w:rPr>
          <w:b/>
          <w:bCs/>
          <w:szCs w:val="22"/>
        </w:rPr>
        <w:t>Ritodrin</w:t>
      </w:r>
      <w:proofErr w:type="spellEnd"/>
      <w:r w:rsidRPr="00714D21">
        <w:rPr>
          <w:b/>
          <w:bCs/>
          <w:szCs w:val="22"/>
        </w:rPr>
        <w:t xml:space="preserve">, </w:t>
      </w:r>
      <w:proofErr w:type="spellStart"/>
      <w:r w:rsidRPr="00714D21">
        <w:rPr>
          <w:b/>
          <w:bCs/>
          <w:szCs w:val="22"/>
        </w:rPr>
        <w:t>salbutamol</w:t>
      </w:r>
      <w:proofErr w:type="spellEnd"/>
      <w:r w:rsidRPr="00714D21">
        <w:rPr>
          <w:b/>
          <w:bCs/>
          <w:szCs w:val="22"/>
        </w:rPr>
        <w:t xml:space="preserve">, </w:t>
      </w:r>
      <w:proofErr w:type="spellStart"/>
      <w:r w:rsidRPr="00714D21">
        <w:rPr>
          <w:b/>
          <w:bCs/>
          <w:szCs w:val="22"/>
        </w:rPr>
        <w:t>terbutalín</w:t>
      </w:r>
      <w:proofErr w:type="spellEnd"/>
      <w:r w:rsidRPr="00714D21">
        <w:rPr>
          <w:b/>
          <w:bCs/>
          <w:szCs w:val="22"/>
        </w:rPr>
        <w:t xml:space="preserve"> </w:t>
      </w:r>
      <w:r w:rsidRPr="00714D21">
        <w:rPr>
          <w:b/>
          <w:szCs w:val="22"/>
        </w:rPr>
        <w:t>(</w:t>
      </w:r>
      <w:proofErr w:type="spellStart"/>
      <w:r w:rsidRPr="00714D21">
        <w:rPr>
          <w:b/>
          <w:szCs w:val="22"/>
        </w:rPr>
        <w:t>i.v</w:t>
      </w:r>
      <w:proofErr w:type="spellEnd"/>
      <w:r w:rsidRPr="00714D21">
        <w:rPr>
          <w:b/>
          <w:szCs w:val="22"/>
        </w:rPr>
        <w:t>.)</w:t>
      </w:r>
      <w:r w:rsidRPr="00714D21">
        <w:rPr>
          <w:b/>
          <w:bCs/>
          <w:szCs w:val="22"/>
        </w:rPr>
        <w:t>: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Zvýšené hladiny glykémie v dôsledku beta-2 </w:t>
      </w:r>
      <w:proofErr w:type="spellStart"/>
      <w:r w:rsidRPr="00714D21">
        <w:rPr>
          <w:szCs w:val="22"/>
        </w:rPr>
        <w:t>agonistických</w:t>
      </w:r>
      <w:proofErr w:type="spellEnd"/>
      <w:r w:rsidRPr="00714D21">
        <w:rPr>
          <w:szCs w:val="22"/>
        </w:rPr>
        <w:t xml:space="preserve"> účinkov.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Zdôraznite dôležitosť sledovania glykémie. V prípade potreby prejdite na liečbu inzulínom. </w:t>
      </w:r>
    </w:p>
    <w:p w:rsidR="00A32F75" w:rsidRPr="00714D21" w:rsidRDefault="00A32F75" w:rsidP="00A32F75">
      <w:pPr>
        <w:numPr>
          <w:ilvl w:val="0"/>
          <w:numId w:val="27"/>
        </w:numPr>
        <w:ind w:left="0" w:firstLine="23"/>
        <w:rPr>
          <w:b/>
          <w:bCs/>
          <w:szCs w:val="22"/>
        </w:rPr>
      </w:pPr>
      <w:r>
        <w:rPr>
          <w:b/>
          <w:bCs/>
          <w:szCs w:val="22"/>
        </w:rPr>
        <w:t>Prípravky s ľubovníkom bodkovaným (</w:t>
      </w:r>
      <w:proofErr w:type="spellStart"/>
      <w:r w:rsidRPr="007E7676">
        <w:rPr>
          <w:b/>
          <w:bCs/>
          <w:i/>
          <w:szCs w:val="22"/>
        </w:rPr>
        <w:t>Hypericum</w:t>
      </w:r>
      <w:proofErr w:type="spellEnd"/>
      <w:r w:rsidRPr="007E7676">
        <w:rPr>
          <w:b/>
          <w:bCs/>
          <w:i/>
          <w:szCs w:val="22"/>
        </w:rPr>
        <w:t xml:space="preserve"> </w:t>
      </w:r>
      <w:proofErr w:type="spellStart"/>
      <w:r w:rsidRPr="007E7676">
        <w:rPr>
          <w:b/>
          <w:bCs/>
          <w:i/>
          <w:szCs w:val="22"/>
        </w:rPr>
        <w:t>perforatum</w:t>
      </w:r>
      <w:proofErr w:type="spellEnd"/>
      <w:r>
        <w:rPr>
          <w:b/>
          <w:bCs/>
          <w:szCs w:val="22"/>
        </w:rPr>
        <w:t>)</w:t>
      </w:r>
      <w:r w:rsidRPr="00714D21">
        <w:rPr>
          <w:b/>
          <w:bCs/>
          <w:szCs w:val="22"/>
        </w:rPr>
        <w:t>:</w:t>
      </w:r>
    </w:p>
    <w:p w:rsidR="00A32F75" w:rsidRDefault="00A32F75" w:rsidP="00CD505D">
      <w:pPr>
        <w:pStyle w:val="Zkladntext"/>
        <w:ind w:left="426"/>
        <w:rPr>
          <w:szCs w:val="22"/>
        </w:rPr>
      </w:pPr>
      <w:r>
        <w:rPr>
          <w:szCs w:val="22"/>
        </w:rPr>
        <w:t xml:space="preserve">Expozícia </w:t>
      </w:r>
      <w:proofErr w:type="spellStart"/>
      <w:r>
        <w:rPr>
          <w:szCs w:val="22"/>
        </w:rPr>
        <w:t>gliklazidu</w:t>
      </w:r>
      <w:proofErr w:type="spellEnd"/>
      <w:r>
        <w:rPr>
          <w:szCs w:val="22"/>
        </w:rPr>
        <w:t xml:space="preserve"> sa pôsobením ľubovníka bodkovaného (</w:t>
      </w:r>
      <w:proofErr w:type="spellStart"/>
      <w:r w:rsidRPr="007E7676">
        <w:rPr>
          <w:i/>
          <w:szCs w:val="22"/>
        </w:rPr>
        <w:t>Hypericum</w:t>
      </w:r>
      <w:proofErr w:type="spellEnd"/>
      <w:r w:rsidRPr="007E7676">
        <w:rPr>
          <w:i/>
          <w:szCs w:val="22"/>
        </w:rPr>
        <w:t xml:space="preserve"> </w:t>
      </w:r>
      <w:proofErr w:type="spellStart"/>
      <w:r w:rsidRPr="007E7676">
        <w:rPr>
          <w:i/>
          <w:szCs w:val="22"/>
        </w:rPr>
        <w:t>perforatum</w:t>
      </w:r>
      <w:proofErr w:type="spellEnd"/>
      <w:r>
        <w:rPr>
          <w:i/>
          <w:szCs w:val="22"/>
        </w:rPr>
        <w:t>)</w:t>
      </w:r>
      <w:r>
        <w:rPr>
          <w:szCs w:val="22"/>
        </w:rPr>
        <w:t xml:space="preserve"> znižuje. Zdôraznite dôležitosť monitorovania hladín glykémie.</w:t>
      </w:r>
    </w:p>
    <w:p w:rsidR="00A32F75" w:rsidRPr="00714D21" w:rsidRDefault="00A32F75" w:rsidP="00A32F75">
      <w:pPr>
        <w:pStyle w:val="Zkladntext"/>
        <w:rPr>
          <w:szCs w:val="22"/>
        </w:rPr>
      </w:pPr>
    </w:p>
    <w:p w:rsidR="00A32F75" w:rsidRPr="00CD505D" w:rsidRDefault="00A32F75" w:rsidP="00A32F75">
      <w:pPr>
        <w:pStyle w:val="Zkladntext"/>
        <w:rPr>
          <w:b/>
          <w:szCs w:val="22"/>
        </w:rPr>
      </w:pPr>
      <w:r w:rsidRPr="00CD505D">
        <w:rPr>
          <w:b/>
          <w:szCs w:val="22"/>
        </w:rPr>
        <w:t xml:space="preserve">Nasledujúce lieky môžu spôsobiť </w:t>
      </w:r>
      <w:proofErr w:type="spellStart"/>
      <w:r w:rsidRPr="00CD505D">
        <w:rPr>
          <w:b/>
          <w:szCs w:val="22"/>
        </w:rPr>
        <w:t>dysglykémiu</w:t>
      </w:r>
      <w:proofErr w:type="spellEnd"/>
    </w:p>
    <w:p w:rsidR="00A32F75" w:rsidRDefault="00A32F75" w:rsidP="00A32F75">
      <w:pPr>
        <w:pStyle w:val="Zkladntext"/>
        <w:rPr>
          <w:szCs w:val="22"/>
        </w:rPr>
      </w:pPr>
    </w:p>
    <w:p w:rsidR="00A32F75" w:rsidRDefault="00A32F75" w:rsidP="00A32F75">
      <w:pPr>
        <w:pStyle w:val="Zkladntext"/>
        <w:rPr>
          <w:b/>
          <w:i/>
          <w:szCs w:val="22"/>
        </w:rPr>
      </w:pPr>
      <w:r w:rsidRPr="00CD505D">
        <w:rPr>
          <w:b/>
          <w:i/>
          <w:szCs w:val="22"/>
        </w:rPr>
        <w:t>Kombinácie vyžadujúce opatrnosť počas používania</w:t>
      </w:r>
    </w:p>
    <w:p w:rsidR="00A32F75" w:rsidRPr="00CD505D" w:rsidRDefault="00A32F75" w:rsidP="00A32F75">
      <w:pPr>
        <w:pStyle w:val="Zkladntext"/>
        <w:rPr>
          <w:szCs w:val="22"/>
        </w:rPr>
      </w:pPr>
    </w:p>
    <w:p w:rsidR="00A32F75" w:rsidRDefault="00A32F75" w:rsidP="00CD505D">
      <w:pPr>
        <w:pStyle w:val="Zkladntext"/>
        <w:numPr>
          <w:ilvl w:val="0"/>
          <w:numId w:val="27"/>
        </w:numPr>
        <w:tabs>
          <w:tab w:val="clear" w:pos="360"/>
        </w:tabs>
        <w:ind w:left="426" w:hanging="426"/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Fluorochinolóny</w:t>
      </w:r>
      <w:proofErr w:type="spellEnd"/>
      <w:r>
        <w:rPr>
          <w:b/>
          <w:bCs/>
          <w:szCs w:val="22"/>
        </w:rPr>
        <w:t xml:space="preserve">: </w:t>
      </w:r>
    </w:p>
    <w:p w:rsidR="00A32F75" w:rsidRPr="007E7676" w:rsidRDefault="00A32F75" w:rsidP="00CD505D">
      <w:pPr>
        <w:pStyle w:val="Zkladntext"/>
        <w:tabs>
          <w:tab w:val="left" w:pos="426"/>
        </w:tabs>
        <w:ind w:left="426"/>
        <w:rPr>
          <w:bCs/>
          <w:szCs w:val="22"/>
        </w:rPr>
      </w:pPr>
      <w:r>
        <w:rPr>
          <w:bCs/>
          <w:szCs w:val="22"/>
        </w:rPr>
        <w:t xml:space="preserve">V prípade súbežného užívania </w:t>
      </w:r>
      <w:proofErr w:type="spellStart"/>
      <w:r>
        <w:rPr>
          <w:bCs/>
          <w:szCs w:val="22"/>
        </w:rPr>
        <w:t>gliklazidu</w:t>
      </w:r>
      <w:proofErr w:type="spellEnd"/>
      <w:r>
        <w:rPr>
          <w:bCs/>
          <w:szCs w:val="22"/>
        </w:rPr>
        <w:t xml:space="preserve"> a </w:t>
      </w:r>
      <w:proofErr w:type="spellStart"/>
      <w:r>
        <w:rPr>
          <w:bCs/>
          <w:szCs w:val="22"/>
        </w:rPr>
        <w:t>fluorochinolónu</w:t>
      </w:r>
      <w:proofErr w:type="spellEnd"/>
      <w:r>
        <w:rPr>
          <w:bCs/>
          <w:szCs w:val="22"/>
        </w:rPr>
        <w:t xml:space="preserve"> má byť pacient upozornený na riziko </w:t>
      </w:r>
      <w:proofErr w:type="spellStart"/>
      <w:r>
        <w:rPr>
          <w:bCs/>
          <w:szCs w:val="22"/>
        </w:rPr>
        <w:t>dysglykémie</w:t>
      </w:r>
      <w:proofErr w:type="spellEnd"/>
      <w:r>
        <w:rPr>
          <w:bCs/>
          <w:szCs w:val="22"/>
        </w:rPr>
        <w:t xml:space="preserve"> a má byť zdôraznená dôležitosť monitorovania glykémie.</w:t>
      </w:r>
    </w:p>
    <w:p w:rsidR="00A32F75" w:rsidRPr="00714D21" w:rsidRDefault="00A32F75" w:rsidP="009A63C8">
      <w:pPr>
        <w:pStyle w:val="Zkladntext"/>
        <w:rPr>
          <w:szCs w:val="22"/>
        </w:rPr>
      </w:pPr>
    </w:p>
    <w:p w:rsidR="009A63C8" w:rsidRPr="00CD505D" w:rsidRDefault="009A63C8" w:rsidP="00C535BE">
      <w:pPr>
        <w:ind w:left="0" w:firstLine="0"/>
        <w:rPr>
          <w:b/>
          <w:i/>
          <w:szCs w:val="22"/>
        </w:rPr>
      </w:pPr>
      <w:r w:rsidRPr="00CD505D">
        <w:rPr>
          <w:b/>
          <w:i/>
          <w:szCs w:val="22"/>
        </w:rPr>
        <w:t>Kombinácia, ktorú je potrebné brať do úvahy</w:t>
      </w:r>
    </w:p>
    <w:p w:rsidR="009A63C8" w:rsidRPr="00714D21" w:rsidRDefault="009A63C8" w:rsidP="00DC1D0A">
      <w:pPr>
        <w:pStyle w:val="Zkladntext"/>
        <w:numPr>
          <w:ilvl w:val="0"/>
          <w:numId w:val="27"/>
        </w:numPr>
        <w:tabs>
          <w:tab w:val="clear" w:pos="360"/>
        </w:tabs>
        <w:ind w:left="426" w:hanging="426"/>
        <w:rPr>
          <w:szCs w:val="22"/>
        </w:rPr>
      </w:pPr>
      <w:proofErr w:type="spellStart"/>
      <w:r w:rsidRPr="00714D21">
        <w:rPr>
          <w:b/>
          <w:bCs/>
          <w:szCs w:val="22"/>
        </w:rPr>
        <w:t>Antikoagulačná</w:t>
      </w:r>
      <w:proofErr w:type="spellEnd"/>
      <w:r w:rsidRPr="00714D21">
        <w:rPr>
          <w:b/>
          <w:bCs/>
          <w:szCs w:val="22"/>
        </w:rPr>
        <w:t xml:space="preserve"> liečba </w:t>
      </w:r>
      <w:r w:rsidRPr="00714D21">
        <w:rPr>
          <w:szCs w:val="22"/>
        </w:rPr>
        <w:t>(</w:t>
      </w:r>
      <w:proofErr w:type="spellStart"/>
      <w:r w:rsidR="008942F6">
        <w:rPr>
          <w:szCs w:val="22"/>
        </w:rPr>
        <w:t>warfarín</w:t>
      </w:r>
      <w:proofErr w:type="spellEnd"/>
      <w:r w:rsidR="008942F6">
        <w:rPr>
          <w:szCs w:val="22"/>
        </w:rPr>
        <w:t xml:space="preserve"> </w:t>
      </w:r>
      <w:r w:rsidRPr="00714D21">
        <w:rPr>
          <w:szCs w:val="22"/>
        </w:rPr>
        <w:t>...):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Použitie derivátov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 môže viesť pri súbežnom podávaní s </w:t>
      </w:r>
      <w:proofErr w:type="spellStart"/>
      <w:r w:rsidRPr="00714D21">
        <w:rPr>
          <w:szCs w:val="22"/>
        </w:rPr>
        <w:t>antikoagulanciami</w:t>
      </w:r>
      <w:proofErr w:type="spellEnd"/>
      <w:r w:rsidRPr="00714D21">
        <w:rPr>
          <w:szCs w:val="22"/>
        </w:rPr>
        <w:t xml:space="preserve"> k </w:t>
      </w:r>
      <w:proofErr w:type="spellStart"/>
      <w:r w:rsidRPr="00714D21">
        <w:rPr>
          <w:szCs w:val="22"/>
        </w:rPr>
        <w:t>potenciácii</w:t>
      </w:r>
      <w:proofErr w:type="spellEnd"/>
      <w:r w:rsidRPr="00714D21">
        <w:rPr>
          <w:szCs w:val="22"/>
        </w:rPr>
        <w:t xml:space="preserve"> </w:t>
      </w:r>
      <w:proofErr w:type="spellStart"/>
      <w:r w:rsidRPr="00714D21">
        <w:rPr>
          <w:szCs w:val="22"/>
        </w:rPr>
        <w:t>antikoagulačného</w:t>
      </w:r>
      <w:proofErr w:type="spellEnd"/>
      <w:r w:rsidRPr="00714D21">
        <w:rPr>
          <w:szCs w:val="22"/>
        </w:rPr>
        <w:t xml:space="preserve"> účinku.</w:t>
      </w:r>
    </w:p>
    <w:p w:rsidR="009A63C8" w:rsidRPr="00714D21" w:rsidRDefault="009A63C8" w:rsidP="00DC1D0A">
      <w:pPr>
        <w:pStyle w:val="Zkladntext"/>
        <w:ind w:left="426"/>
        <w:rPr>
          <w:szCs w:val="22"/>
        </w:rPr>
      </w:pPr>
      <w:r w:rsidRPr="00714D21">
        <w:rPr>
          <w:szCs w:val="22"/>
        </w:rPr>
        <w:t xml:space="preserve">Môže byť potrebná úprava </w:t>
      </w:r>
      <w:proofErr w:type="spellStart"/>
      <w:r w:rsidRPr="00714D21">
        <w:rPr>
          <w:szCs w:val="22"/>
        </w:rPr>
        <w:t>antikoagulačnej</w:t>
      </w:r>
      <w:proofErr w:type="spellEnd"/>
      <w:r w:rsidRPr="00714D21">
        <w:rPr>
          <w:szCs w:val="22"/>
        </w:rPr>
        <w:t xml:space="preserve"> liečby. </w:t>
      </w:r>
    </w:p>
    <w:p w:rsidR="004D7A2B" w:rsidRPr="00405EB6" w:rsidRDefault="004D7A2B" w:rsidP="004D7A2B">
      <w:pPr>
        <w:widowControl w:val="0"/>
        <w:ind w:left="0" w:firstLine="0"/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4.6</w:t>
      </w:r>
      <w:r w:rsidRPr="00405EB6">
        <w:rPr>
          <w:b/>
          <w:szCs w:val="22"/>
        </w:rPr>
        <w:tab/>
      </w:r>
      <w:r w:rsidR="00E1698A" w:rsidRPr="00405EB6">
        <w:rPr>
          <w:b/>
          <w:noProof/>
          <w:szCs w:val="22"/>
        </w:rPr>
        <w:t>Fertilita, g</w:t>
      </w:r>
      <w:r w:rsidRPr="00405EB6">
        <w:rPr>
          <w:b/>
          <w:szCs w:val="22"/>
        </w:rPr>
        <w:t>ravidita a</w:t>
      </w:r>
      <w:r w:rsidR="00C066E7" w:rsidRPr="00405EB6">
        <w:rPr>
          <w:b/>
          <w:szCs w:val="22"/>
        </w:rPr>
        <w:t> </w:t>
      </w:r>
      <w:r w:rsidRPr="00405EB6">
        <w:rPr>
          <w:b/>
          <w:szCs w:val="22"/>
        </w:rPr>
        <w:t>laktácia</w:t>
      </w:r>
    </w:p>
    <w:p w:rsidR="00C066E7" w:rsidRPr="00405EB6" w:rsidRDefault="00C066E7" w:rsidP="004C512E">
      <w:pPr>
        <w:rPr>
          <w:szCs w:val="22"/>
        </w:rPr>
      </w:pPr>
    </w:p>
    <w:p w:rsidR="008942F6" w:rsidRDefault="008942F6" w:rsidP="008942F6">
      <w:pPr>
        <w:pStyle w:val="Zkladntext"/>
        <w:rPr>
          <w:szCs w:val="22"/>
          <w:u w:val="single"/>
        </w:rPr>
      </w:pPr>
      <w:r>
        <w:rPr>
          <w:szCs w:val="22"/>
          <w:u w:val="single"/>
        </w:rPr>
        <w:t>Gravidita</w:t>
      </w:r>
    </w:p>
    <w:p w:rsidR="00CE1976" w:rsidRPr="00714D21" w:rsidRDefault="00CE1976" w:rsidP="00CE1976">
      <w:pPr>
        <w:pStyle w:val="Zkladntext"/>
        <w:spacing w:before="120"/>
        <w:rPr>
          <w:szCs w:val="22"/>
        </w:rPr>
      </w:pPr>
      <w:r w:rsidRPr="00714D21">
        <w:rPr>
          <w:szCs w:val="22"/>
        </w:rPr>
        <w:t xml:space="preserve">O použití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u tehotných žien nie sú žiadne alebo sú limitované množstvá údajov (menej ako 300 výsledkov gravidít), hoci pri ostatných derivátoch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 existuje niekoľko údajov. </w:t>
      </w:r>
    </w:p>
    <w:p w:rsidR="00CE1976" w:rsidRPr="00714D21" w:rsidRDefault="00CE1976" w:rsidP="00CE1976">
      <w:pPr>
        <w:pStyle w:val="Zkladntext"/>
        <w:rPr>
          <w:szCs w:val="22"/>
        </w:rPr>
      </w:pPr>
      <w:r w:rsidRPr="00714D21">
        <w:rPr>
          <w:szCs w:val="22"/>
        </w:rPr>
        <w:t xml:space="preserve">V štúdiách na zvieratách sa nepreukázal </w:t>
      </w:r>
      <w:proofErr w:type="spellStart"/>
      <w:r w:rsidRPr="00714D21">
        <w:rPr>
          <w:szCs w:val="22"/>
        </w:rPr>
        <w:t>teratogénny</w:t>
      </w:r>
      <w:proofErr w:type="spellEnd"/>
      <w:r w:rsidRPr="00714D21">
        <w:rPr>
          <w:szCs w:val="22"/>
        </w:rPr>
        <w:t xml:space="preserve"> účinok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(pozri časť 5.3).</w:t>
      </w:r>
    </w:p>
    <w:p w:rsidR="00CE1976" w:rsidRPr="00714D21" w:rsidRDefault="00CE1976" w:rsidP="00CE1976">
      <w:pPr>
        <w:pStyle w:val="Zkladntext"/>
        <w:rPr>
          <w:szCs w:val="22"/>
        </w:rPr>
      </w:pPr>
      <w:r w:rsidRPr="00714D21">
        <w:rPr>
          <w:szCs w:val="22"/>
        </w:rPr>
        <w:t xml:space="preserve">Ako preventívne opatrenie je lepšie vyhnúť sa užívaniu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počas gravidity.</w:t>
      </w:r>
    </w:p>
    <w:p w:rsidR="008942F6" w:rsidRDefault="008942F6" w:rsidP="008942F6">
      <w:pPr>
        <w:pStyle w:val="Zkladntext"/>
        <w:rPr>
          <w:szCs w:val="22"/>
        </w:rPr>
      </w:pPr>
      <w:r>
        <w:rPr>
          <w:szCs w:val="22"/>
        </w:rPr>
        <w:t xml:space="preserve">Pred počatím dieťaťa je potrebné dosiahnuť kontrolu diabetu, aby sa znížilo riziko vzniku vrodených abnormalít spojených s nekontrolovaným diabetom. </w:t>
      </w:r>
    </w:p>
    <w:p w:rsidR="008942F6" w:rsidRDefault="008942F6" w:rsidP="008942F6">
      <w:pPr>
        <w:pStyle w:val="Zkladntext"/>
        <w:rPr>
          <w:szCs w:val="22"/>
        </w:rPr>
      </w:pPr>
      <w:r>
        <w:rPr>
          <w:szCs w:val="22"/>
        </w:rPr>
        <w:t xml:space="preserve">Perorálne </w:t>
      </w:r>
      <w:proofErr w:type="spellStart"/>
      <w:r>
        <w:rPr>
          <w:szCs w:val="22"/>
        </w:rPr>
        <w:t>hypoglykemiká</w:t>
      </w:r>
      <w:proofErr w:type="spellEnd"/>
      <w:r>
        <w:rPr>
          <w:szCs w:val="22"/>
        </w:rPr>
        <w:t xml:space="preserve"> nie sú vhodné, liekom prvej voľby pri liečbe diabetu počas gravidity je inzulín. Odporúča sa, aby sa liečba perorálnymi </w:t>
      </w:r>
      <w:proofErr w:type="spellStart"/>
      <w:r>
        <w:rPr>
          <w:szCs w:val="22"/>
        </w:rPr>
        <w:t>antidiabetikami</w:t>
      </w:r>
      <w:proofErr w:type="spellEnd"/>
      <w:r>
        <w:rPr>
          <w:szCs w:val="22"/>
        </w:rPr>
        <w:t xml:space="preserve"> vymenila za liečbu inzulínom pred plánovaním gravidity alebo čo najskôr po jej zistení. </w:t>
      </w:r>
    </w:p>
    <w:p w:rsidR="008942F6" w:rsidRDefault="008942F6" w:rsidP="008942F6">
      <w:pPr>
        <w:pStyle w:val="Zkladntext"/>
        <w:rPr>
          <w:szCs w:val="22"/>
        </w:rPr>
      </w:pPr>
    </w:p>
    <w:p w:rsidR="008942F6" w:rsidRDefault="008942F6" w:rsidP="008942F6">
      <w:pPr>
        <w:pStyle w:val="Zkladntext"/>
        <w:rPr>
          <w:szCs w:val="22"/>
          <w:u w:val="single"/>
        </w:rPr>
      </w:pPr>
      <w:r>
        <w:rPr>
          <w:szCs w:val="22"/>
          <w:u w:val="single"/>
        </w:rPr>
        <w:t>Dojčenie</w:t>
      </w:r>
    </w:p>
    <w:p w:rsidR="00CE1976" w:rsidRPr="00714D21" w:rsidRDefault="008942F6" w:rsidP="00CE1976">
      <w:pPr>
        <w:pStyle w:val="Zkladntext"/>
        <w:rPr>
          <w:szCs w:val="22"/>
        </w:rPr>
      </w:pPr>
      <w:r>
        <w:rPr>
          <w:szCs w:val="22"/>
        </w:rPr>
        <w:t xml:space="preserve">Nie je známe, či sa </w:t>
      </w:r>
      <w:proofErr w:type="spellStart"/>
      <w:r>
        <w:rPr>
          <w:szCs w:val="22"/>
        </w:rPr>
        <w:t>gliklazid</w:t>
      </w:r>
      <w:proofErr w:type="spellEnd"/>
      <w:r>
        <w:rPr>
          <w:szCs w:val="22"/>
        </w:rPr>
        <w:t xml:space="preserve"> alebo jeho </w:t>
      </w:r>
      <w:proofErr w:type="spellStart"/>
      <w:r>
        <w:rPr>
          <w:szCs w:val="22"/>
        </w:rPr>
        <w:t>metabolity</w:t>
      </w:r>
      <w:proofErr w:type="spellEnd"/>
      <w:r>
        <w:rPr>
          <w:szCs w:val="22"/>
        </w:rPr>
        <w:t xml:space="preserve"> vylučujú do ľudského </w:t>
      </w:r>
      <w:r w:rsidR="00CE1976">
        <w:rPr>
          <w:szCs w:val="22"/>
        </w:rPr>
        <w:t xml:space="preserve">materského </w:t>
      </w:r>
      <w:r>
        <w:rPr>
          <w:szCs w:val="22"/>
        </w:rPr>
        <w:t xml:space="preserve">mlieka. Vzhľadom </w:t>
      </w:r>
      <w:r w:rsidR="00CE1976" w:rsidRPr="00714D21">
        <w:rPr>
          <w:szCs w:val="22"/>
        </w:rPr>
        <w:t xml:space="preserve">na riziko vzniku </w:t>
      </w:r>
      <w:proofErr w:type="spellStart"/>
      <w:r w:rsidR="00CE1976" w:rsidRPr="00714D21">
        <w:rPr>
          <w:szCs w:val="22"/>
        </w:rPr>
        <w:t>hypoglykémie</w:t>
      </w:r>
      <w:proofErr w:type="spellEnd"/>
      <w:r w:rsidR="00CE1976" w:rsidRPr="00714D21">
        <w:rPr>
          <w:szCs w:val="22"/>
        </w:rPr>
        <w:t xml:space="preserve"> u novorodencov je preto liek kontraindikovaný u dojčiacich matiek. Riziko pre novorodencov/dojčatá nemožno vylúčiť.</w:t>
      </w:r>
    </w:p>
    <w:p w:rsidR="008942F6" w:rsidRDefault="008942F6" w:rsidP="008942F6">
      <w:pPr>
        <w:pStyle w:val="Zkladntext"/>
        <w:rPr>
          <w:szCs w:val="22"/>
        </w:rPr>
      </w:pPr>
    </w:p>
    <w:p w:rsidR="00CE1976" w:rsidRPr="00714D21" w:rsidRDefault="00CE1976" w:rsidP="00CE1976">
      <w:pPr>
        <w:pStyle w:val="Zkladntext"/>
        <w:rPr>
          <w:szCs w:val="22"/>
          <w:u w:val="single"/>
        </w:rPr>
      </w:pPr>
      <w:proofErr w:type="spellStart"/>
      <w:r w:rsidRPr="00714D21">
        <w:rPr>
          <w:szCs w:val="22"/>
          <w:u w:val="single"/>
        </w:rPr>
        <w:t>Fertilita</w:t>
      </w:r>
      <w:proofErr w:type="spellEnd"/>
    </w:p>
    <w:p w:rsidR="00CE1976" w:rsidRPr="00714D21" w:rsidRDefault="00CE1976" w:rsidP="00CE1976">
      <w:pPr>
        <w:pStyle w:val="Zkladntext"/>
        <w:rPr>
          <w:szCs w:val="22"/>
        </w:rPr>
      </w:pPr>
      <w:r w:rsidRPr="00714D21">
        <w:rPr>
          <w:szCs w:val="22"/>
        </w:rPr>
        <w:t xml:space="preserve">U samcov a samíc potkanov nebol zaznamenaný žiadny vplyv na </w:t>
      </w:r>
      <w:proofErr w:type="spellStart"/>
      <w:r w:rsidRPr="00714D21">
        <w:rPr>
          <w:szCs w:val="22"/>
        </w:rPr>
        <w:t>fertilitu</w:t>
      </w:r>
      <w:proofErr w:type="spellEnd"/>
      <w:r w:rsidRPr="00714D21">
        <w:rPr>
          <w:szCs w:val="22"/>
        </w:rPr>
        <w:t xml:space="preserve"> alebo reprodukčnú schopnosť (pozri časť 5.3).</w:t>
      </w:r>
    </w:p>
    <w:p w:rsidR="00CE1976" w:rsidRDefault="00CE1976" w:rsidP="008942F6">
      <w:pPr>
        <w:pStyle w:val="Zkladntext"/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4.7</w:t>
      </w:r>
      <w:r w:rsidRPr="00405EB6">
        <w:rPr>
          <w:b/>
          <w:szCs w:val="22"/>
        </w:rPr>
        <w:tab/>
        <w:t>Ovplyvnenie schopnosti viesť vozidlá a obsluhovať stroje</w:t>
      </w:r>
    </w:p>
    <w:p w:rsidR="00780926" w:rsidRPr="00405EB6" w:rsidRDefault="00780926" w:rsidP="004C512E">
      <w:pPr>
        <w:rPr>
          <w:szCs w:val="22"/>
        </w:rPr>
      </w:pPr>
    </w:p>
    <w:p w:rsidR="002A4EE0" w:rsidRDefault="002A4EE0" w:rsidP="002A4EE0">
      <w:pPr>
        <w:ind w:left="0" w:firstLine="0"/>
        <w:rPr>
          <w:szCs w:val="22"/>
        </w:rPr>
      </w:pPr>
      <w:proofErr w:type="spellStart"/>
      <w:r w:rsidRPr="009026CA">
        <w:rPr>
          <w:color w:val="000000"/>
        </w:rPr>
        <w:t>Gliklazid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>
        <w:rPr>
          <w:color w:val="000000"/>
        </w:rPr>
        <w:t xml:space="preserve"> </w:t>
      </w:r>
      <w:r>
        <w:rPr>
          <w:szCs w:val="22"/>
        </w:rPr>
        <w:t xml:space="preserve">nemá žiadny </w:t>
      </w:r>
      <w:r w:rsidR="00CE1976" w:rsidRPr="00714D21">
        <w:rPr>
          <w:szCs w:val="22"/>
        </w:rPr>
        <w:t xml:space="preserve">alebo má zanedbateľný </w:t>
      </w:r>
      <w:r>
        <w:rPr>
          <w:szCs w:val="22"/>
        </w:rPr>
        <w:t xml:space="preserve">vplyv na schopnosť viesť vozidlá a obsluhovať stroje. Avšak pacienti majú byť </w:t>
      </w:r>
      <w:r w:rsidR="00C00383">
        <w:rPr>
          <w:szCs w:val="22"/>
        </w:rPr>
        <w:t xml:space="preserve">informovaní, že koncentrácia </w:t>
      </w:r>
      <w:r w:rsidR="00AE2133">
        <w:rPr>
          <w:szCs w:val="22"/>
        </w:rPr>
        <w:t>glukózy</w:t>
      </w:r>
      <w:r w:rsidR="00C00383">
        <w:rPr>
          <w:szCs w:val="22"/>
        </w:rPr>
        <w:t xml:space="preserve"> môže byť ovplyvnená</w:t>
      </w:r>
      <w:r w:rsidR="00F23E92">
        <w:rPr>
          <w:szCs w:val="22"/>
        </w:rPr>
        <w:t xml:space="preserve">, </w:t>
      </w:r>
      <w:r w:rsidR="00C00383">
        <w:rPr>
          <w:szCs w:val="22"/>
        </w:rPr>
        <w:t>ak ich diabetes nie je dostatočne kontrolovaný</w:t>
      </w:r>
      <w:r w:rsidR="00377518">
        <w:rPr>
          <w:szCs w:val="22"/>
        </w:rPr>
        <w:t>,</w:t>
      </w:r>
      <w:r>
        <w:rPr>
          <w:szCs w:val="22"/>
        </w:rPr>
        <w:t xml:space="preserve"> najmä na začiatku liečby</w:t>
      </w:r>
      <w:r w:rsidR="00C00383">
        <w:rPr>
          <w:szCs w:val="22"/>
        </w:rPr>
        <w:t xml:space="preserve"> (pozri časť 4.4)</w:t>
      </w:r>
      <w:r>
        <w:rPr>
          <w:szCs w:val="22"/>
        </w:rPr>
        <w:t xml:space="preserve">. </w:t>
      </w:r>
    </w:p>
    <w:p w:rsidR="004F2522" w:rsidRPr="00405EB6" w:rsidRDefault="004F2522" w:rsidP="004F2522">
      <w:pPr>
        <w:ind w:left="0" w:firstLine="0"/>
        <w:rPr>
          <w:szCs w:val="22"/>
        </w:rPr>
      </w:pPr>
    </w:p>
    <w:p w:rsidR="00780926" w:rsidRPr="00405EB6" w:rsidRDefault="00780926" w:rsidP="004C512E">
      <w:pPr>
        <w:numPr>
          <w:ilvl w:val="1"/>
          <w:numId w:val="14"/>
        </w:numPr>
        <w:rPr>
          <w:b/>
          <w:szCs w:val="22"/>
        </w:rPr>
      </w:pPr>
      <w:r w:rsidRPr="00405EB6">
        <w:rPr>
          <w:b/>
          <w:szCs w:val="22"/>
        </w:rPr>
        <w:t>Nežiaduce účinky</w:t>
      </w:r>
    </w:p>
    <w:p w:rsidR="000D7694" w:rsidRPr="009B4170" w:rsidRDefault="000D7694" w:rsidP="003656FD">
      <w:pPr>
        <w:ind w:left="0" w:firstLine="0"/>
        <w:rPr>
          <w:szCs w:val="22"/>
        </w:rPr>
      </w:pPr>
    </w:p>
    <w:p w:rsidR="003656FD" w:rsidRDefault="003656FD" w:rsidP="003656FD">
      <w:pPr>
        <w:pStyle w:val="Zkladntext"/>
        <w:rPr>
          <w:b/>
          <w:bCs/>
          <w:i/>
          <w:szCs w:val="22"/>
        </w:rPr>
      </w:pPr>
      <w:r>
        <w:rPr>
          <w:iCs/>
          <w:szCs w:val="22"/>
        </w:rPr>
        <w:lastRenderedPageBreak/>
        <w:t>Na základe skúseností s </w:t>
      </w:r>
      <w:proofErr w:type="spellStart"/>
      <w:r>
        <w:rPr>
          <w:iCs/>
          <w:szCs w:val="22"/>
        </w:rPr>
        <w:t>gliklazidom</w:t>
      </w:r>
      <w:proofErr w:type="spellEnd"/>
      <w:r>
        <w:rPr>
          <w:iCs/>
          <w:szCs w:val="22"/>
        </w:rPr>
        <w:t xml:space="preserve"> boli hlásené nasledujúce nežiaduce účinky.</w:t>
      </w:r>
    </w:p>
    <w:p w:rsidR="003656FD" w:rsidRPr="00CE3688" w:rsidRDefault="00CE3688" w:rsidP="003656FD">
      <w:pPr>
        <w:pStyle w:val="Zkladntext"/>
        <w:rPr>
          <w:iCs/>
          <w:szCs w:val="22"/>
        </w:rPr>
      </w:pPr>
      <w:r>
        <w:rPr>
          <w:iCs/>
          <w:szCs w:val="22"/>
        </w:rPr>
        <w:t>Nežiaduce účinky uvedené nižšie sú klasifikované podľa frekvencie a</w:t>
      </w:r>
      <w:r w:rsidRPr="00CE3688">
        <w:rPr>
          <w:iCs/>
          <w:szCs w:val="22"/>
        </w:rPr>
        <w:t xml:space="preserve"> </w:t>
      </w:r>
      <w:r>
        <w:rPr>
          <w:iCs/>
          <w:szCs w:val="22"/>
        </w:rPr>
        <w:t>t</w:t>
      </w:r>
      <w:r w:rsidR="00DA440A" w:rsidRPr="00CE3688">
        <w:rPr>
          <w:iCs/>
          <w:szCs w:val="22"/>
        </w:rPr>
        <w:t>ried</w:t>
      </w:r>
      <w:r>
        <w:rPr>
          <w:iCs/>
          <w:szCs w:val="22"/>
        </w:rPr>
        <w:t>y</w:t>
      </w:r>
      <w:r w:rsidR="00DA440A" w:rsidRPr="00CE3688">
        <w:rPr>
          <w:iCs/>
          <w:szCs w:val="22"/>
        </w:rPr>
        <w:t xml:space="preserve"> orgánových systémov</w:t>
      </w:r>
      <w:r>
        <w:rPr>
          <w:iCs/>
          <w:szCs w:val="22"/>
        </w:rPr>
        <w:t xml:space="preserve">. </w:t>
      </w:r>
    </w:p>
    <w:p w:rsidR="00DA440A" w:rsidRDefault="00DA440A" w:rsidP="00DA440A">
      <w:pPr>
        <w:tabs>
          <w:tab w:val="left" w:pos="540"/>
        </w:tabs>
        <w:adjustRightInd w:val="0"/>
        <w:spacing w:line="240" w:lineRule="atLeast"/>
        <w:outlineLvl w:val="0"/>
        <w:rPr>
          <w:szCs w:val="22"/>
        </w:rPr>
      </w:pPr>
      <w:r>
        <w:rPr>
          <w:szCs w:val="22"/>
        </w:rPr>
        <w:t>Frekvenci</w:t>
      </w:r>
      <w:r w:rsidR="00CE3688">
        <w:rPr>
          <w:szCs w:val="22"/>
        </w:rPr>
        <w:t>e</w:t>
      </w:r>
      <w:r>
        <w:rPr>
          <w:szCs w:val="22"/>
        </w:rPr>
        <w:t xml:space="preserve"> </w:t>
      </w:r>
      <w:r w:rsidR="00CE3688">
        <w:rPr>
          <w:szCs w:val="22"/>
        </w:rPr>
        <w:t>sú</w:t>
      </w:r>
      <w:r>
        <w:rPr>
          <w:szCs w:val="22"/>
        </w:rPr>
        <w:t xml:space="preserve"> definovan</w:t>
      </w:r>
      <w:r w:rsidR="00CE3688">
        <w:rPr>
          <w:szCs w:val="22"/>
        </w:rPr>
        <w:t>é</w:t>
      </w:r>
      <w:r>
        <w:rPr>
          <w:szCs w:val="22"/>
        </w:rPr>
        <w:t xml:space="preserve"> </w:t>
      </w:r>
      <w:r w:rsidR="00CE3688">
        <w:rPr>
          <w:szCs w:val="22"/>
        </w:rPr>
        <w:t>podľa nasledujúcej konvencie</w:t>
      </w:r>
      <w:r>
        <w:rPr>
          <w:szCs w:val="22"/>
        </w:rPr>
        <w:t xml:space="preserve">: </w:t>
      </w:r>
    </w:p>
    <w:p w:rsidR="00CE3688" w:rsidRDefault="00CE3688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Veľmi časté (≥ 1/10)</w:t>
      </w: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Časté (</w:t>
      </w:r>
      <w:r>
        <w:rPr>
          <w:szCs w:val="22"/>
        </w:rPr>
        <w:sym w:font="Symbol" w:char="F0B3"/>
      </w:r>
      <w:r>
        <w:rPr>
          <w:szCs w:val="22"/>
        </w:rPr>
        <w:t> 1/100 až &lt; 1/10)</w:t>
      </w: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Menej časté (</w:t>
      </w:r>
      <w:r>
        <w:rPr>
          <w:szCs w:val="22"/>
        </w:rPr>
        <w:sym w:font="Symbol" w:char="F0B3"/>
      </w:r>
      <w:r>
        <w:rPr>
          <w:szCs w:val="22"/>
        </w:rPr>
        <w:t> 1/1 000 až &lt; 1/100)</w:t>
      </w: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Zriedkavé (</w:t>
      </w:r>
      <w:r>
        <w:rPr>
          <w:szCs w:val="22"/>
        </w:rPr>
        <w:sym w:font="Symbol" w:char="F0B3"/>
      </w:r>
      <w:r>
        <w:rPr>
          <w:szCs w:val="22"/>
        </w:rPr>
        <w:t> 1/10 000 až &lt; 1/1 000)</w:t>
      </w: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Veľmi zriedkavé (&lt; 1/10 000)</w:t>
      </w:r>
    </w:p>
    <w:p w:rsidR="00DA440A" w:rsidRDefault="00DA440A" w:rsidP="00CE3688">
      <w:pPr>
        <w:tabs>
          <w:tab w:val="left" w:pos="540"/>
        </w:tabs>
        <w:adjustRightInd w:val="0"/>
        <w:spacing w:line="240" w:lineRule="atLeast"/>
        <w:ind w:left="0" w:firstLine="0"/>
        <w:rPr>
          <w:szCs w:val="22"/>
        </w:rPr>
      </w:pPr>
      <w:r>
        <w:rPr>
          <w:szCs w:val="22"/>
        </w:rPr>
        <w:t>Neznáme (</w:t>
      </w:r>
      <w:r w:rsidR="00CE3688">
        <w:rPr>
          <w:szCs w:val="22"/>
        </w:rPr>
        <w:t xml:space="preserve">častosť sa nedá odhadnúť </w:t>
      </w:r>
      <w:r>
        <w:rPr>
          <w:szCs w:val="22"/>
        </w:rPr>
        <w:t>z dostupných údajov)</w:t>
      </w:r>
    </w:p>
    <w:p w:rsidR="00DA440A" w:rsidRDefault="00DA440A" w:rsidP="00DA440A">
      <w:pPr>
        <w:tabs>
          <w:tab w:val="left" w:pos="540"/>
        </w:tabs>
        <w:rPr>
          <w:color w:val="000000"/>
          <w:szCs w:val="22"/>
        </w:rPr>
      </w:pPr>
    </w:p>
    <w:p w:rsidR="00CE3688" w:rsidRPr="008E01F4" w:rsidRDefault="00CE3688" w:rsidP="00CE3688">
      <w:pPr>
        <w:pStyle w:val="Zkladntext"/>
        <w:rPr>
          <w:i/>
          <w:szCs w:val="22"/>
        </w:rPr>
      </w:pPr>
      <w:r w:rsidRPr="008E01F4">
        <w:rPr>
          <w:i/>
          <w:szCs w:val="22"/>
        </w:rPr>
        <w:t>Poru</w:t>
      </w:r>
      <w:r>
        <w:rPr>
          <w:i/>
          <w:szCs w:val="22"/>
        </w:rPr>
        <w:t>chy krvi a lymfatického systému</w:t>
      </w:r>
    </w:p>
    <w:p w:rsidR="003F33E3" w:rsidRDefault="00CE3688" w:rsidP="00CE3688">
      <w:pPr>
        <w:pStyle w:val="Zkladntext"/>
        <w:rPr>
          <w:szCs w:val="22"/>
        </w:rPr>
      </w:pPr>
      <w:r>
        <w:rPr>
          <w:szCs w:val="22"/>
        </w:rPr>
        <w:t xml:space="preserve">Zriedkavé: Hematologické zmeny, ktoré môžu zahŕňať anémiu, </w:t>
      </w:r>
      <w:proofErr w:type="spellStart"/>
      <w:r>
        <w:rPr>
          <w:szCs w:val="22"/>
        </w:rPr>
        <w:t>leukopéniu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trombocytopéniu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granulocytopéniu</w:t>
      </w:r>
      <w:proofErr w:type="spellEnd"/>
      <w:r>
        <w:rPr>
          <w:szCs w:val="22"/>
        </w:rPr>
        <w:t xml:space="preserve">. </w:t>
      </w:r>
    </w:p>
    <w:p w:rsidR="00CE3688" w:rsidRDefault="00CE3688" w:rsidP="00CE3688">
      <w:pPr>
        <w:pStyle w:val="Zkladntext"/>
        <w:rPr>
          <w:szCs w:val="22"/>
        </w:rPr>
      </w:pPr>
      <w:r>
        <w:rPr>
          <w:szCs w:val="22"/>
        </w:rPr>
        <w:t xml:space="preserve">Po prerušení liečby sú tieto zmeny vo všeobecnosti reverzibilné. </w:t>
      </w:r>
    </w:p>
    <w:p w:rsidR="00CE3688" w:rsidRDefault="00CE3688" w:rsidP="00CE3688">
      <w:pPr>
        <w:pStyle w:val="Zkladntext"/>
        <w:rPr>
          <w:szCs w:val="22"/>
          <w:u w:val="single"/>
        </w:rPr>
      </w:pPr>
    </w:p>
    <w:p w:rsidR="00CE3688" w:rsidRDefault="003F33E3" w:rsidP="00CE3688">
      <w:pPr>
        <w:pStyle w:val="Zkladntext"/>
        <w:rPr>
          <w:szCs w:val="22"/>
          <w:u w:val="single"/>
        </w:rPr>
      </w:pPr>
      <w:r w:rsidRPr="008E01F4">
        <w:rPr>
          <w:i/>
          <w:szCs w:val="22"/>
        </w:rPr>
        <w:t>Poru</w:t>
      </w:r>
      <w:r>
        <w:rPr>
          <w:i/>
          <w:szCs w:val="22"/>
        </w:rPr>
        <w:t>chy metabolizmu a výživy</w:t>
      </w:r>
    </w:p>
    <w:p w:rsidR="00CE3688" w:rsidRPr="003F33E3" w:rsidRDefault="003F33E3" w:rsidP="00CE3688">
      <w:pPr>
        <w:pStyle w:val="Zkladntext"/>
        <w:rPr>
          <w:szCs w:val="22"/>
        </w:rPr>
      </w:pPr>
      <w:r w:rsidRPr="003F33E3">
        <w:rPr>
          <w:szCs w:val="22"/>
        </w:rPr>
        <w:t xml:space="preserve">Neznáme: </w:t>
      </w:r>
      <w:proofErr w:type="spellStart"/>
      <w:r>
        <w:rPr>
          <w:szCs w:val="22"/>
        </w:rPr>
        <w:t>Hypoglykémia</w:t>
      </w:r>
      <w:proofErr w:type="spellEnd"/>
    </w:p>
    <w:p w:rsidR="003F33E3" w:rsidRDefault="003F33E3" w:rsidP="00CE3688">
      <w:pPr>
        <w:pStyle w:val="Zkladntext"/>
        <w:rPr>
          <w:szCs w:val="22"/>
          <w:u w:val="single"/>
        </w:rPr>
      </w:pPr>
    </w:p>
    <w:p w:rsidR="00CE3688" w:rsidRPr="00BA418E" w:rsidRDefault="00CE3688" w:rsidP="003F33E3">
      <w:pPr>
        <w:pStyle w:val="Zkladntext"/>
        <w:rPr>
          <w:i/>
          <w:szCs w:val="22"/>
        </w:rPr>
      </w:pPr>
      <w:r>
        <w:rPr>
          <w:i/>
          <w:szCs w:val="22"/>
        </w:rPr>
        <w:t>Poruchy oka</w:t>
      </w:r>
    </w:p>
    <w:p w:rsidR="003F33E3" w:rsidRDefault="003F33E3" w:rsidP="00CE3688">
      <w:pPr>
        <w:pStyle w:val="Zkladntext"/>
        <w:rPr>
          <w:szCs w:val="22"/>
        </w:rPr>
      </w:pPr>
      <w:r w:rsidRPr="003F33E3">
        <w:rPr>
          <w:szCs w:val="22"/>
        </w:rPr>
        <w:t xml:space="preserve">Neznáme: </w:t>
      </w:r>
      <w:r w:rsidR="00CE3688">
        <w:rPr>
          <w:szCs w:val="22"/>
        </w:rPr>
        <w:t>Prechodné poruchy zraku</w:t>
      </w:r>
      <w:r>
        <w:rPr>
          <w:szCs w:val="22"/>
        </w:rPr>
        <w:t>.</w:t>
      </w:r>
    </w:p>
    <w:p w:rsidR="00CE3688" w:rsidRDefault="003F33E3" w:rsidP="00CE3688">
      <w:pPr>
        <w:pStyle w:val="Zkladntext"/>
        <w:rPr>
          <w:szCs w:val="22"/>
        </w:rPr>
      </w:pPr>
      <w:r>
        <w:rPr>
          <w:szCs w:val="22"/>
        </w:rPr>
        <w:t>Tieto</w:t>
      </w:r>
      <w:r w:rsidR="00CE3688">
        <w:rPr>
          <w:szCs w:val="22"/>
        </w:rPr>
        <w:t xml:space="preserve"> sa môžu vyskytnúť najmä na začiatku liečby, dochádza k nim v dôsledku zmien hladiny glykémie. </w:t>
      </w:r>
    </w:p>
    <w:p w:rsidR="00CE3688" w:rsidRDefault="00CE3688" w:rsidP="00CE3688">
      <w:pPr>
        <w:pStyle w:val="Zkladntext"/>
        <w:rPr>
          <w:szCs w:val="22"/>
          <w:u w:val="single"/>
        </w:rPr>
      </w:pPr>
    </w:p>
    <w:p w:rsidR="003F33E3" w:rsidRDefault="003F33E3" w:rsidP="00CE3688">
      <w:pPr>
        <w:pStyle w:val="Zkladntext"/>
        <w:rPr>
          <w:szCs w:val="22"/>
          <w:u w:val="single"/>
        </w:rPr>
      </w:pPr>
      <w:r>
        <w:rPr>
          <w:i/>
          <w:szCs w:val="22"/>
        </w:rPr>
        <w:t xml:space="preserve">Poruchy </w:t>
      </w:r>
      <w:proofErr w:type="spellStart"/>
      <w:r>
        <w:rPr>
          <w:i/>
          <w:szCs w:val="22"/>
        </w:rPr>
        <w:t>gastrointestinálneho</w:t>
      </w:r>
      <w:proofErr w:type="spellEnd"/>
      <w:r>
        <w:rPr>
          <w:i/>
          <w:szCs w:val="22"/>
        </w:rPr>
        <w:t xml:space="preserve"> traktu</w:t>
      </w:r>
    </w:p>
    <w:p w:rsidR="003F33E3" w:rsidRDefault="003F33E3" w:rsidP="00CE3688">
      <w:pPr>
        <w:pStyle w:val="Zkladntext"/>
        <w:rPr>
          <w:szCs w:val="22"/>
        </w:rPr>
      </w:pPr>
      <w:r w:rsidRPr="003F33E3">
        <w:rPr>
          <w:szCs w:val="22"/>
        </w:rPr>
        <w:t xml:space="preserve">Neznáme: </w:t>
      </w:r>
      <w:r>
        <w:rPr>
          <w:szCs w:val="22"/>
        </w:rPr>
        <w:t>B</w:t>
      </w:r>
      <w:r w:rsidR="00CE3688">
        <w:rPr>
          <w:szCs w:val="22"/>
        </w:rPr>
        <w:t>oles</w:t>
      </w:r>
      <w:r>
        <w:rPr>
          <w:szCs w:val="22"/>
        </w:rPr>
        <w:t>ť</w:t>
      </w:r>
      <w:r w:rsidR="00CE3688">
        <w:rPr>
          <w:szCs w:val="22"/>
        </w:rPr>
        <w:t xml:space="preserve"> brucha, nauze</w:t>
      </w:r>
      <w:r>
        <w:rPr>
          <w:szCs w:val="22"/>
        </w:rPr>
        <w:t>a</w:t>
      </w:r>
      <w:r w:rsidR="00CE3688">
        <w:rPr>
          <w:szCs w:val="22"/>
        </w:rPr>
        <w:t>, vracani</w:t>
      </w:r>
      <w:r>
        <w:rPr>
          <w:szCs w:val="22"/>
        </w:rPr>
        <w:t>e</w:t>
      </w:r>
      <w:r w:rsidR="00CE3688">
        <w:rPr>
          <w:szCs w:val="22"/>
        </w:rPr>
        <w:t xml:space="preserve">, </w:t>
      </w:r>
      <w:proofErr w:type="spellStart"/>
      <w:r w:rsidR="00CE3688">
        <w:rPr>
          <w:szCs w:val="22"/>
        </w:rPr>
        <w:t>dyspepsi</w:t>
      </w:r>
      <w:r>
        <w:rPr>
          <w:szCs w:val="22"/>
        </w:rPr>
        <w:t>a</w:t>
      </w:r>
      <w:proofErr w:type="spellEnd"/>
      <w:r w:rsidR="00CE3688">
        <w:rPr>
          <w:szCs w:val="22"/>
        </w:rPr>
        <w:t>, hnačk</w:t>
      </w:r>
      <w:r>
        <w:rPr>
          <w:szCs w:val="22"/>
        </w:rPr>
        <w:t>a</w:t>
      </w:r>
      <w:r w:rsidR="00CE3688">
        <w:rPr>
          <w:szCs w:val="22"/>
        </w:rPr>
        <w:t xml:space="preserve"> a</w:t>
      </w:r>
      <w:r>
        <w:rPr>
          <w:szCs w:val="22"/>
        </w:rPr>
        <w:t> </w:t>
      </w:r>
      <w:r w:rsidR="00CE3688">
        <w:rPr>
          <w:szCs w:val="22"/>
        </w:rPr>
        <w:t>zápch</w:t>
      </w:r>
      <w:r>
        <w:rPr>
          <w:szCs w:val="22"/>
        </w:rPr>
        <w:t>a</w:t>
      </w:r>
    </w:p>
    <w:p w:rsidR="00CE3688" w:rsidRDefault="003F33E3" w:rsidP="00CE3688">
      <w:pPr>
        <w:pStyle w:val="Zkladntext"/>
        <w:rPr>
          <w:szCs w:val="22"/>
        </w:rPr>
      </w:pPr>
      <w:r>
        <w:rPr>
          <w:szCs w:val="22"/>
        </w:rPr>
        <w:t>A</w:t>
      </w:r>
      <w:r w:rsidR="00CE3688">
        <w:rPr>
          <w:szCs w:val="22"/>
        </w:rPr>
        <w:t xml:space="preserve">k sa vyskytnú tieto nežiaduce účinky, možno sa im vyhnúť alebo ich možno minimalizovať tým, že sa </w:t>
      </w:r>
      <w:proofErr w:type="spellStart"/>
      <w:r w:rsidR="00CE3688">
        <w:rPr>
          <w:szCs w:val="22"/>
        </w:rPr>
        <w:t>gliklazid</w:t>
      </w:r>
      <w:proofErr w:type="spellEnd"/>
      <w:r w:rsidR="00CE3688">
        <w:rPr>
          <w:szCs w:val="22"/>
        </w:rPr>
        <w:t xml:space="preserve"> užíva počas raňajok. </w:t>
      </w:r>
    </w:p>
    <w:p w:rsidR="00CE3688" w:rsidRDefault="00CE3688" w:rsidP="00CE3688">
      <w:pPr>
        <w:pStyle w:val="Zkladntext"/>
        <w:rPr>
          <w:szCs w:val="22"/>
        </w:rPr>
      </w:pPr>
    </w:p>
    <w:p w:rsidR="00CE3688" w:rsidRPr="008E01F4" w:rsidRDefault="00CE3688" w:rsidP="003F33E3">
      <w:pPr>
        <w:pStyle w:val="Zkladntext"/>
        <w:rPr>
          <w:i/>
          <w:szCs w:val="22"/>
        </w:rPr>
      </w:pPr>
      <w:r>
        <w:rPr>
          <w:i/>
          <w:szCs w:val="22"/>
        </w:rPr>
        <w:t>Poruchy pečene a žlčových ciest</w:t>
      </w:r>
    </w:p>
    <w:p w:rsidR="003F33E3" w:rsidRDefault="003F33E3" w:rsidP="00CE3688">
      <w:pPr>
        <w:pStyle w:val="Zkladntext"/>
        <w:rPr>
          <w:szCs w:val="22"/>
        </w:rPr>
      </w:pPr>
      <w:r w:rsidRPr="003F33E3">
        <w:rPr>
          <w:szCs w:val="22"/>
        </w:rPr>
        <w:t xml:space="preserve">Neznáme: </w:t>
      </w:r>
      <w:r w:rsidR="00CE3688">
        <w:rPr>
          <w:szCs w:val="22"/>
        </w:rPr>
        <w:t xml:space="preserve">Zvýšené hladiny </w:t>
      </w:r>
      <w:proofErr w:type="spellStart"/>
      <w:r w:rsidR="00CE3688">
        <w:rPr>
          <w:szCs w:val="22"/>
        </w:rPr>
        <w:t>hepatálnych</w:t>
      </w:r>
      <w:proofErr w:type="spellEnd"/>
      <w:r w:rsidR="00CE3688">
        <w:rPr>
          <w:szCs w:val="22"/>
        </w:rPr>
        <w:t xml:space="preserve"> enzýmov (AST, ALT, alkalická </w:t>
      </w:r>
      <w:proofErr w:type="spellStart"/>
      <w:r w:rsidR="00CE3688">
        <w:rPr>
          <w:szCs w:val="22"/>
        </w:rPr>
        <w:t>fosfatáza</w:t>
      </w:r>
      <w:proofErr w:type="spellEnd"/>
      <w:r w:rsidR="00CE3688">
        <w:rPr>
          <w:szCs w:val="22"/>
        </w:rPr>
        <w:t xml:space="preserve">), hepatitída (ojedinelé prípady). </w:t>
      </w:r>
    </w:p>
    <w:p w:rsidR="00CE3688" w:rsidRDefault="00CE3688" w:rsidP="00CE3688">
      <w:pPr>
        <w:pStyle w:val="Zkladntext"/>
        <w:rPr>
          <w:szCs w:val="22"/>
        </w:rPr>
      </w:pPr>
      <w:r>
        <w:rPr>
          <w:szCs w:val="22"/>
        </w:rPr>
        <w:t xml:space="preserve">Ak sa objaví </w:t>
      </w:r>
      <w:proofErr w:type="spellStart"/>
      <w:r>
        <w:rPr>
          <w:szCs w:val="22"/>
        </w:rPr>
        <w:t>cholestatický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ikterus</w:t>
      </w:r>
      <w:proofErr w:type="spellEnd"/>
      <w:r>
        <w:rPr>
          <w:szCs w:val="22"/>
        </w:rPr>
        <w:t>, prerušte liečbu.</w:t>
      </w:r>
      <w:r w:rsidR="003F33E3">
        <w:rPr>
          <w:szCs w:val="22"/>
        </w:rPr>
        <w:t xml:space="preserve"> </w:t>
      </w:r>
      <w:r>
        <w:rPr>
          <w:szCs w:val="22"/>
        </w:rPr>
        <w:t xml:space="preserve">Tieto symptómy zvyčajne vymiznú po prerušení liečby. </w:t>
      </w:r>
    </w:p>
    <w:p w:rsidR="00CE3688" w:rsidRDefault="00CE3688" w:rsidP="00CE3688">
      <w:pPr>
        <w:pStyle w:val="Zkladntext"/>
        <w:rPr>
          <w:szCs w:val="22"/>
        </w:rPr>
      </w:pPr>
    </w:p>
    <w:p w:rsidR="00CE3688" w:rsidRPr="008E01F4" w:rsidRDefault="00CE3688" w:rsidP="003F33E3">
      <w:pPr>
        <w:pStyle w:val="Zkladntext"/>
        <w:rPr>
          <w:i/>
          <w:szCs w:val="22"/>
        </w:rPr>
      </w:pPr>
      <w:r w:rsidRPr="008E01F4">
        <w:rPr>
          <w:i/>
          <w:szCs w:val="22"/>
        </w:rPr>
        <w:t>Poruchy kože a podkožného tkaniva</w:t>
      </w:r>
    </w:p>
    <w:p w:rsidR="00CE3688" w:rsidRDefault="003F33E3" w:rsidP="00CE3688">
      <w:pPr>
        <w:pStyle w:val="Zkladntext"/>
        <w:rPr>
          <w:szCs w:val="22"/>
        </w:rPr>
      </w:pPr>
      <w:r w:rsidRPr="003F33E3">
        <w:rPr>
          <w:szCs w:val="22"/>
        </w:rPr>
        <w:t xml:space="preserve">Neznáme: </w:t>
      </w:r>
      <w:r w:rsidR="00CE3688">
        <w:rPr>
          <w:szCs w:val="22"/>
        </w:rPr>
        <w:t xml:space="preserve">Vyrážka, svrbenie, žihľavka, </w:t>
      </w:r>
      <w:proofErr w:type="spellStart"/>
      <w:r w:rsidR="00CE3688">
        <w:rPr>
          <w:szCs w:val="22"/>
        </w:rPr>
        <w:t>angioedém</w:t>
      </w:r>
      <w:proofErr w:type="spellEnd"/>
      <w:r w:rsidR="00CE3688">
        <w:rPr>
          <w:szCs w:val="22"/>
        </w:rPr>
        <w:t xml:space="preserve">, </w:t>
      </w:r>
      <w:proofErr w:type="spellStart"/>
      <w:r w:rsidR="00CE3688">
        <w:rPr>
          <w:szCs w:val="22"/>
        </w:rPr>
        <w:t>erytém</w:t>
      </w:r>
      <w:proofErr w:type="spellEnd"/>
      <w:r w:rsidR="00CE3688">
        <w:rPr>
          <w:szCs w:val="22"/>
        </w:rPr>
        <w:t xml:space="preserve">, </w:t>
      </w:r>
      <w:proofErr w:type="spellStart"/>
      <w:r w:rsidR="00CE3688">
        <w:rPr>
          <w:szCs w:val="22"/>
        </w:rPr>
        <w:t>makulopapulárne</w:t>
      </w:r>
      <w:proofErr w:type="spellEnd"/>
      <w:r w:rsidR="00CE3688">
        <w:rPr>
          <w:szCs w:val="22"/>
        </w:rPr>
        <w:t xml:space="preserve"> vyrážky, </w:t>
      </w:r>
      <w:proofErr w:type="spellStart"/>
      <w:r w:rsidR="00CE3688">
        <w:rPr>
          <w:szCs w:val="22"/>
        </w:rPr>
        <w:t>bulózne</w:t>
      </w:r>
      <w:proofErr w:type="spellEnd"/>
      <w:r w:rsidR="00CE3688">
        <w:rPr>
          <w:szCs w:val="22"/>
        </w:rPr>
        <w:t xml:space="preserve"> reakcie (ako je </w:t>
      </w:r>
      <w:proofErr w:type="spellStart"/>
      <w:r w:rsidR="00CE3688">
        <w:rPr>
          <w:szCs w:val="22"/>
        </w:rPr>
        <w:t>Stevensov-Johnsonov</w:t>
      </w:r>
      <w:proofErr w:type="spellEnd"/>
      <w:r w:rsidR="00CE3688">
        <w:rPr>
          <w:szCs w:val="22"/>
        </w:rPr>
        <w:t xml:space="preserve"> syndróm a toxická </w:t>
      </w:r>
      <w:proofErr w:type="spellStart"/>
      <w:r w:rsidR="00CE3688">
        <w:rPr>
          <w:szCs w:val="22"/>
        </w:rPr>
        <w:t>epidermálna</w:t>
      </w:r>
      <w:proofErr w:type="spellEnd"/>
      <w:r w:rsidR="00CE3688">
        <w:rPr>
          <w:szCs w:val="22"/>
        </w:rPr>
        <w:t xml:space="preserve"> </w:t>
      </w:r>
      <w:proofErr w:type="spellStart"/>
      <w:r w:rsidR="00CE3688">
        <w:rPr>
          <w:szCs w:val="22"/>
        </w:rPr>
        <w:t>nekrolýza</w:t>
      </w:r>
      <w:proofErr w:type="spellEnd"/>
      <w:r w:rsidR="00CE3688">
        <w:rPr>
          <w:szCs w:val="22"/>
        </w:rPr>
        <w:t>)</w:t>
      </w:r>
      <w:r w:rsidR="009A3B7B" w:rsidRPr="009A3B7B">
        <w:rPr>
          <w:szCs w:val="22"/>
        </w:rPr>
        <w:t xml:space="preserve"> </w:t>
      </w:r>
      <w:r w:rsidR="009A3B7B" w:rsidRPr="00714D21">
        <w:rPr>
          <w:szCs w:val="22"/>
        </w:rPr>
        <w:t>a výnimočne lieková vyrážka s </w:t>
      </w:r>
      <w:proofErr w:type="spellStart"/>
      <w:r w:rsidR="009A3B7B" w:rsidRPr="00714D21">
        <w:rPr>
          <w:szCs w:val="22"/>
        </w:rPr>
        <w:t>eozinofíliou</w:t>
      </w:r>
      <w:proofErr w:type="spellEnd"/>
      <w:r w:rsidR="009A3B7B" w:rsidRPr="00714D21">
        <w:rPr>
          <w:szCs w:val="22"/>
        </w:rPr>
        <w:t xml:space="preserve"> a systémovými príznakmi (DRESS)</w:t>
      </w:r>
      <w:r w:rsidR="00CE3688">
        <w:rPr>
          <w:szCs w:val="22"/>
        </w:rPr>
        <w:t xml:space="preserve">. </w:t>
      </w:r>
    </w:p>
    <w:p w:rsidR="00CE3688" w:rsidRDefault="00CE3688" w:rsidP="00CE3688">
      <w:pPr>
        <w:pStyle w:val="Zkladntext"/>
        <w:rPr>
          <w:szCs w:val="22"/>
        </w:rPr>
      </w:pPr>
    </w:p>
    <w:p w:rsidR="00CE3688" w:rsidRPr="00BA418E" w:rsidRDefault="00CE3688" w:rsidP="009A3B7B">
      <w:pPr>
        <w:pStyle w:val="Zkladntext"/>
        <w:rPr>
          <w:i/>
          <w:szCs w:val="22"/>
        </w:rPr>
      </w:pPr>
      <w:r w:rsidRPr="00BA418E">
        <w:rPr>
          <w:i/>
          <w:szCs w:val="22"/>
        </w:rPr>
        <w:t>Účinky súvisiace s liekovou triedou</w:t>
      </w:r>
    </w:p>
    <w:p w:rsidR="00CE3688" w:rsidRDefault="00CE3688" w:rsidP="00CE3688">
      <w:pPr>
        <w:ind w:left="0" w:firstLine="0"/>
        <w:rPr>
          <w:szCs w:val="22"/>
        </w:rPr>
      </w:pPr>
      <w:r>
        <w:rPr>
          <w:szCs w:val="22"/>
        </w:rPr>
        <w:t xml:space="preserve">Ako u iných derivátov </w:t>
      </w:r>
      <w:proofErr w:type="spellStart"/>
      <w:r>
        <w:rPr>
          <w:szCs w:val="22"/>
        </w:rPr>
        <w:t>sulfonylurey</w:t>
      </w:r>
      <w:proofErr w:type="spellEnd"/>
      <w:r>
        <w:rPr>
          <w:szCs w:val="22"/>
        </w:rPr>
        <w:t xml:space="preserve"> boli popísané nasledujúce nežiaduce udalosti: prípady </w:t>
      </w:r>
      <w:proofErr w:type="spellStart"/>
      <w:r>
        <w:rPr>
          <w:szCs w:val="22"/>
        </w:rPr>
        <w:t>erytrocytopénie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agranulocytózy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hemolytickej</w:t>
      </w:r>
      <w:proofErr w:type="spellEnd"/>
      <w:r>
        <w:rPr>
          <w:szCs w:val="22"/>
        </w:rPr>
        <w:t xml:space="preserve"> anémie, </w:t>
      </w:r>
      <w:proofErr w:type="spellStart"/>
      <w:r>
        <w:rPr>
          <w:szCs w:val="22"/>
        </w:rPr>
        <w:t>pancytopénie</w:t>
      </w:r>
      <w:proofErr w:type="spellEnd"/>
      <w:r>
        <w:rPr>
          <w:szCs w:val="22"/>
        </w:rPr>
        <w:t xml:space="preserve"> a alergickej </w:t>
      </w:r>
      <w:proofErr w:type="spellStart"/>
      <w:r>
        <w:rPr>
          <w:szCs w:val="22"/>
        </w:rPr>
        <w:t>vaskulitídy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hyponatriémie</w:t>
      </w:r>
      <w:proofErr w:type="spellEnd"/>
      <w:r>
        <w:rPr>
          <w:szCs w:val="22"/>
        </w:rPr>
        <w:t>, zvýšené hladiny pečeňových enzýmov, a dokonca aj poruchy funkcie pečene (</w:t>
      </w:r>
      <w:r w:rsidRPr="00BA418E">
        <w:rPr>
          <w:szCs w:val="22"/>
        </w:rPr>
        <w:t>napr.</w:t>
      </w:r>
      <w:r>
        <w:rPr>
          <w:szCs w:val="22"/>
        </w:rPr>
        <w:t xml:space="preserve"> s </w:t>
      </w:r>
      <w:proofErr w:type="spellStart"/>
      <w:r>
        <w:rPr>
          <w:szCs w:val="22"/>
        </w:rPr>
        <w:t>cholestázou</w:t>
      </w:r>
      <w:proofErr w:type="spellEnd"/>
      <w:r>
        <w:rPr>
          <w:szCs w:val="22"/>
        </w:rPr>
        <w:t xml:space="preserve"> a </w:t>
      </w:r>
      <w:proofErr w:type="spellStart"/>
      <w:r>
        <w:rPr>
          <w:szCs w:val="22"/>
        </w:rPr>
        <w:t>ikterom</w:t>
      </w:r>
      <w:proofErr w:type="spellEnd"/>
      <w:r>
        <w:rPr>
          <w:szCs w:val="22"/>
        </w:rPr>
        <w:t xml:space="preserve">) a hepatitídy, ktoré ustúpili po prerušení podávania derivátu </w:t>
      </w:r>
      <w:proofErr w:type="spellStart"/>
      <w:r>
        <w:rPr>
          <w:szCs w:val="22"/>
        </w:rPr>
        <w:t>sulfonylurey</w:t>
      </w:r>
      <w:proofErr w:type="spellEnd"/>
      <w:r>
        <w:rPr>
          <w:szCs w:val="22"/>
        </w:rPr>
        <w:t xml:space="preserve"> alebo v ojedinelých prípadoch viedli k život ohrozujúcemu zlyhaniu pečene.</w:t>
      </w:r>
    </w:p>
    <w:p w:rsidR="00DA440A" w:rsidRDefault="00DA440A" w:rsidP="003656FD">
      <w:pPr>
        <w:pStyle w:val="Zkladntext"/>
        <w:rPr>
          <w:iCs/>
          <w:szCs w:val="22"/>
          <w:u w:val="single"/>
        </w:rPr>
      </w:pPr>
    </w:p>
    <w:p w:rsidR="00CE3688" w:rsidRDefault="00C4279F" w:rsidP="003656FD">
      <w:pPr>
        <w:pStyle w:val="Zkladntext"/>
        <w:rPr>
          <w:iCs/>
          <w:szCs w:val="22"/>
          <w:u w:val="single"/>
        </w:rPr>
      </w:pPr>
      <w:r>
        <w:rPr>
          <w:iCs/>
          <w:szCs w:val="22"/>
          <w:u w:val="single"/>
        </w:rPr>
        <w:t>Opis vybraných nežiaducich účinkov</w:t>
      </w:r>
    </w:p>
    <w:p w:rsidR="00CE3688" w:rsidRDefault="00CE3688" w:rsidP="003656FD">
      <w:pPr>
        <w:pStyle w:val="Zkladntext"/>
        <w:rPr>
          <w:iCs/>
          <w:szCs w:val="22"/>
          <w:u w:val="single"/>
        </w:rPr>
      </w:pPr>
    </w:p>
    <w:p w:rsidR="003656FD" w:rsidRDefault="003656FD" w:rsidP="003656FD">
      <w:pPr>
        <w:pStyle w:val="Zkladntext"/>
        <w:rPr>
          <w:iCs/>
          <w:szCs w:val="22"/>
          <w:u w:val="single"/>
        </w:rPr>
      </w:pPr>
      <w:proofErr w:type="spellStart"/>
      <w:r w:rsidRPr="00C4279F">
        <w:rPr>
          <w:i/>
          <w:iCs/>
          <w:szCs w:val="22"/>
        </w:rPr>
        <w:t>Hypoglykémia</w:t>
      </w:r>
      <w:proofErr w:type="spellEnd"/>
      <w:r>
        <w:rPr>
          <w:iCs/>
          <w:szCs w:val="22"/>
          <w:u w:val="single"/>
        </w:rPr>
        <w:t xml:space="preserve"> </w:t>
      </w:r>
    </w:p>
    <w:p w:rsidR="003656FD" w:rsidRPr="003656FD" w:rsidRDefault="003656FD" w:rsidP="003656FD">
      <w:pPr>
        <w:pStyle w:val="Zkladntext"/>
        <w:rPr>
          <w:bCs/>
          <w:szCs w:val="22"/>
        </w:rPr>
      </w:pPr>
    </w:p>
    <w:p w:rsidR="003656FD" w:rsidRDefault="003656FD" w:rsidP="003656FD">
      <w:pPr>
        <w:ind w:left="0" w:firstLine="0"/>
        <w:rPr>
          <w:szCs w:val="22"/>
        </w:rPr>
      </w:pPr>
      <w:r>
        <w:rPr>
          <w:szCs w:val="22"/>
        </w:rPr>
        <w:t xml:space="preserve">Liečba </w:t>
      </w:r>
      <w:proofErr w:type="spellStart"/>
      <w:r w:rsidRPr="009026CA">
        <w:rPr>
          <w:color w:val="000000"/>
        </w:rPr>
        <w:t>Gliklazid</w:t>
      </w:r>
      <w:r>
        <w:rPr>
          <w:color w:val="000000"/>
        </w:rPr>
        <w:t>om</w:t>
      </w:r>
      <w:proofErr w:type="spellEnd"/>
      <w:r w:rsidRPr="009026CA">
        <w:rPr>
          <w:color w:val="000000"/>
        </w:rPr>
        <w:t xml:space="preserve"> </w:t>
      </w:r>
      <w:proofErr w:type="spellStart"/>
      <w:r w:rsidRPr="009026CA">
        <w:rPr>
          <w:color w:val="000000"/>
        </w:rPr>
        <w:t>Sandoz</w:t>
      </w:r>
      <w:proofErr w:type="spellEnd"/>
      <w:r>
        <w:rPr>
          <w:szCs w:val="22"/>
        </w:rPr>
        <w:t xml:space="preserve">, podobne ako liečba inými derivátmi </w:t>
      </w:r>
      <w:proofErr w:type="spellStart"/>
      <w:r>
        <w:rPr>
          <w:szCs w:val="22"/>
        </w:rPr>
        <w:t>sulfonylurey</w:t>
      </w:r>
      <w:proofErr w:type="spellEnd"/>
      <w:r>
        <w:rPr>
          <w:szCs w:val="22"/>
        </w:rPr>
        <w:t xml:space="preserve">, môže spôsobiť </w:t>
      </w:r>
      <w:proofErr w:type="spellStart"/>
      <w:r>
        <w:rPr>
          <w:szCs w:val="22"/>
        </w:rPr>
        <w:t>hypoglykémiu</w:t>
      </w:r>
      <w:proofErr w:type="spellEnd"/>
      <w:r>
        <w:rPr>
          <w:szCs w:val="22"/>
        </w:rPr>
        <w:t xml:space="preserve">, ak sa pacient stravuje nepravidelne a najmä ak dochádza k vynechaniu jedla. Možné príznaky </w:t>
      </w:r>
      <w:proofErr w:type="spellStart"/>
      <w:r>
        <w:rPr>
          <w:szCs w:val="22"/>
        </w:rPr>
        <w:t>hypoglykémie</w:t>
      </w:r>
      <w:proofErr w:type="spellEnd"/>
      <w:r>
        <w:rPr>
          <w:szCs w:val="22"/>
        </w:rPr>
        <w:t xml:space="preserve"> sú: bolesť hlavy, intenzívny pocit hladu, nauzea, vracanie, malátnosť, poruchy spánku, nepokoj, agresívne správanie, poruchy koncentrácie, znížená vnímavosť a spomalené reakcie, depresia, zmätenosť, vizuálne poruchy a poruchy reči, afázia, </w:t>
      </w:r>
      <w:proofErr w:type="spellStart"/>
      <w:r>
        <w:rPr>
          <w:szCs w:val="22"/>
        </w:rPr>
        <w:t>tremor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paréza</w:t>
      </w:r>
      <w:proofErr w:type="spellEnd"/>
      <w:r>
        <w:rPr>
          <w:szCs w:val="22"/>
        </w:rPr>
        <w:t xml:space="preserve">, zmyslové poruchy, </w:t>
      </w:r>
      <w:r>
        <w:rPr>
          <w:szCs w:val="22"/>
        </w:rPr>
        <w:lastRenderedPageBreak/>
        <w:t>závraty, pocit slabosti, strata sebakontroly, delírium, kŕče, plytké dýchanie, bradykardia, ospalosť a strata vedomia s možnosťou prechodu do kómy a letálneho konca.</w:t>
      </w:r>
    </w:p>
    <w:p w:rsidR="003656FD" w:rsidRDefault="003656FD" w:rsidP="003656FD">
      <w:pPr>
        <w:pStyle w:val="Zkladntext"/>
        <w:rPr>
          <w:szCs w:val="22"/>
        </w:rPr>
      </w:pPr>
      <w:r>
        <w:rPr>
          <w:szCs w:val="22"/>
        </w:rPr>
        <w:t xml:space="preserve">Okrem toho možno pozorovať prejavy </w:t>
      </w:r>
      <w:proofErr w:type="spellStart"/>
      <w:r>
        <w:rPr>
          <w:szCs w:val="22"/>
        </w:rPr>
        <w:t>adrenergnej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kontraregulácie</w:t>
      </w:r>
      <w:proofErr w:type="spellEnd"/>
      <w:r>
        <w:rPr>
          <w:szCs w:val="22"/>
        </w:rPr>
        <w:t xml:space="preserve">: potenie, vlhká pokožka, úzkosť, </w:t>
      </w:r>
      <w:proofErr w:type="spellStart"/>
      <w:r>
        <w:rPr>
          <w:szCs w:val="22"/>
        </w:rPr>
        <w:t>tachykardia</w:t>
      </w:r>
      <w:proofErr w:type="spellEnd"/>
      <w:r>
        <w:rPr>
          <w:szCs w:val="22"/>
        </w:rPr>
        <w:t xml:space="preserve">, hypertenzia, </w:t>
      </w:r>
      <w:proofErr w:type="spellStart"/>
      <w:r>
        <w:rPr>
          <w:szCs w:val="22"/>
        </w:rPr>
        <w:t>palpitácie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angina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pectoris</w:t>
      </w:r>
      <w:proofErr w:type="spellEnd"/>
      <w:r>
        <w:rPr>
          <w:szCs w:val="22"/>
        </w:rPr>
        <w:t xml:space="preserve"> a srdcová </w:t>
      </w:r>
      <w:proofErr w:type="spellStart"/>
      <w:r>
        <w:rPr>
          <w:szCs w:val="22"/>
        </w:rPr>
        <w:t>arytmia</w:t>
      </w:r>
      <w:proofErr w:type="spellEnd"/>
      <w:r>
        <w:rPr>
          <w:szCs w:val="22"/>
        </w:rPr>
        <w:t xml:space="preserve">. </w:t>
      </w:r>
    </w:p>
    <w:p w:rsidR="003656FD" w:rsidRDefault="003656FD" w:rsidP="003656FD">
      <w:pPr>
        <w:pStyle w:val="Zkladntext"/>
        <w:rPr>
          <w:szCs w:val="22"/>
        </w:rPr>
      </w:pPr>
      <w:r>
        <w:rPr>
          <w:szCs w:val="22"/>
        </w:rPr>
        <w:t xml:space="preserve">Tieto príznaky zvyčajne vymiznú po podaní sacharidov (cukor). Umelé sladidlá sú však neúčinné. Skúsenosť s inými derivátmi </w:t>
      </w:r>
      <w:proofErr w:type="spellStart"/>
      <w:r>
        <w:rPr>
          <w:szCs w:val="22"/>
        </w:rPr>
        <w:t>sulfonylurey</w:t>
      </w:r>
      <w:proofErr w:type="spellEnd"/>
      <w:r>
        <w:rPr>
          <w:szCs w:val="22"/>
        </w:rPr>
        <w:t xml:space="preserve"> ukazuje, že </w:t>
      </w:r>
      <w:proofErr w:type="spellStart"/>
      <w:r>
        <w:rPr>
          <w:szCs w:val="22"/>
        </w:rPr>
        <w:t>hypoglykémia</w:t>
      </w:r>
      <w:proofErr w:type="spellEnd"/>
      <w:r>
        <w:rPr>
          <w:szCs w:val="22"/>
        </w:rPr>
        <w:t xml:space="preserve"> sa môže objaviť znova i napriek počiatočnej účinnosti príslušných opatrení. </w:t>
      </w:r>
    </w:p>
    <w:p w:rsidR="003656FD" w:rsidRDefault="003656FD" w:rsidP="003656FD">
      <w:pPr>
        <w:pStyle w:val="Zkladntext"/>
        <w:rPr>
          <w:szCs w:val="22"/>
        </w:rPr>
      </w:pPr>
      <w:r>
        <w:rPr>
          <w:szCs w:val="22"/>
        </w:rPr>
        <w:t xml:space="preserve">Ak má </w:t>
      </w:r>
      <w:proofErr w:type="spellStart"/>
      <w:r>
        <w:rPr>
          <w:szCs w:val="22"/>
        </w:rPr>
        <w:t>hypoglykemická</w:t>
      </w:r>
      <w:proofErr w:type="spellEnd"/>
      <w:r>
        <w:rPr>
          <w:szCs w:val="22"/>
        </w:rPr>
        <w:t xml:space="preserve"> príhoda </w:t>
      </w:r>
      <w:r w:rsidR="00F23E92">
        <w:rPr>
          <w:szCs w:val="22"/>
        </w:rPr>
        <w:t>závažný</w:t>
      </w:r>
      <w:r>
        <w:rPr>
          <w:szCs w:val="22"/>
        </w:rPr>
        <w:t xml:space="preserve"> alebo zdĺhavý priebeh, </w:t>
      </w:r>
      <w:r w:rsidR="00552861">
        <w:rPr>
          <w:szCs w:val="22"/>
        </w:rPr>
        <w:t xml:space="preserve">tak </w:t>
      </w:r>
      <w:r>
        <w:rPr>
          <w:szCs w:val="22"/>
        </w:rPr>
        <w:t>je aj napriek dočasnej kontrole stavu podaním cukru potrebná okamžitá medikamentózna liečba alebo hospitalizácia.</w:t>
      </w:r>
    </w:p>
    <w:p w:rsidR="00552861" w:rsidRDefault="00552861" w:rsidP="003656FD">
      <w:pPr>
        <w:pStyle w:val="Zkladntext"/>
        <w:rPr>
          <w:szCs w:val="22"/>
        </w:rPr>
      </w:pPr>
    </w:p>
    <w:p w:rsidR="00BB0506" w:rsidRPr="00405EB6" w:rsidRDefault="00BB0506" w:rsidP="00BB0506">
      <w:pPr>
        <w:widowControl w:val="0"/>
        <w:ind w:left="0" w:firstLine="0"/>
        <w:rPr>
          <w:szCs w:val="22"/>
          <w:u w:val="single"/>
        </w:rPr>
      </w:pPr>
      <w:r w:rsidRPr="00405EB6">
        <w:rPr>
          <w:szCs w:val="22"/>
          <w:u w:val="single"/>
        </w:rPr>
        <w:t>Hlásenie podozrení na nežiaduce reakcie</w:t>
      </w:r>
    </w:p>
    <w:p w:rsidR="00BB0506" w:rsidRPr="00405EB6" w:rsidRDefault="00BB0506" w:rsidP="00BB0506">
      <w:pPr>
        <w:widowControl w:val="0"/>
        <w:ind w:left="0" w:firstLine="0"/>
        <w:rPr>
          <w:szCs w:val="22"/>
        </w:rPr>
      </w:pPr>
      <w:r w:rsidRPr="00405EB6">
        <w:rPr>
          <w:szCs w:val="22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AE2133" w:rsidRPr="00CD505D">
        <w:rPr>
          <w:szCs w:val="22"/>
        </w:rPr>
        <w:t xml:space="preserve">na </w:t>
      </w:r>
      <w:r w:rsidRPr="00405EB6">
        <w:rPr>
          <w:szCs w:val="22"/>
          <w:highlight w:val="lightGray"/>
        </w:rPr>
        <w:t xml:space="preserve">národné </w:t>
      </w:r>
      <w:r w:rsidR="00AE2133">
        <w:rPr>
          <w:szCs w:val="22"/>
          <w:highlight w:val="lightGray"/>
        </w:rPr>
        <w:t>centrum</w:t>
      </w:r>
      <w:r w:rsidR="00AE2133" w:rsidRPr="00405EB6">
        <w:rPr>
          <w:szCs w:val="22"/>
          <w:highlight w:val="lightGray"/>
        </w:rPr>
        <w:t xml:space="preserve"> </w:t>
      </w:r>
      <w:r w:rsidRPr="00405EB6">
        <w:rPr>
          <w:szCs w:val="22"/>
          <w:highlight w:val="lightGray"/>
        </w:rPr>
        <w:t>hlásenia uvedené v </w:t>
      </w:r>
      <w:hyperlink r:id="rId8" w:history="1">
        <w:r w:rsidRPr="00405EB6">
          <w:rPr>
            <w:rStyle w:val="Hypertextovprepojenie"/>
            <w:szCs w:val="22"/>
            <w:highlight w:val="lightGray"/>
          </w:rPr>
          <w:t>Prílohe V</w:t>
        </w:r>
      </w:hyperlink>
      <w:r w:rsidRPr="00405EB6">
        <w:rPr>
          <w:szCs w:val="22"/>
        </w:rPr>
        <w:t>.</w:t>
      </w:r>
    </w:p>
    <w:p w:rsidR="00BB0506" w:rsidRPr="00405EB6" w:rsidRDefault="00BB0506" w:rsidP="004C512E">
      <w:pPr>
        <w:widowControl w:val="0"/>
        <w:ind w:left="0" w:firstLine="0"/>
        <w:rPr>
          <w:szCs w:val="22"/>
          <w:u w:val="single"/>
        </w:rPr>
      </w:pPr>
    </w:p>
    <w:p w:rsidR="00780926" w:rsidRPr="00405EB6" w:rsidRDefault="00780926" w:rsidP="004C512E">
      <w:pPr>
        <w:numPr>
          <w:ilvl w:val="1"/>
          <w:numId w:val="14"/>
        </w:numPr>
        <w:rPr>
          <w:b/>
          <w:szCs w:val="22"/>
        </w:rPr>
      </w:pPr>
      <w:r w:rsidRPr="00405EB6">
        <w:rPr>
          <w:b/>
          <w:szCs w:val="22"/>
        </w:rPr>
        <w:t>Predávkovanie</w:t>
      </w:r>
    </w:p>
    <w:p w:rsidR="008C289C" w:rsidRPr="00405EB6" w:rsidRDefault="008C289C" w:rsidP="004C512E">
      <w:pPr>
        <w:ind w:left="0" w:firstLine="0"/>
        <w:rPr>
          <w:szCs w:val="22"/>
        </w:rPr>
      </w:pPr>
    </w:p>
    <w:p w:rsidR="00BA418E" w:rsidRPr="00714D21" w:rsidRDefault="00BA418E" w:rsidP="00BA418E">
      <w:pPr>
        <w:widowControl w:val="0"/>
        <w:ind w:left="0" w:firstLine="0"/>
        <w:rPr>
          <w:szCs w:val="22"/>
        </w:rPr>
      </w:pPr>
      <w:r w:rsidRPr="00714D21">
        <w:rPr>
          <w:szCs w:val="22"/>
        </w:rPr>
        <w:t xml:space="preserve">Predávkovanie derivátmi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 môže spôsobiť </w:t>
      </w:r>
      <w:proofErr w:type="spellStart"/>
      <w:r w:rsidRPr="00714D21">
        <w:rPr>
          <w:szCs w:val="22"/>
        </w:rPr>
        <w:t>hypoglykémiu</w:t>
      </w:r>
      <w:proofErr w:type="spellEnd"/>
      <w:r w:rsidRPr="00714D21">
        <w:rPr>
          <w:szCs w:val="22"/>
        </w:rPr>
        <w:t>.</w:t>
      </w:r>
    </w:p>
    <w:p w:rsidR="00BA418E" w:rsidRPr="00714D21" w:rsidRDefault="00BA418E" w:rsidP="00BA418E">
      <w:pPr>
        <w:widowControl w:val="0"/>
        <w:ind w:left="0" w:firstLine="0"/>
        <w:rPr>
          <w:szCs w:val="22"/>
        </w:rPr>
      </w:pPr>
      <w:r w:rsidRPr="00714D21">
        <w:rPr>
          <w:szCs w:val="22"/>
        </w:rPr>
        <w:t xml:space="preserve">Mierne príznaky </w:t>
      </w:r>
      <w:proofErr w:type="spellStart"/>
      <w:r w:rsidRPr="00714D21">
        <w:rPr>
          <w:szCs w:val="22"/>
        </w:rPr>
        <w:t>hypoglykémie</w:t>
      </w:r>
      <w:proofErr w:type="spellEnd"/>
      <w:r w:rsidRPr="00714D21">
        <w:rPr>
          <w:szCs w:val="22"/>
        </w:rPr>
        <w:t xml:space="preserve">, bez straty vedomia alebo neurologických prejavov sa musia upraviť príjmom sacharidov, úpravou dávky a/alebo zmenou stravy. </w:t>
      </w:r>
      <w:r w:rsidRPr="0042538A">
        <w:rPr>
          <w:szCs w:val="22"/>
          <w:u w:val="single"/>
        </w:rPr>
        <w:t>Prísne sledovanie</w:t>
      </w:r>
      <w:r w:rsidRPr="00714D21">
        <w:rPr>
          <w:szCs w:val="22"/>
        </w:rPr>
        <w:t xml:space="preserve"> má pokračovať, až kým si lekár nie je istý, že je pacient mimo nebezpečenstva.</w:t>
      </w:r>
    </w:p>
    <w:p w:rsidR="00BA418E" w:rsidRPr="00714D21" w:rsidRDefault="00BA418E" w:rsidP="00BA418E">
      <w:pPr>
        <w:widowControl w:val="0"/>
        <w:ind w:left="0" w:firstLine="0"/>
        <w:rPr>
          <w:szCs w:val="22"/>
        </w:rPr>
      </w:pPr>
      <w:r w:rsidRPr="00714D21">
        <w:rPr>
          <w:szCs w:val="22"/>
        </w:rPr>
        <w:t xml:space="preserve">Závažné </w:t>
      </w:r>
      <w:proofErr w:type="spellStart"/>
      <w:r w:rsidRPr="00714D21">
        <w:rPr>
          <w:szCs w:val="22"/>
        </w:rPr>
        <w:t>hypoglykemické</w:t>
      </w:r>
      <w:proofErr w:type="spellEnd"/>
      <w:r w:rsidRPr="00714D21">
        <w:rPr>
          <w:szCs w:val="22"/>
        </w:rPr>
        <w:t xml:space="preserve"> reakcie s kómou, </w:t>
      </w:r>
      <w:r w:rsidRPr="0005723F">
        <w:rPr>
          <w:szCs w:val="22"/>
        </w:rPr>
        <w:t>kŕčmi</w:t>
      </w:r>
      <w:r w:rsidRPr="00714D21">
        <w:rPr>
          <w:szCs w:val="22"/>
        </w:rPr>
        <w:t xml:space="preserve"> alebo inými neurologickými poruchami sú možné a musia sa liečiť ako akútny stav vyžadujúci okamžitú hospitalizáciu.</w:t>
      </w:r>
    </w:p>
    <w:p w:rsidR="00BA418E" w:rsidRPr="00714D21" w:rsidRDefault="00BA418E" w:rsidP="00BA418E">
      <w:pPr>
        <w:widowControl w:val="0"/>
        <w:ind w:left="0" w:firstLine="0"/>
        <w:rPr>
          <w:szCs w:val="22"/>
        </w:rPr>
      </w:pPr>
      <w:r w:rsidRPr="00714D21">
        <w:rPr>
          <w:szCs w:val="22"/>
        </w:rPr>
        <w:t xml:space="preserve">Ak je diagnostikovaná alebo je podozrenie na </w:t>
      </w:r>
      <w:proofErr w:type="spellStart"/>
      <w:r w:rsidRPr="00714D21">
        <w:rPr>
          <w:szCs w:val="22"/>
        </w:rPr>
        <w:t>hypoglykemickú</w:t>
      </w:r>
      <w:proofErr w:type="spellEnd"/>
      <w:r w:rsidRPr="00714D21">
        <w:rPr>
          <w:szCs w:val="22"/>
        </w:rPr>
        <w:t xml:space="preserve"> kómu, pacientovi sa má rýchlo podať </w:t>
      </w:r>
      <w:proofErr w:type="spellStart"/>
      <w:r w:rsidRPr="00714D21">
        <w:rPr>
          <w:szCs w:val="22"/>
        </w:rPr>
        <w:t>i.v</w:t>
      </w:r>
      <w:proofErr w:type="spellEnd"/>
      <w:r w:rsidRPr="00714D21">
        <w:rPr>
          <w:szCs w:val="22"/>
        </w:rPr>
        <w:t>. injekcia 50 ml koncentrovaného roztoku glukózy (20 až 30</w:t>
      </w:r>
      <w:r w:rsidR="005C640A">
        <w:rPr>
          <w:szCs w:val="22"/>
        </w:rPr>
        <w:t> </w:t>
      </w:r>
      <w:r w:rsidRPr="00714D21">
        <w:rPr>
          <w:szCs w:val="22"/>
        </w:rPr>
        <w:t>%). Za ňou má nasledovať kontinuálna infúzia menej koncentrovaného roztoku glukózy (10</w:t>
      </w:r>
      <w:r w:rsidR="005C640A">
        <w:rPr>
          <w:szCs w:val="22"/>
        </w:rPr>
        <w:t> </w:t>
      </w:r>
      <w:r w:rsidRPr="00714D21">
        <w:rPr>
          <w:szCs w:val="22"/>
        </w:rPr>
        <w:t xml:space="preserve">%) rýchlosťou, ktorá udrží hladiny glykémie nad 1 g/l. Pacienti majú byť dôkladne </w:t>
      </w:r>
      <w:r w:rsidR="005C640A">
        <w:rPr>
          <w:szCs w:val="22"/>
        </w:rPr>
        <w:t>sledovaní</w:t>
      </w:r>
      <w:r w:rsidRPr="00714D21">
        <w:rPr>
          <w:szCs w:val="22"/>
        </w:rPr>
        <w:t xml:space="preserve"> a potom v závislosti od stavu pacienta lekár rozhodne o nutnosti ďalšieho </w:t>
      </w:r>
      <w:r w:rsidR="005C640A">
        <w:rPr>
          <w:szCs w:val="22"/>
        </w:rPr>
        <w:t>sledovania</w:t>
      </w:r>
      <w:r w:rsidRPr="00714D21">
        <w:rPr>
          <w:szCs w:val="22"/>
        </w:rPr>
        <w:t>.</w:t>
      </w:r>
    </w:p>
    <w:p w:rsidR="00BA418E" w:rsidRPr="00714D21" w:rsidRDefault="00BA418E" w:rsidP="00BA418E">
      <w:pPr>
        <w:widowControl w:val="0"/>
        <w:ind w:left="0" w:firstLine="0"/>
        <w:rPr>
          <w:szCs w:val="22"/>
        </w:rPr>
      </w:pPr>
      <w:r w:rsidRPr="00714D21">
        <w:rPr>
          <w:szCs w:val="22"/>
        </w:rPr>
        <w:t xml:space="preserve">Dialýza je u týchto pacientov neúčinná kvôli silnej väzbe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na proteíny.</w:t>
      </w:r>
    </w:p>
    <w:p w:rsidR="00780926" w:rsidRDefault="00780926" w:rsidP="004C512E">
      <w:pPr>
        <w:rPr>
          <w:szCs w:val="22"/>
        </w:rPr>
      </w:pPr>
    </w:p>
    <w:p w:rsidR="0009724B" w:rsidRPr="00405EB6" w:rsidRDefault="0009724B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5.</w:t>
      </w:r>
      <w:r w:rsidRPr="00405EB6">
        <w:rPr>
          <w:b/>
          <w:szCs w:val="22"/>
        </w:rPr>
        <w:tab/>
        <w:t>FARMAKOLOGICKÉ VLASTNOSTI</w:t>
      </w:r>
    </w:p>
    <w:p w:rsidR="00780926" w:rsidRPr="00405EB6" w:rsidRDefault="00780926" w:rsidP="004C512E">
      <w:pPr>
        <w:rPr>
          <w:bCs/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5.1</w:t>
      </w:r>
      <w:r w:rsidRPr="00405EB6">
        <w:rPr>
          <w:b/>
          <w:szCs w:val="22"/>
        </w:rPr>
        <w:tab/>
      </w:r>
      <w:proofErr w:type="spellStart"/>
      <w:r w:rsidRPr="00405EB6">
        <w:rPr>
          <w:b/>
          <w:szCs w:val="22"/>
        </w:rPr>
        <w:t>Farmakodynamické</w:t>
      </w:r>
      <w:proofErr w:type="spellEnd"/>
      <w:r w:rsidRPr="00405EB6">
        <w:rPr>
          <w:b/>
          <w:szCs w:val="22"/>
        </w:rPr>
        <w:t xml:space="preserve"> vlastnosti</w:t>
      </w:r>
    </w:p>
    <w:p w:rsidR="00780926" w:rsidRPr="00405EB6" w:rsidRDefault="00780926" w:rsidP="004C512E">
      <w:pPr>
        <w:rPr>
          <w:szCs w:val="22"/>
        </w:rPr>
      </w:pPr>
    </w:p>
    <w:p w:rsidR="00F33512" w:rsidRPr="00714D21" w:rsidRDefault="00F33512" w:rsidP="00F3351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Farmakoterapeutická</w:t>
      </w:r>
      <w:proofErr w:type="spellEnd"/>
      <w:r w:rsidRPr="00714D21">
        <w:rPr>
          <w:szCs w:val="22"/>
        </w:rPr>
        <w:t xml:space="preserve"> skupina:</w:t>
      </w:r>
      <w:r w:rsidR="00B70F19">
        <w:rPr>
          <w:szCs w:val="22"/>
        </w:rPr>
        <w:t xml:space="preserve"> </w:t>
      </w:r>
      <w:proofErr w:type="spellStart"/>
      <w:r w:rsidR="001F3AA5">
        <w:rPr>
          <w:szCs w:val="22"/>
        </w:rPr>
        <w:t>antidiabetiká</w:t>
      </w:r>
      <w:proofErr w:type="spellEnd"/>
      <w:r w:rsidR="001F3AA5">
        <w:rPr>
          <w:szCs w:val="22"/>
        </w:rPr>
        <w:t xml:space="preserve">, </w:t>
      </w:r>
      <w:proofErr w:type="spellStart"/>
      <w:r w:rsidR="00B70F19">
        <w:rPr>
          <w:szCs w:val="22"/>
        </w:rPr>
        <w:t>antidiabetiká</w:t>
      </w:r>
      <w:proofErr w:type="spellEnd"/>
      <w:r w:rsidR="00B70F19">
        <w:rPr>
          <w:szCs w:val="22"/>
        </w:rPr>
        <w:t xml:space="preserve"> s výnimkou inzulínov,</w:t>
      </w:r>
      <w:r w:rsidRPr="00714D21">
        <w:rPr>
          <w:szCs w:val="22"/>
        </w:rPr>
        <w:t xml:space="preserve"> </w:t>
      </w:r>
      <w:r w:rsidR="001F3AA5" w:rsidRPr="00714D21">
        <w:rPr>
          <w:szCs w:val="22"/>
        </w:rPr>
        <w:t xml:space="preserve">deriváty </w:t>
      </w:r>
      <w:proofErr w:type="spellStart"/>
      <w:r w:rsidRPr="00714D21">
        <w:rPr>
          <w:szCs w:val="22"/>
        </w:rPr>
        <w:t>sulf</w:t>
      </w:r>
      <w:r w:rsidR="001F3AA5">
        <w:rPr>
          <w:szCs w:val="22"/>
        </w:rPr>
        <w:t>o</w:t>
      </w:r>
      <w:r w:rsidRPr="00714D21">
        <w:rPr>
          <w:szCs w:val="22"/>
        </w:rPr>
        <w:t>n</w:t>
      </w:r>
      <w:r w:rsidR="001F3AA5">
        <w:rPr>
          <w:szCs w:val="22"/>
        </w:rPr>
        <w:t>yl</w:t>
      </w:r>
      <w:r w:rsidRPr="00714D21">
        <w:rPr>
          <w:szCs w:val="22"/>
        </w:rPr>
        <w:t>močoviny</w:t>
      </w:r>
      <w:proofErr w:type="spellEnd"/>
    </w:p>
    <w:p w:rsidR="00F33512" w:rsidRPr="00714D21" w:rsidRDefault="00F33512" w:rsidP="00F33512">
      <w:pPr>
        <w:pStyle w:val="Zkladntext"/>
        <w:rPr>
          <w:szCs w:val="22"/>
        </w:rPr>
      </w:pPr>
      <w:r w:rsidRPr="00714D21">
        <w:rPr>
          <w:szCs w:val="22"/>
        </w:rPr>
        <w:t>ATC kód: A10BB09</w:t>
      </w:r>
    </w:p>
    <w:p w:rsidR="00F33512" w:rsidRPr="00714D21" w:rsidRDefault="00F33512" w:rsidP="00F33512">
      <w:pPr>
        <w:pStyle w:val="Zkladntext"/>
        <w:rPr>
          <w:szCs w:val="22"/>
        </w:rPr>
      </w:pPr>
    </w:p>
    <w:p w:rsidR="00C4279F" w:rsidRPr="00714D21" w:rsidRDefault="00C4279F" w:rsidP="00C4279F">
      <w:pPr>
        <w:pStyle w:val="Zkladntext"/>
        <w:spacing w:before="120"/>
        <w:rPr>
          <w:szCs w:val="22"/>
          <w:u w:val="single"/>
        </w:rPr>
      </w:pPr>
      <w:r w:rsidRPr="00714D21">
        <w:rPr>
          <w:szCs w:val="22"/>
          <w:u w:val="single"/>
        </w:rPr>
        <w:t>Mechanizmus účinku</w:t>
      </w:r>
    </w:p>
    <w:p w:rsidR="00F33512" w:rsidRPr="00714D21" w:rsidRDefault="00F33512" w:rsidP="00F3351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je </w:t>
      </w:r>
      <w:proofErr w:type="spellStart"/>
      <w:r w:rsidRPr="00714D21">
        <w:rPr>
          <w:szCs w:val="22"/>
        </w:rPr>
        <w:t>hypoglykemi</w:t>
      </w:r>
      <w:r w:rsidR="00E64EB5">
        <w:rPr>
          <w:szCs w:val="22"/>
        </w:rPr>
        <w:t>zujúci</w:t>
      </w:r>
      <w:proofErr w:type="spellEnd"/>
      <w:r w:rsidRPr="00714D21">
        <w:rPr>
          <w:szCs w:val="22"/>
        </w:rPr>
        <w:t xml:space="preserve"> derivát </w:t>
      </w:r>
      <w:proofErr w:type="spellStart"/>
      <w:r w:rsidRPr="00714D21">
        <w:rPr>
          <w:szCs w:val="22"/>
        </w:rPr>
        <w:t>sulfonylurey</w:t>
      </w:r>
      <w:proofErr w:type="spellEnd"/>
      <w:r w:rsidRPr="00714D21">
        <w:rPr>
          <w:szCs w:val="22"/>
        </w:rPr>
        <w:t xml:space="preserve">, perorálne </w:t>
      </w:r>
      <w:proofErr w:type="spellStart"/>
      <w:r w:rsidRPr="00714D21">
        <w:rPr>
          <w:szCs w:val="22"/>
        </w:rPr>
        <w:t>antidiabetické</w:t>
      </w:r>
      <w:proofErr w:type="spellEnd"/>
      <w:r w:rsidRPr="00714D21">
        <w:rPr>
          <w:szCs w:val="22"/>
        </w:rPr>
        <w:t xml:space="preserve"> liečivo, ktoré sa od ostatných príbuzných zlúčenín odlišuje prítomnosťou dusík-obsahujúceho </w:t>
      </w:r>
      <w:proofErr w:type="spellStart"/>
      <w:r w:rsidRPr="00714D21">
        <w:rPr>
          <w:szCs w:val="22"/>
        </w:rPr>
        <w:t>heterocyklického</w:t>
      </w:r>
      <w:proofErr w:type="spellEnd"/>
      <w:r w:rsidRPr="00714D21">
        <w:rPr>
          <w:szCs w:val="22"/>
        </w:rPr>
        <w:t xml:space="preserve"> jadra s </w:t>
      </w:r>
      <w:proofErr w:type="spellStart"/>
      <w:r w:rsidRPr="00714D21">
        <w:rPr>
          <w:szCs w:val="22"/>
        </w:rPr>
        <w:t>endocyklickou</w:t>
      </w:r>
      <w:proofErr w:type="spellEnd"/>
      <w:r w:rsidRPr="00714D21">
        <w:rPr>
          <w:szCs w:val="22"/>
        </w:rPr>
        <w:t xml:space="preserve"> väzbou. </w:t>
      </w:r>
    </w:p>
    <w:p w:rsidR="00F33512" w:rsidRPr="00714D21" w:rsidRDefault="00F33512" w:rsidP="00F3351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znižuje hladin</w:t>
      </w:r>
      <w:r w:rsidR="00581A4F">
        <w:rPr>
          <w:szCs w:val="22"/>
        </w:rPr>
        <w:t>u</w:t>
      </w:r>
      <w:r w:rsidRPr="00714D21">
        <w:rPr>
          <w:szCs w:val="22"/>
        </w:rPr>
        <w:t xml:space="preserve"> gl</w:t>
      </w:r>
      <w:r w:rsidR="00581A4F">
        <w:rPr>
          <w:szCs w:val="22"/>
        </w:rPr>
        <w:t>ukózy</w:t>
      </w:r>
      <w:r w:rsidRPr="00714D21">
        <w:rPr>
          <w:szCs w:val="22"/>
        </w:rPr>
        <w:t xml:space="preserve"> </w:t>
      </w:r>
      <w:r w:rsidR="00581A4F">
        <w:rPr>
          <w:szCs w:val="22"/>
        </w:rPr>
        <w:t xml:space="preserve">v krvi </w:t>
      </w:r>
      <w:r w:rsidRPr="00714D21">
        <w:rPr>
          <w:szCs w:val="22"/>
        </w:rPr>
        <w:t xml:space="preserve">stimuláciou sekrécie inzulínu z β-buniek </w:t>
      </w:r>
      <w:proofErr w:type="spellStart"/>
      <w:r w:rsidRPr="00714D21">
        <w:rPr>
          <w:szCs w:val="22"/>
        </w:rPr>
        <w:t>Langerhansových</w:t>
      </w:r>
      <w:proofErr w:type="spellEnd"/>
      <w:r w:rsidRPr="00714D21">
        <w:rPr>
          <w:szCs w:val="22"/>
        </w:rPr>
        <w:t xml:space="preserve"> ostrovčekov. Zvýšenie </w:t>
      </w:r>
      <w:proofErr w:type="spellStart"/>
      <w:r w:rsidRPr="00714D21">
        <w:rPr>
          <w:szCs w:val="22"/>
        </w:rPr>
        <w:t>postprandiálnej</w:t>
      </w:r>
      <w:proofErr w:type="spellEnd"/>
      <w:r w:rsidRPr="00714D21">
        <w:rPr>
          <w:szCs w:val="22"/>
        </w:rPr>
        <w:t xml:space="preserve"> sekrécie inzulínu a C-</w:t>
      </w:r>
      <w:proofErr w:type="spellStart"/>
      <w:r w:rsidRPr="00714D21">
        <w:rPr>
          <w:szCs w:val="22"/>
        </w:rPr>
        <w:t>peptidu</w:t>
      </w:r>
      <w:proofErr w:type="spellEnd"/>
      <w:r w:rsidRPr="00714D21">
        <w:rPr>
          <w:szCs w:val="22"/>
        </w:rPr>
        <w:t xml:space="preserve"> pretrváva po dvoch rokoch liečby.</w:t>
      </w:r>
    </w:p>
    <w:p w:rsidR="00F33512" w:rsidRPr="00714D21" w:rsidRDefault="00F33512" w:rsidP="00F33512">
      <w:pPr>
        <w:pStyle w:val="Zkladntext"/>
        <w:rPr>
          <w:szCs w:val="22"/>
        </w:rPr>
      </w:pPr>
      <w:r w:rsidRPr="00714D21">
        <w:rPr>
          <w:szCs w:val="22"/>
        </w:rPr>
        <w:t xml:space="preserve">Okrem týchto metabolických vlastností má </w:t>
      </w: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aj </w:t>
      </w:r>
      <w:proofErr w:type="spellStart"/>
      <w:r w:rsidRPr="00714D21">
        <w:rPr>
          <w:szCs w:val="22"/>
        </w:rPr>
        <w:t>hemovaskulárne</w:t>
      </w:r>
      <w:proofErr w:type="spellEnd"/>
      <w:r w:rsidRPr="00714D21">
        <w:rPr>
          <w:szCs w:val="22"/>
        </w:rPr>
        <w:t xml:space="preserve"> vlastnosti.</w:t>
      </w:r>
    </w:p>
    <w:p w:rsidR="00F33512" w:rsidRDefault="00F33512" w:rsidP="00F33512">
      <w:pPr>
        <w:pStyle w:val="Zkladntext"/>
        <w:rPr>
          <w:szCs w:val="22"/>
        </w:rPr>
      </w:pPr>
    </w:p>
    <w:p w:rsidR="00C4279F" w:rsidRPr="00C4279F" w:rsidRDefault="001F3AA5" w:rsidP="00C4279F">
      <w:pPr>
        <w:pStyle w:val="Zkladntext"/>
        <w:spacing w:before="120"/>
        <w:rPr>
          <w:szCs w:val="22"/>
          <w:u w:val="single"/>
        </w:rPr>
      </w:pPr>
      <w:proofErr w:type="spellStart"/>
      <w:r>
        <w:rPr>
          <w:szCs w:val="22"/>
          <w:u w:val="single"/>
        </w:rPr>
        <w:t>Farmakodynamické</w:t>
      </w:r>
      <w:proofErr w:type="spellEnd"/>
      <w:r>
        <w:rPr>
          <w:szCs w:val="22"/>
          <w:u w:val="single"/>
        </w:rPr>
        <w:t xml:space="preserve"> účinky</w:t>
      </w:r>
    </w:p>
    <w:p w:rsidR="00C4279F" w:rsidRPr="00714D21" w:rsidRDefault="00C4279F" w:rsidP="00F33512">
      <w:pPr>
        <w:pStyle w:val="Zkladntext"/>
        <w:rPr>
          <w:szCs w:val="22"/>
        </w:rPr>
      </w:pPr>
    </w:p>
    <w:p w:rsidR="00F33512" w:rsidRPr="00C4279F" w:rsidRDefault="00F33512" w:rsidP="00F33512">
      <w:pPr>
        <w:pStyle w:val="Zkladntext"/>
        <w:rPr>
          <w:szCs w:val="22"/>
          <w:u w:val="single"/>
        </w:rPr>
      </w:pPr>
      <w:r w:rsidRPr="00C4279F">
        <w:rPr>
          <w:szCs w:val="22"/>
          <w:u w:val="single"/>
        </w:rPr>
        <w:t>Účinok na uvoľňovanie inzulínu</w:t>
      </w:r>
      <w:r w:rsidR="00C4279F">
        <w:rPr>
          <w:szCs w:val="22"/>
          <w:u w:val="single"/>
        </w:rPr>
        <w:t>:</w:t>
      </w:r>
    </w:p>
    <w:p w:rsidR="00F33512" w:rsidRDefault="00F33512" w:rsidP="00F33512">
      <w:pPr>
        <w:pStyle w:val="Zkladntext"/>
        <w:rPr>
          <w:szCs w:val="22"/>
        </w:rPr>
      </w:pPr>
      <w:r w:rsidRPr="00714D21">
        <w:rPr>
          <w:szCs w:val="22"/>
        </w:rPr>
        <w:t xml:space="preserve">Pri diabete 2. typu </w:t>
      </w: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obnovuje </w:t>
      </w:r>
      <w:r w:rsidRPr="00581A4F">
        <w:rPr>
          <w:szCs w:val="22"/>
        </w:rPr>
        <w:t>skorý pík inzulínovej sekrécie</w:t>
      </w:r>
      <w:r w:rsidRPr="00714D21">
        <w:rPr>
          <w:szCs w:val="22"/>
        </w:rPr>
        <w:t xml:space="preserve"> v odpovedi na glukózu a zvyšuje druhú fázu sekrécie inzulínu. Významné zvýšenie inzulínovej odpovede je pozorované v odozve na stimuláciu vyvolanú podaním jedla alebo glukózy.</w:t>
      </w:r>
    </w:p>
    <w:p w:rsidR="009F2CC2" w:rsidRPr="00F33512" w:rsidRDefault="009F2CC2" w:rsidP="00F33512">
      <w:pPr>
        <w:pStyle w:val="Zkladntext"/>
        <w:rPr>
          <w:szCs w:val="22"/>
        </w:rPr>
      </w:pPr>
    </w:p>
    <w:p w:rsidR="00F33512" w:rsidRPr="009F2CC2" w:rsidRDefault="00F33512" w:rsidP="00F33512">
      <w:pPr>
        <w:pStyle w:val="Zkladntext"/>
        <w:rPr>
          <w:szCs w:val="22"/>
          <w:u w:val="single"/>
        </w:rPr>
      </w:pPr>
      <w:proofErr w:type="spellStart"/>
      <w:r w:rsidRPr="009F2CC2">
        <w:rPr>
          <w:szCs w:val="22"/>
          <w:u w:val="single"/>
        </w:rPr>
        <w:t>Hemovaskulárne</w:t>
      </w:r>
      <w:proofErr w:type="spellEnd"/>
      <w:r w:rsidRPr="009F2CC2">
        <w:rPr>
          <w:szCs w:val="22"/>
          <w:u w:val="single"/>
        </w:rPr>
        <w:t xml:space="preserve"> vlastnosti:</w:t>
      </w:r>
    </w:p>
    <w:p w:rsidR="00F33512" w:rsidRPr="00714D21" w:rsidRDefault="00F33512" w:rsidP="00F33512">
      <w:pPr>
        <w:ind w:left="0" w:firstLine="0"/>
        <w:rPr>
          <w:szCs w:val="22"/>
        </w:rPr>
      </w:pPr>
      <w:proofErr w:type="spellStart"/>
      <w:r w:rsidRPr="00714D21">
        <w:rPr>
          <w:szCs w:val="22"/>
        </w:rPr>
        <w:lastRenderedPageBreak/>
        <w:t>Gliklazid</w:t>
      </w:r>
      <w:proofErr w:type="spellEnd"/>
      <w:r w:rsidRPr="00714D21">
        <w:rPr>
          <w:szCs w:val="22"/>
        </w:rPr>
        <w:t xml:space="preserve"> znižuje </w:t>
      </w:r>
      <w:proofErr w:type="spellStart"/>
      <w:r w:rsidRPr="00714D21">
        <w:rPr>
          <w:szCs w:val="22"/>
        </w:rPr>
        <w:t>mikrotrombózu</w:t>
      </w:r>
      <w:proofErr w:type="spellEnd"/>
      <w:r w:rsidRPr="00714D21">
        <w:rPr>
          <w:szCs w:val="22"/>
        </w:rPr>
        <w:t xml:space="preserve"> dvoma mechanizmami, ktoré môžu hrať úlohu pri komplikáciách diabetu:</w:t>
      </w:r>
    </w:p>
    <w:p w:rsidR="00F33512" w:rsidRPr="00714D21" w:rsidRDefault="00F33512" w:rsidP="009F2CC2">
      <w:pPr>
        <w:numPr>
          <w:ilvl w:val="0"/>
          <w:numId w:val="32"/>
        </w:numPr>
        <w:ind w:left="426" w:hanging="426"/>
        <w:rPr>
          <w:szCs w:val="22"/>
        </w:rPr>
      </w:pPr>
      <w:r w:rsidRPr="00714D21">
        <w:rPr>
          <w:szCs w:val="22"/>
        </w:rPr>
        <w:t xml:space="preserve">čiastočnou inhibíciou </w:t>
      </w:r>
      <w:proofErr w:type="spellStart"/>
      <w:r w:rsidRPr="00714D21">
        <w:rPr>
          <w:szCs w:val="22"/>
        </w:rPr>
        <w:t>agregácie</w:t>
      </w:r>
      <w:proofErr w:type="spellEnd"/>
      <w:r w:rsidRPr="00714D21">
        <w:rPr>
          <w:szCs w:val="22"/>
        </w:rPr>
        <w:t xml:space="preserve"> a adhézie trombocytov, so znížením </w:t>
      </w:r>
      <w:proofErr w:type="spellStart"/>
      <w:r w:rsidRPr="00714D21">
        <w:rPr>
          <w:szCs w:val="22"/>
        </w:rPr>
        <w:t>markerov</w:t>
      </w:r>
      <w:proofErr w:type="spellEnd"/>
      <w:r w:rsidRPr="00714D21">
        <w:rPr>
          <w:szCs w:val="22"/>
        </w:rPr>
        <w:t xml:space="preserve"> aktivácie trombocytov (beta-</w:t>
      </w:r>
      <w:proofErr w:type="spellStart"/>
      <w:r w:rsidRPr="00714D21">
        <w:rPr>
          <w:szCs w:val="22"/>
        </w:rPr>
        <w:t>tromboglobulín</w:t>
      </w:r>
      <w:proofErr w:type="spellEnd"/>
      <w:r w:rsidRPr="00714D21">
        <w:rPr>
          <w:szCs w:val="22"/>
        </w:rPr>
        <w:t xml:space="preserve">, </w:t>
      </w:r>
      <w:proofErr w:type="spellStart"/>
      <w:r w:rsidRPr="00714D21">
        <w:rPr>
          <w:szCs w:val="22"/>
        </w:rPr>
        <w:t>tromboxan</w:t>
      </w:r>
      <w:proofErr w:type="spellEnd"/>
      <w:r w:rsidRPr="00714D21">
        <w:rPr>
          <w:szCs w:val="22"/>
        </w:rPr>
        <w:t xml:space="preserve"> B</w:t>
      </w:r>
      <w:r w:rsidRPr="00714D21">
        <w:rPr>
          <w:szCs w:val="22"/>
          <w:vertAlign w:val="subscript"/>
        </w:rPr>
        <w:t>2</w:t>
      </w:r>
      <w:r w:rsidRPr="00714D21">
        <w:rPr>
          <w:szCs w:val="22"/>
        </w:rPr>
        <w:t>).</w:t>
      </w:r>
    </w:p>
    <w:p w:rsidR="00F33512" w:rsidRPr="00714D21" w:rsidRDefault="00F33512" w:rsidP="009F2CC2">
      <w:pPr>
        <w:pStyle w:val="Zarkazkladnhotextu2"/>
        <w:numPr>
          <w:ilvl w:val="0"/>
          <w:numId w:val="32"/>
        </w:numPr>
        <w:spacing w:after="0" w:line="240" w:lineRule="auto"/>
        <w:ind w:left="426" w:hanging="426"/>
        <w:rPr>
          <w:szCs w:val="22"/>
        </w:rPr>
      </w:pPr>
      <w:r w:rsidRPr="00714D21">
        <w:rPr>
          <w:szCs w:val="22"/>
        </w:rPr>
        <w:t xml:space="preserve">účinkom na </w:t>
      </w:r>
      <w:proofErr w:type="spellStart"/>
      <w:r w:rsidRPr="00714D21">
        <w:rPr>
          <w:szCs w:val="22"/>
        </w:rPr>
        <w:t>fibrinolytickú</w:t>
      </w:r>
      <w:proofErr w:type="spellEnd"/>
      <w:r w:rsidRPr="00714D21">
        <w:rPr>
          <w:szCs w:val="22"/>
        </w:rPr>
        <w:t xml:space="preserve"> aktivitu cievneho </w:t>
      </w:r>
      <w:proofErr w:type="spellStart"/>
      <w:r w:rsidRPr="00714D21">
        <w:rPr>
          <w:szCs w:val="22"/>
        </w:rPr>
        <w:t>endotelu</w:t>
      </w:r>
      <w:proofErr w:type="spellEnd"/>
      <w:r w:rsidRPr="00714D21">
        <w:rPr>
          <w:szCs w:val="22"/>
        </w:rPr>
        <w:t xml:space="preserve"> so zvýšením aktivity </w:t>
      </w:r>
      <w:proofErr w:type="spellStart"/>
      <w:r w:rsidRPr="00714D21">
        <w:rPr>
          <w:szCs w:val="22"/>
        </w:rPr>
        <w:t>tPA</w:t>
      </w:r>
      <w:proofErr w:type="spellEnd"/>
      <w:r w:rsidRPr="00714D21">
        <w:rPr>
          <w:szCs w:val="22"/>
        </w:rPr>
        <w:t>.</w:t>
      </w:r>
    </w:p>
    <w:p w:rsidR="005250F9" w:rsidRPr="00405EB6" w:rsidRDefault="005250F9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5.2</w:t>
      </w:r>
      <w:r w:rsidRPr="00405EB6">
        <w:rPr>
          <w:b/>
          <w:szCs w:val="22"/>
        </w:rPr>
        <w:tab/>
      </w:r>
      <w:proofErr w:type="spellStart"/>
      <w:r w:rsidRPr="00405EB6">
        <w:rPr>
          <w:b/>
          <w:szCs w:val="22"/>
        </w:rPr>
        <w:t>Farmakokinetické</w:t>
      </w:r>
      <w:proofErr w:type="spellEnd"/>
      <w:r w:rsidRPr="00405EB6">
        <w:rPr>
          <w:b/>
          <w:szCs w:val="22"/>
        </w:rPr>
        <w:t xml:space="preserve"> vlastnosti</w:t>
      </w:r>
    </w:p>
    <w:p w:rsidR="00E1698A" w:rsidRPr="00405EB6" w:rsidRDefault="00E1698A" w:rsidP="004C512E">
      <w:pPr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r w:rsidRPr="00714D21">
        <w:rPr>
          <w:szCs w:val="22"/>
          <w:u w:val="single"/>
        </w:rPr>
        <w:t>Absorpcia</w:t>
      </w:r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 xml:space="preserve">Plazmatické hladiny sa progresívne zvyšujú počas prvých 6 hodín, kým dosiahnu plató, ktoré sa udrží od šiestej do dvanástej hodiny po podaní. </w:t>
      </w:r>
    </w:p>
    <w:p w:rsidR="009F2CC2" w:rsidRPr="00714D21" w:rsidRDefault="009F2CC2" w:rsidP="009F2CC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Intraindividuálna</w:t>
      </w:r>
      <w:proofErr w:type="spellEnd"/>
      <w:r w:rsidRPr="00714D21">
        <w:rPr>
          <w:szCs w:val="22"/>
        </w:rPr>
        <w:t xml:space="preserve"> variabilita je nízka. </w:t>
      </w:r>
    </w:p>
    <w:p w:rsidR="009F2CC2" w:rsidRPr="00714D21" w:rsidRDefault="009F2CC2" w:rsidP="009F2CC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sa absorbuje úplne. Príjem potravy nemá vplyv na rýchlosť alebo stupeň absorpcie.</w:t>
      </w:r>
    </w:p>
    <w:p w:rsidR="009F2CC2" w:rsidRPr="00714D21" w:rsidRDefault="009F2CC2" w:rsidP="009F2CC2">
      <w:pPr>
        <w:pStyle w:val="Zkladntext"/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r w:rsidRPr="00714D21">
        <w:rPr>
          <w:szCs w:val="22"/>
          <w:u w:val="single"/>
        </w:rPr>
        <w:t>Distribúcia</w:t>
      </w:r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 xml:space="preserve">Väzba na plazmatické bielkoviny je približne 95 %. Distribučný objem je okolo 30 litrov. Jednorazová denná dávka </w:t>
      </w:r>
      <w:proofErr w:type="spellStart"/>
      <w:r>
        <w:rPr>
          <w:szCs w:val="22"/>
        </w:rPr>
        <w:t>Gliklazidu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Sandoz</w:t>
      </w:r>
      <w:proofErr w:type="spellEnd"/>
      <w:r w:rsidRPr="00714D21">
        <w:rPr>
          <w:szCs w:val="22"/>
        </w:rPr>
        <w:t xml:space="preserve"> udržiava účinné plazmatické koncentrácie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počas 24 hodín.</w:t>
      </w:r>
    </w:p>
    <w:p w:rsidR="009F2CC2" w:rsidRPr="00714D21" w:rsidRDefault="009F2CC2" w:rsidP="009F2CC2">
      <w:pPr>
        <w:pStyle w:val="Zkladntext"/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proofErr w:type="spellStart"/>
      <w:r w:rsidRPr="00714D21">
        <w:rPr>
          <w:szCs w:val="22"/>
          <w:u w:val="single"/>
        </w:rPr>
        <w:t>Biotransformácia</w:t>
      </w:r>
      <w:proofErr w:type="spellEnd"/>
    </w:p>
    <w:p w:rsidR="009F2CC2" w:rsidRPr="00714D21" w:rsidRDefault="009F2CC2" w:rsidP="009F2CC2">
      <w:pPr>
        <w:pStyle w:val="Zkladntext"/>
        <w:rPr>
          <w:szCs w:val="22"/>
        </w:rPr>
      </w:pPr>
      <w:proofErr w:type="spellStart"/>
      <w:r w:rsidRPr="00714D21">
        <w:rPr>
          <w:szCs w:val="22"/>
        </w:rPr>
        <w:t>Gliklazid</w:t>
      </w:r>
      <w:proofErr w:type="spellEnd"/>
      <w:r w:rsidRPr="00714D21">
        <w:rPr>
          <w:szCs w:val="22"/>
        </w:rPr>
        <w:t xml:space="preserve"> sa metabolizuje predovšetkým v pečeni a vylučuje sa močom: menej ako 1 % nezmenenej formy sa nachádza v moči. V plazme sa nezistila prítomnosť žiadnych aktívnych </w:t>
      </w:r>
      <w:proofErr w:type="spellStart"/>
      <w:r w:rsidRPr="00714D21">
        <w:rPr>
          <w:szCs w:val="22"/>
        </w:rPr>
        <w:t>metabolitov</w:t>
      </w:r>
      <w:proofErr w:type="spellEnd"/>
      <w:r w:rsidRPr="00714D21">
        <w:rPr>
          <w:szCs w:val="22"/>
        </w:rPr>
        <w:t xml:space="preserve">. </w:t>
      </w:r>
    </w:p>
    <w:p w:rsidR="009F2CC2" w:rsidRPr="00714D21" w:rsidRDefault="009F2CC2" w:rsidP="009F2CC2">
      <w:pPr>
        <w:pStyle w:val="Zkladntext"/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r w:rsidRPr="00714D21">
        <w:rPr>
          <w:szCs w:val="22"/>
          <w:u w:val="single"/>
        </w:rPr>
        <w:t>Eliminácia</w:t>
      </w:r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 xml:space="preserve">Eliminačný polčas </w:t>
      </w:r>
      <w:proofErr w:type="spellStart"/>
      <w:r w:rsidRPr="00714D21">
        <w:rPr>
          <w:szCs w:val="22"/>
        </w:rPr>
        <w:t>gliklazidu</w:t>
      </w:r>
      <w:proofErr w:type="spellEnd"/>
      <w:r w:rsidRPr="00714D21">
        <w:rPr>
          <w:szCs w:val="22"/>
        </w:rPr>
        <w:t xml:space="preserve"> sa pohybuje medzi 12 a 20 hodinami.</w:t>
      </w:r>
    </w:p>
    <w:p w:rsidR="009F2CC2" w:rsidRPr="00714D21" w:rsidRDefault="009F2CC2" w:rsidP="009F2CC2">
      <w:pPr>
        <w:pStyle w:val="Zkladntext"/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proofErr w:type="spellStart"/>
      <w:r w:rsidRPr="00714D21">
        <w:rPr>
          <w:szCs w:val="22"/>
          <w:u w:val="single"/>
        </w:rPr>
        <w:t>Linearita</w:t>
      </w:r>
      <w:proofErr w:type="spellEnd"/>
      <w:r w:rsidRPr="00714D21">
        <w:rPr>
          <w:szCs w:val="22"/>
          <w:u w:val="single"/>
        </w:rPr>
        <w:t>/</w:t>
      </w:r>
      <w:proofErr w:type="spellStart"/>
      <w:r w:rsidRPr="00714D21">
        <w:rPr>
          <w:szCs w:val="22"/>
          <w:u w:val="single"/>
        </w:rPr>
        <w:t>nelinearita</w:t>
      </w:r>
      <w:proofErr w:type="spellEnd"/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>Vzťah medzi podanou dávkou až do 120 mg a plochou pod koncentračnou krivkou je lineárny.</w:t>
      </w:r>
    </w:p>
    <w:p w:rsidR="009F2CC2" w:rsidRPr="00714D21" w:rsidRDefault="009F2CC2" w:rsidP="009F2CC2">
      <w:pPr>
        <w:pStyle w:val="Zkladntext"/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  <w:u w:val="single"/>
        </w:rPr>
      </w:pPr>
      <w:r w:rsidRPr="00714D21">
        <w:rPr>
          <w:szCs w:val="22"/>
          <w:u w:val="single"/>
        </w:rPr>
        <w:t>Osobitné skupiny pacientov</w:t>
      </w:r>
    </w:p>
    <w:p w:rsidR="009F2CC2" w:rsidRPr="009F2CC2" w:rsidRDefault="009F2CC2" w:rsidP="009F2CC2">
      <w:pPr>
        <w:pStyle w:val="Zkladntext"/>
        <w:rPr>
          <w:szCs w:val="22"/>
          <w:u w:val="single"/>
        </w:rPr>
      </w:pPr>
      <w:r w:rsidRPr="009F2CC2">
        <w:rPr>
          <w:szCs w:val="22"/>
          <w:u w:val="single"/>
        </w:rPr>
        <w:t>Starší pacienti</w:t>
      </w:r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 xml:space="preserve">U starších pacientov sa nepozorovali žiadne signifikantné zmeny </w:t>
      </w:r>
      <w:proofErr w:type="spellStart"/>
      <w:r w:rsidRPr="00714D21">
        <w:rPr>
          <w:szCs w:val="22"/>
        </w:rPr>
        <w:t>farmakokinetických</w:t>
      </w:r>
      <w:proofErr w:type="spellEnd"/>
      <w:r w:rsidRPr="00714D21">
        <w:rPr>
          <w:szCs w:val="22"/>
        </w:rPr>
        <w:t xml:space="preserve"> parametrov.</w:t>
      </w:r>
    </w:p>
    <w:p w:rsidR="00827F85" w:rsidRDefault="00827F85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5.3</w:t>
      </w:r>
      <w:r w:rsidRPr="00405EB6">
        <w:rPr>
          <w:b/>
          <w:szCs w:val="22"/>
        </w:rPr>
        <w:tab/>
        <w:t>Predklinické údaje o bezpečnosti</w:t>
      </w:r>
    </w:p>
    <w:p w:rsidR="00780926" w:rsidRPr="00405EB6" w:rsidRDefault="00780926" w:rsidP="004C512E">
      <w:pPr>
        <w:rPr>
          <w:szCs w:val="22"/>
        </w:rPr>
      </w:pPr>
    </w:p>
    <w:p w:rsidR="009F2CC2" w:rsidRPr="00714D21" w:rsidRDefault="009F2CC2" w:rsidP="009F2CC2">
      <w:pPr>
        <w:pStyle w:val="Zkladntext"/>
        <w:rPr>
          <w:szCs w:val="22"/>
        </w:rPr>
      </w:pPr>
      <w:r w:rsidRPr="00714D21">
        <w:rPr>
          <w:szCs w:val="22"/>
        </w:rPr>
        <w:t>Predklinické údaje získané na základe  obvyklých farmakologických štúdií toxicity po opakovanom podávaní a </w:t>
      </w:r>
      <w:proofErr w:type="spellStart"/>
      <w:r w:rsidRPr="00714D21">
        <w:rPr>
          <w:szCs w:val="22"/>
        </w:rPr>
        <w:t>genotoxicity</w:t>
      </w:r>
      <w:proofErr w:type="spellEnd"/>
      <w:r w:rsidRPr="00714D21">
        <w:rPr>
          <w:szCs w:val="22"/>
        </w:rPr>
        <w:t xml:space="preserve"> neodhalili žiadne osobitné riziko pre ľudí. Dlhodobé štúdie </w:t>
      </w:r>
      <w:proofErr w:type="spellStart"/>
      <w:r w:rsidRPr="00714D21">
        <w:rPr>
          <w:szCs w:val="22"/>
        </w:rPr>
        <w:t>karcinogenicity</w:t>
      </w:r>
      <w:proofErr w:type="spellEnd"/>
      <w:r w:rsidRPr="00714D21">
        <w:rPr>
          <w:szCs w:val="22"/>
        </w:rPr>
        <w:t xml:space="preserve"> neboli vykonané. V štúdiách na zvieratách sa nepreukázali žiadne </w:t>
      </w:r>
      <w:proofErr w:type="spellStart"/>
      <w:r w:rsidRPr="00714D21">
        <w:rPr>
          <w:szCs w:val="22"/>
        </w:rPr>
        <w:t>teratogénne</w:t>
      </w:r>
      <w:proofErr w:type="spellEnd"/>
      <w:r w:rsidRPr="00714D21">
        <w:rPr>
          <w:szCs w:val="22"/>
        </w:rPr>
        <w:t xml:space="preserve"> zmeny, avšak pri zvieratách dostávajúcich 25-násobok maximálnej odporúčanej dávky pre ľudí sa po</w:t>
      </w:r>
      <w:r w:rsidR="000D22CA">
        <w:rPr>
          <w:szCs w:val="22"/>
        </w:rPr>
        <w:t>zorovala nižšia hmotnosť plodu.</w:t>
      </w:r>
      <w:r w:rsidR="00C4279F">
        <w:rPr>
          <w:szCs w:val="22"/>
        </w:rPr>
        <w:t xml:space="preserve"> </w:t>
      </w:r>
      <w:proofErr w:type="spellStart"/>
      <w:r w:rsidR="00C4279F" w:rsidRPr="00714D21">
        <w:rPr>
          <w:szCs w:val="22"/>
        </w:rPr>
        <w:t>Fertilita</w:t>
      </w:r>
      <w:proofErr w:type="spellEnd"/>
      <w:r w:rsidR="00C4279F" w:rsidRPr="00714D21">
        <w:rPr>
          <w:szCs w:val="22"/>
        </w:rPr>
        <w:t xml:space="preserve"> a reprodukčná schopnosť neboli ovplyvnené po podaní </w:t>
      </w:r>
      <w:proofErr w:type="spellStart"/>
      <w:r w:rsidR="00C4279F" w:rsidRPr="00714D21">
        <w:rPr>
          <w:szCs w:val="22"/>
        </w:rPr>
        <w:t>gliklazidu</w:t>
      </w:r>
      <w:proofErr w:type="spellEnd"/>
      <w:r w:rsidR="00C4279F" w:rsidRPr="00714D21">
        <w:rPr>
          <w:szCs w:val="22"/>
        </w:rPr>
        <w:t xml:space="preserve"> v </w:t>
      </w:r>
      <w:proofErr w:type="spellStart"/>
      <w:r w:rsidR="00C4279F" w:rsidRPr="00714D21">
        <w:rPr>
          <w:szCs w:val="22"/>
        </w:rPr>
        <w:t>štúdiach</w:t>
      </w:r>
      <w:proofErr w:type="spellEnd"/>
      <w:r w:rsidR="00C4279F" w:rsidRPr="00714D21">
        <w:rPr>
          <w:szCs w:val="22"/>
        </w:rPr>
        <w:t xml:space="preserve"> u zvierat.</w:t>
      </w:r>
    </w:p>
    <w:p w:rsidR="00E1698A" w:rsidRDefault="00E1698A" w:rsidP="004C512E">
      <w:pPr>
        <w:rPr>
          <w:szCs w:val="22"/>
        </w:rPr>
      </w:pPr>
    </w:p>
    <w:p w:rsidR="00291C1F" w:rsidRPr="00405EB6" w:rsidRDefault="00291C1F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6.</w:t>
      </w:r>
      <w:r w:rsidRPr="00405EB6">
        <w:rPr>
          <w:b/>
          <w:szCs w:val="22"/>
        </w:rPr>
        <w:tab/>
        <w:t>FARMACEUTICKÉ INFORMÁCIE</w:t>
      </w: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6.1</w:t>
      </w:r>
      <w:r w:rsidRPr="00405EB6">
        <w:rPr>
          <w:b/>
          <w:szCs w:val="22"/>
        </w:rPr>
        <w:tab/>
        <w:t>Zoznam pomocných látok</w:t>
      </w:r>
    </w:p>
    <w:p w:rsidR="007C3982" w:rsidRDefault="007C3982" w:rsidP="004C512E">
      <w:pPr>
        <w:rPr>
          <w:szCs w:val="22"/>
        </w:rPr>
      </w:pPr>
    </w:p>
    <w:p w:rsidR="00507A9A" w:rsidRPr="00BE241E" w:rsidRDefault="00A07989" w:rsidP="005E440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BE241E" w:rsidRPr="00BE241E">
        <w:rPr>
          <w:sz w:val="22"/>
          <w:szCs w:val="22"/>
        </w:rPr>
        <w:t>ihydrát</w:t>
      </w:r>
      <w:proofErr w:type="spellEnd"/>
      <w:r w:rsidR="00BE241E" w:rsidRPr="00BE241E">
        <w:rPr>
          <w:sz w:val="22"/>
          <w:szCs w:val="22"/>
        </w:rPr>
        <w:t xml:space="preserve"> </w:t>
      </w:r>
      <w:r w:rsidR="00507A9A" w:rsidRPr="00BE241E">
        <w:rPr>
          <w:sz w:val="22"/>
          <w:szCs w:val="22"/>
        </w:rPr>
        <w:t>fosfore</w:t>
      </w:r>
      <w:r w:rsidR="00507A9A" w:rsidRPr="00BE241E">
        <w:rPr>
          <w:rFonts w:hint="eastAsia"/>
          <w:sz w:val="22"/>
          <w:szCs w:val="22"/>
        </w:rPr>
        <w:t>č</w:t>
      </w:r>
      <w:r w:rsidR="00507A9A" w:rsidRPr="00BE241E">
        <w:rPr>
          <w:sz w:val="22"/>
          <w:szCs w:val="22"/>
        </w:rPr>
        <w:t>nanu vápenatého</w:t>
      </w:r>
    </w:p>
    <w:p w:rsidR="005E4403" w:rsidRDefault="00A07989" w:rsidP="005E440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16345A">
        <w:rPr>
          <w:sz w:val="22"/>
          <w:szCs w:val="22"/>
        </w:rPr>
        <w:t>ovidón</w:t>
      </w:r>
      <w:proofErr w:type="spellEnd"/>
      <w:r w:rsidR="000D22CA">
        <w:rPr>
          <w:sz w:val="22"/>
          <w:szCs w:val="22"/>
        </w:rPr>
        <w:t xml:space="preserve"> K30</w:t>
      </w:r>
    </w:p>
    <w:p w:rsidR="0016345A" w:rsidRDefault="00A07989" w:rsidP="0016345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0D22CA">
        <w:rPr>
          <w:sz w:val="22"/>
          <w:szCs w:val="22"/>
        </w:rPr>
        <w:t>ypromelóza</w:t>
      </w:r>
      <w:proofErr w:type="spellEnd"/>
      <w:r w:rsidR="000D22CA">
        <w:rPr>
          <w:sz w:val="22"/>
          <w:szCs w:val="22"/>
        </w:rPr>
        <w:t xml:space="preserve"> K100</w:t>
      </w:r>
    </w:p>
    <w:p w:rsidR="000D22CA" w:rsidRDefault="00A07989" w:rsidP="0016345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0D22CA">
        <w:rPr>
          <w:sz w:val="22"/>
          <w:szCs w:val="22"/>
        </w:rPr>
        <w:t>ypromelóza</w:t>
      </w:r>
      <w:proofErr w:type="spellEnd"/>
      <w:r w:rsidR="000D22CA">
        <w:rPr>
          <w:sz w:val="22"/>
          <w:szCs w:val="22"/>
        </w:rPr>
        <w:t xml:space="preserve"> K4M</w:t>
      </w:r>
    </w:p>
    <w:p w:rsidR="005E4403" w:rsidRDefault="004947DC" w:rsidP="005E440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stearan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horečnatý</w:t>
      </w:r>
      <w:proofErr w:type="spellEnd"/>
    </w:p>
    <w:p w:rsidR="00EB3416" w:rsidRDefault="00EB3416" w:rsidP="00EB3416">
      <w:pPr>
        <w:rPr>
          <w:szCs w:val="22"/>
          <w:highlight w:val="lightGray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6.2</w:t>
      </w:r>
      <w:r w:rsidRPr="00405EB6">
        <w:rPr>
          <w:b/>
          <w:szCs w:val="22"/>
        </w:rPr>
        <w:tab/>
        <w:t>Inkompatibility</w:t>
      </w: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001889" w:rsidP="004C512E">
      <w:pPr>
        <w:rPr>
          <w:szCs w:val="22"/>
        </w:rPr>
      </w:pPr>
      <w:r w:rsidRPr="00405EB6">
        <w:rPr>
          <w:szCs w:val="22"/>
        </w:rPr>
        <w:t>Neaplikovateľné.</w:t>
      </w:r>
    </w:p>
    <w:p w:rsidR="00001889" w:rsidRPr="00405EB6" w:rsidRDefault="00001889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6.3</w:t>
      </w:r>
      <w:r w:rsidRPr="00405EB6">
        <w:rPr>
          <w:b/>
          <w:szCs w:val="22"/>
        </w:rPr>
        <w:tab/>
        <w:t>Čas použiteľnosti</w:t>
      </w:r>
    </w:p>
    <w:p w:rsidR="00780926" w:rsidRPr="00405EB6" w:rsidRDefault="00780926" w:rsidP="004C512E">
      <w:pPr>
        <w:rPr>
          <w:szCs w:val="22"/>
        </w:rPr>
      </w:pPr>
    </w:p>
    <w:p w:rsidR="00985ABB" w:rsidRPr="00985ABB" w:rsidRDefault="00BE241E" w:rsidP="00985ABB">
      <w:pPr>
        <w:widowControl w:val="0"/>
        <w:rPr>
          <w:szCs w:val="22"/>
        </w:rPr>
      </w:pPr>
      <w:r>
        <w:rPr>
          <w:szCs w:val="22"/>
        </w:rPr>
        <w:t>2 roky</w:t>
      </w:r>
    </w:p>
    <w:p w:rsidR="00985ABB" w:rsidRPr="00985ABB" w:rsidRDefault="00985ABB" w:rsidP="00985ABB">
      <w:pPr>
        <w:widowControl w:val="0"/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6.4</w:t>
      </w:r>
      <w:r w:rsidRPr="00405EB6">
        <w:rPr>
          <w:b/>
          <w:szCs w:val="22"/>
        </w:rPr>
        <w:tab/>
        <w:t>Špeciálne upozornenia na uchovávanie</w:t>
      </w:r>
    </w:p>
    <w:p w:rsidR="00001889" w:rsidRPr="00405EB6" w:rsidRDefault="00001889" w:rsidP="004C512E">
      <w:pPr>
        <w:rPr>
          <w:szCs w:val="22"/>
        </w:rPr>
      </w:pPr>
    </w:p>
    <w:p w:rsidR="00B03CFF" w:rsidRPr="00EC60F8" w:rsidRDefault="00B03CFF" w:rsidP="00B03CFF">
      <w:pPr>
        <w:rPr>
          <w:color w:val="000000"/>
          <w:szCs w:val="22"/>
        </w:rPr>
      </w:pPr>
      <w:r w:rsidRPr="00EC60F8">
        <w:rPr>
          <w:color w:val="000000"/>
          <w:szCs w:val="22"/>
        </w:rPr>
        <w:t>Uchovávajte pri teplote neprevyšujúcej 25</w:t>
      </w:r>
      <w:r>
        <w:rPr>
          <w:color w:val="000000"/>
          <w:szCs w:val="22"/>
        </w:rPr>
        <w:t> °</w:t>
      </w:r>
      <w:r w:rsidRPr="00EC60F8">
        <w:rPr>
          <w:color w:val="000000"/>
          <w:szCs w:val="22"/>
        </w:rPr>
        <w:t>C.</w:t>
      </w:r>
    </w:p>
    <w:p w:rsidR="00001889" w:rsidRPr="00405EB6" w:rsidRDefault="00001889" w:rsidP="004C512E">
      <w:pPr>
        <w:widowControl w:val="0"/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  <w:r w:rsidRPr="00405EB6">
        <w:rPr>
          <w:b/>
          <w:szCs w:val="22"/>
        </w:rPr>
        <w:t>6.5</w:t>
      </w:r>
      <w:r w:rsidRPr="00405EB6">
        <w:rPr>
          <w:b/>
          <w:szCs w:val="22"/>
        </w:rPr>
        <w:tab/>
        <w:t>Druh obalu a obsah balenia</w:t>
      </w:r>
      <w:r w:rsidRPr="00405EB6">
        <w:rPr>
          <w:b/>
          <w:color w:val="0000FF"/>
          <w:szCs w:val="22"/>
        </w:rPr>
        <w:t xml:space="preserve"> </w:t>
      </w:r>
    </w:p>
    <w:p w:rsidR="00780926" w:rsidRPr="00405EB6" w:rsidRDefault="00780926" w:rsidP="004C512E">
      <w:pPr>
        <w:rPr>
          <w:szCs w:val="22"/>
        </w:rPr>
      </w:pPr>
    </w:p>
    <w:p w:rsidR="004A05E0" w:rsidRDefault="00BE241E" w:rsidP="004C512E">
      <w:pPr>
        <w:widowControl w:val="0"/>
        <w:ind w:left="0" w:firstLine="0"/>
        <w:rPr>
          <w:szCs w:val="22"/>
        </w:rPr>
      </w:pPr>
      <w:r>
        <w:rPr>
          <w:szCs w:val="22"/>
        </w:rPr>
        <w:t xml:space="preserve">Číry </w:t>
      </w:r>
      <w:r w:rsidR="00001889" w:rsidRPr="00405EB6">
        <w:rPr>
          <w:szCs w:val="22"/>
        </w:rPr>
        <w:t>PVC</w:t>
      </w:r>
      <w:r>
        <w:rPr>
          <w:szCs w:val="22"/>
        </w:rPr>
        <w:t>-</w:t>
      </w:r>
      <w:proofErr w:type="spellStart"/>
      <w:r>
        <w:rPr>
          <w:szCs w:val="22"/>
        </w:rPr>
        <w:t>Alu</w:t>
      </w:r>
      <w:proofErr w:type="spellEnd"/>
      <w:r w:rsidR="00001889" w:rsidRPr="00405EB6">
        <w:rPr>
          <w:szCs w:val="22"/>
        </w:rPr>
        <w:t xml:space="preserve"> </w:t>
      </w:r>
      <w:proofErr w:type="spellStart"/>
      <w:r w:rsidR="00001889" w:rsidRPr="00405EB6">
        <w:rPr>
          <w:szCs w:val="22"/>
        </w:rPr>
        <w:t>blist</w:t>
      </w:r>
      <w:r w:rsidR="004A05E0">
        <w:rPr>
          <w:szCs w:val="22"/>
        </w:rPr>
        <w:t>e</w:t>
      </w:r>
      <w:r w:rsidR="00001889" w:rsidRPr="00405EB6">
        <w:rPr>
          <w:szCs w:val="22"/>
        </w:rPr>
        <w:t>r</w:t>
      </w:r>
      <w:proofErr w:type="spellEnd"/>
    </w:p>
    <w:p w:rsidR="00BE241E" w:rsidRDefault="00BE241E" w:rsidP="00BE241E">
      <w:pPr>
        <w:widowControl w:val="0"/>
        <w:ind w:left="0" w:firstLine="0"/>
        <w:rPr>
          <w:szCs w:val="22"/>
        </w:rPr>
      </w:pPr>
      <w:r>
        <w:rPr>
          <w:szCs w:val="22"/>
        </w:rPr>
        <w:t xml:space="preserve">Číry </w:t>
      </w:r>
      <w:r w:rsidRPr="00405EB6">
        <w:rPr>
          <w:szCs w:val="22"/>
        </w:rPr>
        <w:t>PVC</w:t>
      </w:r>
      <w:r>
        <w:rPr>
          <w:szCs w:val="22"/>
        </w:rPr>
        <w:t>/</w:t>
      </w:r>
      <w:proofErr w:type="spellStart"/>
      <w:r>
        <w:rPr>
          <w:szCs w:val="22"/>
        </w:rPr>
        <w:t>Aclar-Alu</w:t>
      </w:r>
      <w:proofErr w:type="spellEnd"/>
      <w:r w:rsidRPr="00405EB6">
        <w:rPr>
          <w:szCs w:val="22"/>
        </w:rPr>
        <w:t xml:space="preserve"> </w:t>
      </w:r>
      <w:proofErr w:type="spellStart"/>
      <w:r w:rsidRPr="00405EB6">
        <w:rPr>
          <w:szCs w:val="22"/>
        </w:rPr>
        <w:t>blist</w:t>
      </w:r>
      <w:r>
        <w:rPr>
          <w:szCs w:val="22"/>
        </w:rPr>
        <w:t>e</w:t>
      </w:r>
      <w:r w:rsidRPr="00405EB6">
        <w:rPr>
          <w:szCs w:val="22"/>
        </w:rPr>
        <w:t>r</w:t>
      </w:r>
      <w:proofErr w:type="spellEnd"/>
    </w:p>
    <w:p w:rsidR="00BE241E" w:rsidRDefault="00BE241E" w:rsidP="004C512E">
      <w:pPr>
        <w:widowControl w:val="0"/>
        <w:ind w:left="0" w:firstLine="0"/>
        <w:rPr>
          <w:szCs w:val="22"/>
        </w:rPr>
      </w:pPr>
    </w:p>
    <w:p w:rsidR="00780926" w:rsidRDefault="00BE241E" w:rsidP="00BE241E">
      <w:pPr>
        <w:widowControl w:val="0"/>
        <w:rPr>
          <w:szCs w:val="22"/>
        </w:rPr>
      </w:pPr>
      <w:r>
        <w:rPr>
          <w:szCs w:val="22"/>
        </w:rPr>
        <w:t>Veľkosti</w:t>
      </w:r>
      <w:r w:rsidR="00001889" w:rsidRPr="00792F4C">
        <w:rPr>
          <w:szCs w:val="22"/>
        </w:rPr>
        <w:t xml:space="preserve"> balenia</w:t>
      </w:r>
      <w:r>
        <w:rPr>
          <w:szCs w:val="22"/>
        </w:rPr>
        <w:t xml:space="preserve">: </w:t>
      </w:r>
      <w:r w:rsidR="00B03CFF">
        <w:rPr>
          <w:szCs w:val="22"/>
        </w:rPr>
        <w:t>10, 30, 60,</w:t>
      </w:r>
      <w:r>
        <w:rPr>
          <w:szCs w:val="22"/>
        </w:rPr>
        <w:t xml:space="preserve"> 90,</w:t>
      </w:r>
      <w:r w:rsidR="00B03CFF">
        <w:rPr>
          <w:szCs w:val="22"/>
        </w:rPr>
        <w:t xml:space="preserve"> 100</w:t>
      </w:r>
      <w:r w:rsidR="00001889" w:rsidRPr="00405EB6">
        <w:rPr>
          <w:szCs w:val="22"/>
        </w:rPr>
        <w:t xml:space="preserve"> </w:t>
      </w:r>
      <w:r>
        <w:rPr>
          <w:szCs w:val="22"/>
        </w:rPr>
        <w:t xml:space="preserve">a 180 </w:t>
      </w:r>
      <w:r w:rsidR="00B03CFF" w:rsidRPr="00774119">
        <w:rPr>
          <w:szCs w:val="22"/>
        </w:rPr>
        <w:t>tabl</w:t>
      </w:r>
      <w:r w:rsidR="00B03CFF">
        <w:rPr>
          <w:szCs w:val="22"/>
        </w:rPr>
        <w:t>i</w:t>
      </w:r>
      <w:r w:rsidR="00B03CFF" w:rsidRPr="00774119">
        <w:rPr>
          <w:szCs w:val="22"/>
        </w:rPr>
        <w:t xml:space="preserve">et </w:t>
      </w:r>
      <w:r w:rsidR="00C16325" w:rsidRPr="009026CA">
        <w:rPr>
          <w:color w:val="000000"/>
        </w:rPr>
        <w:t>s</w:t>
      </w:r>
      <w:r w:rsidR="00C16325">
        <w:rPr>
          <w:color w:val="000000"/>
        </w:rPr>
        <w:t> </w:t>
      </w:r>
      <w:r w:rsidR="00C16325" w:rsidRPr="009026CA">
        <w:rPr>
          <w:color w:val="000000"/>
        </w:rPr>
        <w:t>riadeným</w:t>
      </w:r>
      <w:r w:rsidR="00C16325">
        <w:rPr>
          <w:color w:val="000000"/>
        </w:rPr>
        <w:t xml:space="preserve"> </w:t>
      </w:r>
      <w:r w:rsidR="00C16325" w:rsidRPr="009026CA">
        <w:rPr>
          <w:color w:val="000000"/>
        </w:rPr>
        <w:t>uvoľňovaním</w:t>
      </w:r>
      <w:r w:rsidR="00792F4C">
        <w:rPr>
          <w:szCs w:val="22"/>
        </w:rPr>
        <w:t>.</w:t>
      </w:r>
    </w:p>
    <w:p w:rsidR="00324276" w:rsidRPr="00405EB6" w:rsidRDefault="00324276" w:rsidP="00CB3363">
      <w:pPr>
        <w:widowControl w:val="0"/>
        <w:rPr>
          <w:szCs w:val="22"/>
        </w:rPr>
      </w:pPr>
      <w:r w:rsidRPr="00405EB6">
        <w:rPr>
          <w:szCs w:val="22"/>
        </w:rPr>
        <w:t>Na trh nemusia byť uvedené všetky veľkosti balenia.</w:t>
      </w:r>
    </w:p>
    <w:p w:rsidR="004837D3" w:rsidRPr="00405EB6" w:rsidRDefault="004837D3" w:rsidP="00CB3363">
      <w:pPr>
        <w:widowControl w:val="0"/>
        <w:rPr>
          <w:szCs w:val="22"/>
        </w:rPr>
      </w:pPr>
    </w:p>
    <w:p w:rsidR="00780926" w:rsidRPr="00405EB6" w:rsidRDefault="00780926" w:rsidP="004C512E">
      <w:pPr>
        <w:rPr>
          <w:b/>
          <w:bCs/>
          <w:noProof/>
          <w:szCs w:val="22"/>
        </w:rPr>
      </w:pPr>
      <w:r w:rsidRPr="00405EB6">
        <w:rPr>
          <w:b/>
          <w:szCs w:val="22"/>
        </w:rPr>
        <w:t>6.6</w:t>
      </w:r>
      <w:r w:rsidRPr="00405EB6">
        <w:rPr>
          <w:b/>
          <w:szCs w:val="22"/>
        </w:rPr>
        <w:tab/>
      </w:r>
      <w:r w:rsidRPr="00405EB6">
        <w:rPr>
          <w:b/>
          <w:bCs/>
          <w:noProof/>
          <w:szCs w:val="22"/>
        </w:rPr>
        <w:t>Špeciálne opatrenia na likvidáciu</w:t>
      </w:r>
      <w:r w:rsidRPr="00405EB6">
        <w:rPr>
          <w:b/>
          <w:szCs w:val="22"/>
        </w:rPr>
        <w:t xml:space="preserve"> </w:t>
      </w:r>
    </w:p>
    <w:p w:rsidR="00780926" w:rsidRPr="00405EB6" w:rsidRDefault="00780926" w:rsidP="004C512E">
      <w:pPr>
        <w:rPr>
          <w:b/>
          <w:bCs/>
          <w:noProof/>
          <w:szCs w:val="22"/>
        </w:rPr>
      </w:pPr>
    </w:p>
    <w:p w:rsidR="00780926" w:rsidRDefault="00B03CFF" w:rsidP="004A05E0">
      <w:pPr>
        <w:ind w:left="0" w:firstLine="0"/>
        <w:rPr>
          <w:szCs w:val="22"/>
        </w:rPr>
      </w:pPr>
      <w:r>
        <w:rPr>
          <w:szCs w:val="22"/>
        </w:rPr>
        <w:t>Žiadne zvláštne požiadavky na likvidáciu</w:t>
      </w:r>
      <w:r w:rsidR="004A05E0">
        <w:rPr>
          <w:szCs w:val="22"/>
        </w:rPr>
        <w:t>.</w:t>
      </w:r>
    </w:p>
    <w:p w:rsidR="00C16325" w:rsidRPr="00714D21" w:rsidRDefault="00C16325" w:rsidP="00C16325">
      <w:pPr>
        <w:pStyle w:val="Zarkazkladnhotextu2"/>
        <w:spacing w:after="0" w:line="240" w:lineRule="auto"/>
        <w:ind w:left="0" w:firstLine="0"/>
        <w:rPr>
          <w:szCs w:val="22"/>
        </w:rPr>
      </w:pPr>
      <w:r w:rsidRPr="00714D21">
        <w:rPr>
          <w:szCs w:val="22"/>
        </w:rPr>
        <w:t xml:space="preserve">Všetok nepoužitý liek alebo odpad vzniknutý z lieku sa má zlikvidovať v súlade s národnými požiadavkami. </w:t>
      </w:r>
    </w:p>
    <w:p w:rsidR="004A05E0" w:rsidRPr="00405EB6" w:rsidRDefault="004A05E0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7.</w:t>
      </w:r>
      <w:r w:rsidRPr="00405EB6">
        <w:rPr>
          <w:b/>
          <w:szCs w:val="22"/>
        </w:rPr>
        <w:tab/>
        <w:t>DRŽITEĽ ROZHODNUTIA O REGISTRÁCII</w:t>
      </w:r>
    </w:p>
    <w:p w:rsidR="00780926" w:rsidRPr="00405EB6" w:rsidRDefault="00780926" w:rsidP="004C512E">
      <w:pPr>
        <w:rPr>
          <w:szCs w:val="22"/>
        </w:rPr>
      </w:pPr>
    </w:p>
    <w:p w:rsidR="00852CB1" w:rsidRPr="00405EB6" w:rsidRDefault="00792F4C" w:rsidP="00852CB1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>
        <w:rPr>
          <w:noProof/>
          <w:szCs w:val="22"/>
        </w:rPr>
        <w:t>Sandoz Pharmaceuticals d.d.</w:t>
      </w:r>
    </w:p>
    <w:p w:rsidR="00852CB1" w:rsidRPr="00405EB6" w:rsidRDefault="00792F4C" w:rsidP="00852CB1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>
        <w:rPr>
          <w:noProof/>
          <w:szCs w:val="22"/>
        </w:rPr>
        <w:t>Verovškova 57</w:t>
      </w:r>
    </w:p>
    <w:p w:rsidR="00852CB1" w:rsidRPr="00405EB6" w:rsidRDefault="00792F4C" w:rsidP="00852CB1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>
        <w:rPr>
          <w:noProof/>
          <w:szCs w:val="22"/>
        </w:rPr>
        <w:t>1000 Ľubľana</w:t>
      </w:r>
    </w:p>
    <w:p w:rsidR="00852CB1" w:rsidRPr="00405EB6" w:rsidRDefault="00852CB1" w:rsidP="00852CB1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405EB6">
        <w:rPr>
          <w:noProof/>
          <w:szCs w:val="22"/>
        </w:rPr>
        <w:t>Slovinsko</w:t>
      </w:r>
    </w:p>
    <w:p w:rsidR="00780926" w:rsidRPr="00405EB6" w:rsidRDefault="00780926" w:rsidP="004C512E">
      <w:pPr>
        <w:rPr>
          <w:szCs w:val="22"/>
        </w:rPr>
      </w:pPr>
    </w:p>
    <w:p w:rsidR="003D01A9" w:rsidRPr="00405EB6" w:rsidRDefault="003D01A9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8.</w:t>
      </w:r>
      <w:r w:rsidRPr="00405EB6">
        <w:rPr>
          <w:b/>
          <w:szCs w:val="22"/>
        </w:rPr>
        <w:tab/>
        <w:t>REGISTRAČNÉ</w:t>
      </w:r>
      <w:r w:rsidR="00F40E00" w:rsidRPr="00405EB6">
        <w:rPr>
          <w:b/>
          <w:szCs w:val="22"/>
        </w:rPr>
        <w:t xml:space="preserve"> </w:t>
      </w:r>
      <w:r w:rsidRPr="00405EB6">
        <w:rPr>
          <w:b/>
          <w:szCs w:val="22"/>
        </w:rPr>
        <w:t>ČÍSL</w:t>
      </w:r>
      <w:r w:rsidR="00F27670">
        <w:rPr>
          <w:b/>
          <w:szCs w:val="22"/>
        </w:rPr>
        <w:t>O</w:t>
      </w:r>
      <w:r w:rsidRPr="00405EB6">
        <w:rPr>
          <w:b/>
          <w:szCs w:val="22"/>
        </w:rPr>
        <w:t xml:space="preserve"> </w:t>
      </w:r>
    </w:p>
    <w:p w:rsidR="00780926" w:rsidRPr="00405EB6" w:rsidRDefault="00780926" w:rsidP="004C512E">
      <w:pPr>
        <w:rPr>
          <w:i/>
          <w:szCs w:val="22"/>
        </w:rPr>
      </w:pPr>
    </w:p>
    <w:p w:rsidR="003D01A9" w:rsidRDefault="00F421ED" w:rsidP="004C512E">
      <w:pPr>
        <w:rPr>
          <w:szCs w:val="22"/>
        </w:rPr>
      </w:pPr>
      <w:r w:rsidRPr="00F421ED">
        <w:rPr>
          <w:szCs w:val="22"/>
        </w:rPr>
        <w:t>18/0057/16-S</w:t>
      </w:r>
    </w:p>
    <w:p w:rsidR="00F421ED" w:rsidRDefault="00F421ED" w:rsidP="004C512E">
      <w:pPr>
        <w:rPr>
          <w:szCs w:val="22"/>
        </w:rPr>
      </w:pPr>
    </w:p>
    <w:p w:rsidR="00CC62FE" w:rsidRPr="00405EB6" w:rsidRDefault="00CC62FE" w:rsidP="004C512E">
      <w:pPr>
        <w:rPr>
          <w:szCs w:val="22"/>
        </w:rPr>
      </w:pPr>
    </w:p>
    <w:p w:rsidR="00780926" w:rsidRPr="00405EB6" w:rsidRDefault="00780926" w:rsidP="004C512E">
      <w:pPr>
        <w:rPr>
          <w:b/>
          <w:szCs w:val="22"/>
        </w:rPr>
      </w:pPr>
      <w:r w:rsidRPr="00405EB6">
        <w:rPr>
          <w:b/>
          <w:szCs w:val="22"/>
        </w:rPr>
        <w:t>9.</w:t>
      </w:r>
      <w:r w:rsidRPr="00405EB6">
        <w:rPr>
          <w:b/>
          <w:szCs w:val="22"/>
        </w:rPr>
        <w:tab/>
        <w:t>DÁTUM PRVEJ REGISTRÁCIE/PREDĹŽENIA REGISTRÁCIE</w:t>
      </w:r>
    </w:p>
    <w:p w:rsidR="00780926" w:rsidRDefault="00780926" w:rsidP="004C512E">
      <w:pPr>
        <w:rPr>
          <w:szCs w:val="22"/>
        </w:rPr>
      </w:pPr>
    </w:p>
    <w:p w:rsidR="00CC62FE" w:rsidRDefault="00CC62FE" w:rsidP="004C512E">
      <w:pPr>
        <w:rPr>
          <w:szCs w:val="22"/>
        </w:rPr>
      </w:pPr>
      <w:r w:rsidRPr="00C352AF">
        <w:rPr>
          <w:szCs w:val="22"/>
        </w:rPr>
        <w:t>Dátum prvej registrácie:</w:t>
      </w:r>
      <w:r w:rsidR="001F3AA5">
        <w:rPr>
          <w:szCs w:val="22"/>
        </w:rPr>
        <w:t xml:space="preserve"> 3.</w:t>
      </w:r>
      <w:r w:rsidR="00A07989">
        <w:rPr>
          <w:szCs w:val="22"/>
        </w:rPr>
        <w:t>február</w:t>
      </w:r>
      <w:r w:rsidR="001F3AA5">
        <w:rPr>
          <w:szCs w:val="22"/>
        </w:rPr>
        <w:t>.2016</w:t>
      </w:r>
    </w:p>
    <w:p w:rsidR="00CC62FE" w:rsidRPr="00405EB6" w:rsidRDefault="00CC62FE" w:rsidP="004C512E">
      <w:pPr>
        <w:rPr>
          <w:szCs w:val="22"/>
        </w:rPr>
      </w:pPr>
    </w:p>
    <w:p w:rsidR="00780926" w:rsidRPr="00405EB6" w:rsidRDefault="00780926" w:rsidP="004C512E">
      <w:pPr>
        <w:rPr>
          <w:szCs w:val="22"/>
        </w:rPr>
      </w:pPr>
    </w:p>
    <w:p w:rsidR="00780926" w:rsidRPr="00405EB6" w:rsidRDefault="00780926" w:rsidP="008C1024">
      <w:pPr>
        <w:rPr>
          <w:b/>
          <w:szCs w:val="22"/>
        </w:rPr>
      </w:pPr>
      <w:r w:rsidRPr="00405EB6">
        <w:rPr>
          <w:b/>
          <w:szCs w:val="22"/>
        </w:rPr>
        <w:t>10.</w:t>
      </w:r>
      <w:r w:rsidRPr="00405EB6">
        <w:rPr>
          <w:b/>
          <w:szCs w:val="22"/>
        </w:rPr>
        <w:tab/>
        <w:t>DÁTUM REVÍZIE TEXTU</w:t>
      </w:r>
    </w:p>
    <w:p w:rsidR="00780926" w:rsidRDefault="00780926" w:rsidP="008C1024">
      <w:pPr>
        <w:ind w:left="0" w:firstLine="0"/>
        <w:rPr>
          <w:noProof/>
          <w:szCs w:val="22"/>
        </w:rPr>
      </w:pPr>
    </w:p>
    <w:p w:rsidR="00C53641" w:rsidRDefault="00A07989" w:rsidP="008C1024">
      <w:pPr>
        <w:ind w:left="0" w:firstLine="0"/>
        <w:rPr>
          <w:noProof/>
          <w:szCs w:val="22"/>
        </w:rPr>
      </w:pPr>
      <w:r>
        <w:rPr>
          <w:noProof/>
          <w:szCs w:val="22"/>
        </w:rPr>
        <w:t>01/2018</w:t>
      </w:r>
    </w:p>
    <w:sectPr w:rsidR="00C53641" w:rsidSect="00CD505D">
      <w:headerReference w:type="default" r:id="rId9"/>
      <w:footerReference w:type="default" r:id="rId10"/>
      <w:footerReference w:type="first" r:id="rId11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57" w:rsidRDefault="00862857">
      <w:r>
        <w:separator/>
      </w:r>
    </w:p>
  </w:endnote>
  <w:endnote w:type="continuationSeparator" w:id="0">
    <w:p w:rsidR="00862857" w:rsidRDefault="008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70" w:rsidRPr="00CD505D" w:rsidRDefault="00F27670">
    <w:pPr>
      <w:pStyle w:val="Pta"/>
      <w:jc w:val="center"/>
      <w:rPr>
        <w:rFonts w:ascii="Times New Roman" w:hAnsi="Times New Roman"/>
        <w:sz w:val="18"/>
        <w:szCs w:val="18"/>
      </w:rPr>
    </w:pPr>
    <w:r w:rsidRPr="00CD505D">
      <w:rPr>
        <w:rFonts w:ascii="Times New Roman" w:hAnsi="Times New Roman"/>
        <w:sz w:val="18"/>
        <w:szCs w:val="18"/>
      </w:rPr>
      <w:fldChar w:fldCharType="begin"/>
    </w:r>
    <w:r w:rsidRPr="00CD505D">
      <w:rPr>
        <w:rFonts w:ascii="Times New Roman" w:hAnsi="Times New Roman"/>
        <w:sz w:val="18"/>
        <w:szCs w:val="18"/>
      </w:rPr>
      <w:instrText>PAGE   \* MERGEFORMAT</w:instrText>
    </w:r>
    <w:r w:rsidRPr="00CD505D">
      <w:rPr>
        <w:rFonts w:ascii="Times New Roman" w:hAnsi="Times New Roman"/>
        <w:sz w:val="18"/>
        <w:szCs w:val="18"/>
      </w:rPr>
      <w:fldChar w:fldCharType="separate"/>
    </w:r>
    <w:r w:rsidR="00CD505D" w:rsidRPr="00CD505D">
      <w:rPr>
        <w:rFonts w:ascii="Times New Roman" w:hAnsi="Times New Roman"/>
        <w:noProof/>
        <w:sz w:val="18"/>
        <w:szCs w:val="18"/>
        <w:lang w:val="sk-SK"/>
      </w:rPr>
      <w:t>9</w:t>
    </w:r>
    <w:r w:rsidRPr="00CD505D">
      <w:rPr>
        <w:rFonts w:ascii="Times New Roman" w:hAnsi="Times New Roman"/>
        <w:sz w:val="18"/>
        <w:szCs w:val="18"/>
      </w:rPr>
      <w:fldChar w:fldCharType="end"/>
    </w:r>
  </w:p>
  <w:p w:rsidR="00120890" w:rsidRPr="00CD505D" w:rsidRDefault="00120890">
    <w:pPr>
      <w:pStyle w:val="Pta"/>
      <w:tabs>
        <w:tab w:val="clear" w:pos="8930"/>
        <w:tab w:val="right" w:pos="8931"/>
      </w:tabs>
      <w:ind w:right="96"/>
      <w:jc w:val="center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90" w:rsidRDefault="00120890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F27670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57" w:rsidRDefault="00862857">
      <w:r>
        <w:separator/>
      </w:r>
    </w:p>
  </w:footnote>
  <w:footnote w:type="continuationSeparator" w:id="0">
    <w:p w:rsidR="00862857" w:rsidRDefault="0086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70" w:rsidRDefault="00F27670" w:rsidP="00F27670">
    <w:pPr>
      <w:rPr>
        <w:noProof/>
        <w:sz w:val="18"/>
        <w:szCs w:val="18"/>
      </w:rPr>
    </w:pPr>
    <w:r>
      <w:rPr>
        <w:noProof/>
        <w:sz w:val="18"/>
        <w:szCs w:val="18"/>
      </w:rPr>
      <w:t>Príloha č. 1 k notifikácii o zmene, ev.č.: 2017/01950-Z1B</w:t>
    </w:r>
  </w:p>
  <w:p w:rsidR="00F27670" w:rsidRDefault="00F276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6E8B"/>
    <w:multiLevelType w:val="hybridMultilevel"/>
    <w:tmpl w:val="FED8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5367"/>
    <w:multiLevelType w:val="hybridMultilevel"/>
    <w:tmpl w:val="D7AEBCBC"/>
    <w:lvl w:ilvl="0" w:tplc="CF1A93B6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7173"/>
    <w:multiLevelType w:val="hybridMultilevel"/>
    <w:tmpl w:val="26C6BCA6"/>
    <w:lvl w:ilvl="0" w:tplc="6F2C4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24FA3B98"/>
    <w:multiLevelType w:val="hybridMultilevel"/>
    <w:tmpl w:val="DD860F60"/>
    <w:lvl w:ilvl="0" w:tplc="6F2C4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81A6B"/>
    <w:multiLevelType w:val="hybridMultilevel"/>
    <w:tmpl w:val="50FC59A2"/>
    <w:lvl w:ilvl="0" w:tplc="EEF6E6BC">
      <w:numFmt w:val="bullet"/>
      <w:lvlText w:val="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33AA"/>
    <w:multiLevelType w:val="hybridMultilevel"/>
    <w:tmpl w:val="824E69DA"/>
    <w:lvl w:ilvl="0" w:tplc="CF1A93B6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C972C6"/>
    <w:multiLevelType w:val="multilevel"/>
    <w:tmpl w:val="ADDAFD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DF75B5"/>
    <w:multiLevelType w:val="hybridMultilevel"/>
    <w:tmpl w:val="CF044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5C8"/>
    <w:multiLevelType w:val="hybridMultilevel"/>
    <w:tmpl w:val="E6B67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33B59"/>
    <w:multiLevelType w:val="hybridMultilevel"/>
    <w:tmpl w:val="01AEBC86"/>
    <w:lvl w:ilvl="0" w:tplc="035C2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4D784408"/>
    <w:multiLevelType w:val="hybridMultilevel"/>
    <w:tmpl w:val="07EC4FBA"/>
    <w:lvl w:ilvl="0" w:tplc="A572741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EF6E6BC">
      <w:numFmt w:val="bullet"/>
      <w:lvlText w:val="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251D6"/>
    <w:multiLevelType w:val="hybridMultilevel"/>
    <w:tmpl w:val="95B24EDE"/>
    <w:lvl w:ilvl="0" w:tplc="0654FE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572741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105AE"/>
    <w:multiLevelType w:val="multilevel"/>
    <w:tmpl w:val="2C9252FC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57191EE5"/>
    <w:multiLevelType w:val="hybridMultilevel"/>
    <w:tmpl w:val="AE8CA3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EA2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6EDD6E90"/>
    <w:multiLevelType w:val="hybridMultilevel"/>
    <w:tmpl w:val="AC20F56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22"/>
  </w:num>
  <w:num w:numId="5">
    <w:abstractNumId w:val="9"/>
  </w:num>
  <w:num w:numId="6">
    <w:abstractNumId w:val="18"/>
  </w:num>
  <w:num w:numId="7">
    <w:abstractNumId w:val="14"/>
  </w:num>
  <w:num w:numId="8">
    <w:abstractNumId w:val="5"/>
  </w:num>
  <w:num w:numId="9">
    <w:abstractNumId w:val="20"/>
  </w:num>
  <w:num w:numId="10">
    <w:abstractNumId w:val="21"/>
  </w:num>
  <w:num w:numId="11">
    <w:abstractNumId w:val="2"/>
  </w:num>
  <w:num w:numId="12">
    <w:abstractNumId w:val="13"/>
  </w:num>
  <w:num w:numId="13">
    <w:abstractNumId w:val="10"/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7"/>
  </w:num>
  <w:num w:numId="24">
    <w:abstractNumId w:val="19"/>
  </w:num>
  <w:num w:numId="25">
    <w:abstractNumId w:val="8"/>
  </w:num>
  <w:num w:numId="26">
    <w:abstractNumId w:val="3"/>
  </w:num>
  <w:num w:numId="27">
    <w:abstractNumId w:val="16"/>
  </w:num>
  <w:num w:numId="28">
    <w:abstractNumId w:val="15"/>
  </w:num>
  <w:num w:numId="29">
    <w:abstractNumId w:val="24"/>
  </w:num>
  <w:num w:numId="3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2"/>
  </w:num>
  <w:num w:numId="33">
    <w:abstractNumId w:val="6"/>
  </w:num>
  <w:num w:numId="34">
    <w:abstractNumId w:val="11"/>
  </w:num>
  <w:num w:numId="35">
    <w:abstractNumId w:val="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80926"/>
    <w:rsid w:val="00001889"/>
    <w:rsid w:val="000058B5"/>
    <w:rsid w:val="0001552B"/>
    <w:rsid w:val="00047C4A"/>
    <w:rsid w:val="00051D18"/>
    <w:rsid w:val="00053C71"/>
    <w:rsid w:val="00054ACE"/>
    <w:rsid w:val="0005723F"/>
    <w:rsid w:val="00070F7E"/>
    <w:rsid w:val="00080989"/>
    <w:rsid w:val="00090230"/>
    <w:rsid w:val="00094930"/>
    <w:rsid w:val="0009724B"/>
    <w:rsid w:val="000A51F7"/>
    <w:rsid w:val="000B4E5D"/>
    <w:rsid w:val="000C7D8A"/>
    <w:rsid w:val="000D22CA"/>
    <w:rsid w:val="000D4CC3"/>
    <w:rsid w:val="000D5055"/>
    <w:rsid w:val="000D7694"/>
    <w:rsid w:val="000E26F3"/>
    <w:rsid w:val="000E3E08"/>
    <w:rsid w:val="000E7685"/>
    <w:rsid w:val="000F3D48"/>
    <w:rsid w:val="000F5213"/>
    <w:rsid w:val="00102424"/>
    <w:rsid w:val="00112F40"/>
    <w:rsid w:val="00112FCA"/>
    <w:rsid w:val="00120890"/>
    <w:rsid w:val="00121FE5"/>
    <w:rsid w:val="00125244"/>
    <w:rsid w:val="001311BE"/>
    <w:rsid w:val="00131F13"/>
    <w:rsid w:val="00133DD6"/>
    <w:rsid w:val="00135607"/>
    <w:rsid w:val="00136F6E"/>
    <w:rsid w:val="001567EA"/>
    <w:rsid w:val="0016345A"/>
    <w:rsid w:val="001952FC"/>
    <w:rsid w:val="00197EDC"/>
    <w:rsid w:val="001A25D5"/>
    <w:rsid w:val="001A50B9"/>
    <w:rsid w:val="001A6F7D"/>
    <w:rsid w:val="001B0629"/>
    <w:rsid w:val="001C6AC5"/>
    <w:rsid w:val="001E72C2"/>
    <w:rsid w:val="001F0F8E"/>
    <w:rsid w:val="001F3AA5"/>
    <w:rsid w:val="001F4270"/>
    <w:rsid w:val="001F4BAD"/>
    <w:rsid w:val="002003FB"/>
    <w:rsid w:val="0021246E"/>
    <w:rsid w:val="00215C21"/>
    <w:rsid w:val="002162A5"/>
    <w:rsid w:val="0021727B"/>
    <w:rsid w:val="0022527A"/>
    <w:rsid w:val="00244A12"/>
    <w:rsid w:val="00247A47"/>
    <w:rsid w:val="00250AC5"/>
    <w:rsid w:val="00251DE9"/>
    <w:rsid w:val="002532AC"/>
    <w:rsid w:val="002545F3"/>
    <w:rsid w:val="0025659E"/>
    <w:rsid w:val="002633D6"/>
    <w:rsid w:val="00265187"/>
    <w:rsid w:val="002756BC"/>
    <w:rsid w:val="00277469"/>
    <w:rsid w:val="00282003"/>
    <w:rsid w:val="00282650"/>
    <w:rsid w:val="00283B3A"/>
    <w:rsid w:val="00285511"/>
    <w:rsid w:val="00291C1F"/>
    <w:rsid w:val="00291DD1"/>
    <w:rsid w:val="002A4EE0"/>
    <w:rsid w:val="002A7086"/>
    <w:rsid w:val="002B2926"/>
    <w:rsid w:val="002B7838"/>
    <w:rsid w:val="002C2D45"/>
    <w:rsid w:val="002D0236"/>
    <w:rsid w:val="002E3C27"/>
    <w:rsid w:val="002E4B06"/>
    <w:rsid w:val="002F21EC"/>
    <w:rsid w:val="003034B0"/>
    <w:rsid w:val="00307855"/>
    <w:rsid w:val="00307D93"/>
    <w:rsid w:val="0031630F"/>
    <w:rsid w:val="0032298C"/>
    <w:rsid w:val="00323205"/>
    <w:rsid w:val="00324276"/>
    <w:rsid w:val="00325F92"/>
    <w:rsid w:val="00335429"/>
    <w:rsid w:val="00341D73"/>
    <w:rsid w:val="003537D7"/>
    <w:rsid w:val="00362923"/>
    <w:rsid w:val="003656FD"/>
    <w:rsid w:val="00374C09"/>
    <w:rsid w:val="00377518"/>
    <w:rsid w:val="00377E9B"/>
    <w:rsid w:val="00391058"/>
    <w:rsid w:val="00392176"/>
    <w:rsid w:val="0039299C"/>
    <w:rsid w:val="003945B0"/>
    <w:rsid w:val="003A36E6"/>
    <w:rsid w:val="003A48FF"/>
    <w:rsid w:val="003A6F13"/>
    <w:rsid w:val="003A706F"/>
    <w:rsid w:val="003B0350"/>
    <w:rsid w:val="003B457F"/>
    <w:rsid w:val="003C7AA5"/>
    <w:rsid w:val="003D01A9"/>
    <w:rsid w:val="003D4AA3"/>
    <w:rsid w:val="003E0609"/>
    <w:rsid w:val="003E38F4"/>
    <w:rsid w:val="003E4B17"/>
    <w:rsid w:val="003E6909"/>
    <w:rsid w:val="003F33E3"/>
    <w:rsid w:val="00400CA4"/>
    <w:rsid w:val="004047FF"/>
    <w:rsid w:val="00404DD1"/>
    <w:rsid w:val="00405EB6"/>
    <w:rsid w:val="00407C8F"/>
    <w:rsid w:val="0042538A"/>
    <w:rsid w:val="004274F4"/>
    <w:rsid w:val="00434346"/>
    <w:rsid w:val="00434B4C"/>
    <w:rsid w:val="00450A22"/>
    <w:rsid w:val="00453C20"/>
    <w:rsid w:val="00461C68"/>
    <w:rsid w:val="00467059"/>
    <w:rsid w:val="00473619"/>
    <w:rsid w:val="00474C5C"/>
    <w:rsid w:val="0047554C"/>
    <w:rsid w:val="004837D3"/>
    <w:rsid w:val="00490627"/>
    <w:rsid w:val="00493BEA"/>
    <w:rsid w:val="004947DC"/>
    <w:rsid w:val="00495443"/>
    <w:rsid w:val="004A05E0"/>
    <w:rsid w:val="004A4E0E"/>
    <w:rsid w:val="004A6622"/>
    <w:rsid w:val="004B398C"/>
    <w:rsid w:val="004C1255"/>
    <w:rsid w:val="004C512E"/>
    <w:rsid w:val="004D7A2B"/>
    <w:rsid w:val="004E0D50"/>
    <w:rsid w:val="004E2E0E"/>
    <w:rsid w:val="004E5E61"/>
    <w:rsid w:val="004E7F57"/>
    <w:rsid w:val="004F0429"/>
    <w:rsid w:val="004F2522"/>
    <w:rsid w:val="00506676"/>
    <w:rsid w:val="00506A28"/>
    <w:rsid w:val="005075FB"/>
    <w:rsid w:val="00507A9A"/>
    <w:rsid w:val="00511A8F"/>
    <w:rsid w:val="00523D33"/>
    <w:rsid w:val="005250F9"/>
    <w:rsid w:val="00542693"/>
    <w:rsid w:val="00544E61"/>
    <w:rsid w:val="0054513E"/>
    <w:rsid w:val="00546279"/>
    <w:rsid w:val="005518EF"/>
    <w:rsid w:val="00552861"/>
    <w:rsid w:val="00565268"/>
    <w:rsid w:val="0056752F"/>
    <w:rsid w:val="00570E9C"/>
    <w:rsid w:val="00580E2D"/>
    <w:rsid w:val="00581A4F"/>
    <w:rsid w:val="00587AA7"/>
    <w:rsid w:val="005A0338"/>
    <w:rsid w:val="005A42DD"/>
    <w:rsid w:val="005A4ADA"/>
    <w:rsid w:val="005B016A"/>
    <w:rsid w:val="005B3E47"/>
    <w:rsid w:val="005B79F8"/>
    <w:rsid w:val="005C640A"/>
    <w:rsid w:val="005C781A"/>
    <w:rsid w:val="005D75B2"/>
    <w:rsid w:val="005E1DF9"/>
    <w:rsid w:val="005E4403"/>
    <w:rsid w:val="005E7F40"/>
    <w:rsid w:val="005F1304"/>
    <w:rsid w:val="005F1F1F"/>
    <w:rsid w:val="005F3009"/>
    <w:rsid w:val="005F4C4D"/>
    <w:rsid w:val="00610BA2"/>
    <w:rsid w:val="0061174E"/>
    <w:rsid w:val="00613FEB"/>
    <w:rsid w:val="0061517A"/>
    <w:rsid w:val="006207CD"/>
    <w:rsid w:val="00635748"/>
    <w:rsid w:val="006444CC"/>
    <w:rsid w:val="006477B9"/>
    <w:rsid w:val="00651E13"/>
    <w:rsid w:val="006607BB"/>
    <w:rsid w:val="006619C1"/>
    <w:rsid w:val="00662F5D"/>
    <w:rsid w:val="0067007B"/>
    <w:rsid w:val="0067445F"/>
    <w:rsid w:val="00674D4E"/>
    <w:rsid w:val="00695EA5"/>
    <w:rsid w:val="006B66AD"/>
    <w:rsid w:val="006D3581"/>
    <w:rsid w:val="006D6665"/>
    <w:rsid w:val="006D744F"/>
    <w:rsid w:val="006E6267"/>
    <w:rsid w:val="006F0C8B"/>
    <w:rsid w:val="006F4BE3"/>
    <w:rsid w:val="00701409"/>
    <w:rsid w:val="00711548"/>
    <w:rsid w:val="00713157"/>
    <w:rsid w:val="00722B64"/>
    <w:rsid w:val="00723374"/>
    <w:rsid w:val="00725110"/>
    <w:rsid w:val="0073059D"/>
    <w:rsid w:val="00736CA6"/>
    <w:rsid w:val="007459E9"/>
    <w:rsid w:val="00745B18"/>
    <w:rsid w:val="0074652C"/>
    <w:rsid w:val="0074734A"/>
    <w:rsid w:val="00753B0A"/>
    <w:rsid w:val="00755BC0"/>
    <w:rsid w:val="00757041"/>
    <w:rsid w:val="007570F7"/>
    <w:rsid w:val="007632A2"/>
    <w:rsid w:val="00780926"/>
    <w:rsid w:val="007833FE"/>
    <w:rsid w:val="00784F81"/>
    <w:rsid w:val="00792F4C"/>
    <w:rsid w:val="007934A3"/>
    <w:rsid w:val="007A2BE9"/>
    <w:rsid w:val="007B4070"/>
    <w:rsid w:val="007C3982"/>
    <w:rsid w:val="007C63CC"/>
    <w:rsid w:val="007E2BEF"/>
    <w:rsid w:val="007E7716"/>
    <w:rsid w:val="007F1A88"/>
    <w:rsid w:val="007F2B22"/>
    <w:rsid w:val="007F4F01"/>
    <w:rsid w:val="007F53F3"/>
    <w:rsid w:val="007F76A1"/>
    <w:rsid w:val="00804F1A"/>
    <w:rsid w:val="00821124"/>
    <w:rsid w:val="008276D2"/>
    <w:rsid w:val="00827F85"/>
    <w:rsid w:val="00833F71"/>
    <w:rsid w:val="00852CB1"/>
    <w:rsid w:val="00854211"/>
    <w:rsid w:val="00862857"/>
    <w:rsid w:val="00862D24"/>
    <w:rsid w:val="0086434D"/>
    <w:rsid w:val="00864D15"/>
    <w:rsid w:val="0087027F"/>
    <w:rsid w:val="008753AD"/>
    <w:rsid w:val="00875423"/>
    <w:rsid w:val="00881A3E"/>
    <w:rsid w:val="00882EC9"/>
    <w:rsid w:val="00883067"/>
    <w:rsid w:val="0088779C"/>
    <w:rsid w:val="00892983"/>
    <w:rsid w:val="00892F2B"/>
    <w:rsid w:val="008942F6"/>
    <w:rsid w:val="00896AE6"/>
    <w:rsid w:val="008A7A59"/>
    <w:rsid w:val="008B55EB"/>
    <w:rsid w:val="008B5764"/>
    <w:rsid w:val="008B69C6"/>
    <w:rsid w:val="008B6D63"/>
    <w:rsid w:val="008B7778"/>
    <w:rsid w:val="008C0B97"/>
    <w:rsid w:val="008C1024"/>
    <w:rsid w:val="008C177E"/>
    <w:rsid w:val="008C19FF"/>
    <w:rsid w:val="008C289C"/>
    <w:rsid w:val="008D0FB3"/>
    <w:rsid w:val="008D7B7B"/>
    <w:rsid w:val="008E01F4"/>
    <w:rsid w:val="008F1B56"/>
    <w:rsid w:val="009005B6"/>
    <w:rsid w:val="009037B3"/>
    <w:rsid w:val="00905859"/>
    <w:rsid w:val="00913753"/>
    <w:rsid w:val="00924AD1"/>
    <w:rsid w:val="00935F03"/>
    <w:rsid w:val="00937A79"/>
    <w:rsid w:val="00950084"/>
    <w:rsid w:val="00950D76"/>
    <w:rsid w:val="00960952"/>
    <w:rsid w:val="00964630"/>
    <w:rsid w:val="0096467E"/>
    <w:rsid w:val="00985ABB"/>
    <w:rsid w:val="00990742"/>
    <w:rsid w:val="00990D99"/>
    <w:rsid w:val="0099104F"/>
    <w:rsid w:val="00995F1B"/>
    <w:rsid w:val="009A3B7B"/>
    <w:rsid w:val="009A5483"/>
    <w:rsid w:val="009A63C8"/>
    <w:rsid w:val="009A6A99"/>
    <w:rsid w:val="009B0D4B"/>
    <w:rsid w:val="009B31D5"/>
    <w:rsid w:val="009B3855"/>
    <w:rsid w:val="009B3E4A"/>
    <w:rsid w:val="009B4170"/>
    <w:rsid w:val="009C0D30"/>
    <w:rsid w:val="009C345F"/>
    <w:rsid w:val="009D063F"/>
    <w:rsid w:val="009D1695"/>
    <w:rsid w:val="009D4AFF"/>
    <w:rsid w:val="009D5A07"/>
    <w:rsid w:val="009E09C5"/>
    <w:rsid w:val="009E1448"/>
    <w:rsid w:val="009E67D3"/>
    <w:rsid w:val="009F1A70"/>
    <w:rsid w:val="009F2CC2"/>
    <w:rsid w:val="00A00099"/>
    <w:rsid w:val="00A00344"/>
    <w:rsid w:val="00A00AC2"/>
    <w:rsid w:val="00A04EDF"/>
    <w:rsid w:val="00A06174"/>
    <w:rsid w:val="00A07989"/>
    <w:rsid w:val="00A07BF3"/>
    <w:rsid w:val="00A07D8F"/>
    <w:rsid w:val="00A12C4F"/>
    <w:rsid w:val="00A23561"/>
    <w:rsid w:val="00A25AA3"/>
    <w:rsid w:val="00A32F75"/>
    <w:rsid w:val="00A36E20"/>
    <w:rsid w:val="00A36EC2"/>
    <w:rsid w:val="00A51B29"/>
    <w:rsid w:val="00A619E1"/>
    <w:rsid w:val="00A65440"/>
    <w:rsid w:val="00A66C9E"/>
    <w:rsid w:val="00A7016A"/>
    <w:rsid w:val="00A7489B"/>
    <w:rsid w:val="00A833E5"/>
    <w:rsid w:val="00A90798"/>
    <w:rsid w:val="00A91621"/>
    <w:rsid w:val="00A958E2"/>
    <w:rsid w:val="00AA2DF8"/>
    <w:rsid w:val="00AA3BDF"/>
    <w:rsid w:val="00AB4913"/>
    <w:rsid w:val="00AC4B0A"/>
    <w:rsid w:val="00AC65BA"/>
    <w:rsid w:val="00AD3000"/>
    <w:rsid w:val="00AD3D01"/>
    <w:rsid w:val="00AD6646"/>
    <w:rsid w:val="00AE2133"/>
    <w:rsid w:val="00AE77E5"/>
    <w:rsid w:val="00AF6468"/>
    <w:rsid w:val="00B01186"/>
    <w:rsid w:val="00B03CFF"/>
    <w:rsid w:val="00B07205"/>
    <w:rsid w:val="00B153FB"/>
    <w:rsid w:val="00B15DB9"/>
    <w:rsid w:val="00B3331A"/>
    <w:rsid w:val="00B4438E"/>
    <w:rsid w:val="00B46A2A"/>
    <w:rsid w:val="00B504DC"/>
    <w:rsid w:val="00B524A2"/>
    <w:rsid w:val="00B61430"/>
    <w:rsid w:val="00B70F19"/>
    <w:rsid w:val="00B7148E"/>
    <w:rsid w:val="00B7232D"/>
    <w:rsid w:val="00B76C22"/>
    <w:rsid w:val="00B7790F"/>
    <w:rsid w:val="00B83FC7"/>
    <w:rsid w:val="00B86498"/>
    <w:rsid w:val="00B958F0"/>
    <w:rsid w:val="00BA418E"/>
    <w:rsid w:val="00BA434A"/>
    <w:rsid w:val="00BB0506"/>
    <w:rsid w:val="00BC2485"/>
    <w:rsid w:val="00BC2886"/>
    <w:rsid w:val="00BC510F"/>
    <w:rsid w:val="00BE241E"/>
    <w:rsid w:val="00BE68CB"/>
    <w:rsid w:val="00BF0B8C"/>
    <w:rsid w:val="00BF0EEB"/>
    <w:rsid w:val="00BF275F"/>
    <w:rsid w:val="00BF2CD0"/>
    <w:rsid w:val="00BF3046"/>
    <w:rsid w:val="00C00383"/>
    <w:rsid w:val="00C066E7"/>
    <w:rsid w:val="00C109CE"/>
    <w:rsid w:val="00C15794"/>
    <w:rsid w:val="00C16325"/>
    <w:rsid w:val="00C26AEF"/>
    <w:rsid w:val="00C273BC"/>
    <w:rsid w:val="00C3034F"/>
    <w:rsid w:val="00C4279F"/>
    <w:rsid w:val="00C43C8E"/>
    <w:rsid w:val="00C46995"/>
    <w:rsid w:val="00C535BE"/>
    <w:rsid w:val="00C53641"/>
    <w:rsid w:val="00C57FDF"/>
    <w:rsid w:val="00C60323"/>
    <w:rsid w:val="00C741A8"/>
    <w:rsid w:val="00C82795"/>
    <w:rsid w:val="00C83C10"/>
    <w:rsid w:val="00C856C5"/>
    <w:rsid w:val="00C877FB"/>
    <w:rsid w:val="00C92538"/>
    <w:rsid w:val="00CB3363"/>
    <w:rsid w:val="00CB4BD0"/>
    <w:rsid w:val="00CC18E3"/>
    <w:rsid w:val="00CC3AD7"/>
    <w:rsid w:val="00CC62FE"/>
    <w:rsid w:val="00CD49E6"/>
    <w:rsid w:val="00CD505D"/>
    <w:rsid w:val="00CE1976"/>
    <w:rsid w:val="00CE3688"/>
    <w:rsid w:val="00CF19E9"/>
    <w:rsid w:val="00D05DB5"/>
    <w:rsid w:val="00D10581"/>
    <w:rsid w:val="00D10BF3"/>
    <w:rsid w:val="00D1292E"/>
    <w:rsid w:val="00D154D0"/>
    <w:rsid w:val="00D175E9"/>
    <w:rsid w:val="00D3319B"/>
    <w:rsid w:val="00D34CBD"/>
    <w:rsid w:val="00D36EF6"/>
    <w:rsid w:val="00D42E9C"/>
    <w:rsid w:val="00D45870"/>
    <w:rsid w:val="00D51469"/>
    <w:rsid w:val="00D53F6A"/>
    <w:rsid w:val="00D67E16"/>
    <w:rsid w:val="00D70097"/>
    <w:rsid w:val="00D74B41"/>
    <w:rsid w:val="00D80E11"/>
    <w:rsid w:val="00D877F0"/>
    <w:rsid w:val="00D919E1"/>
    <w:rsid w:val="00D92D33"/>
    <w:rsid w:val="00D942FF"/>
    <w:rsid w:val="00DA440A"/>
    <w:rsid w:val="00DC0638"/>
    <w:rsid w:val="00DC0810"/>
    <w:rsid w:val="00DC1D0A"/>
    <w:rsid w:val="00DC57A6"/>
    <w:rsid w:val="00DC5930"/>
    <w:rsid w:val="00DC70F4"/>
    <w:rsid w:val="00DC7AA6"/>
    <w:rsid w:val="00DD3E72"/>
    <w:rsid w:val="00DD690F"/>
    <w:rsid w:val="00DE2784"/>
    <w:rsid w:val="00DF2386"/>
    <w:rsid w:val="00E05A22"/>
    <w:rsid w:val="00E07148"/>
    <w:rsid w:val="00E12DF1"/>
    <w:rsid w:val="00E1396D"/>
    <w:rsid w:val="00E1698A"/>
    <w:rsid w:val="00E17B05"/>
    <w:rsid w:val="00E22BA9"/>
    <w:rsid w:val="00E26CF7"/>
    <w:rsid w:val="00E32C68"/>
    <w:rsid w:val="00E3676E"/>
    <w:rsid w:val="00E51118"/>
    <w:rsid w:val="00E530EF"/>
    <w:rsid w:val="00E53CD7"/>
    <w:rsid w:val="00E56756"/>
    <w:rsid w:val="00E56CA5"/>
    <w:rsid w:val="00E57452"/>
    <w:rsid w:val="00E64EB5"/>
    <w:rsid w:val="00E71456"/>
    <w:rsid w:val="00E71C35"/>
    <w:rsid w:val="00E727CD"/>
    <w:rsid w:val="00E75036"/>
    <w:rsid w:val="00E76574"/>
    <w:rsid w:val="00E8157F"/>
    <w:rsid w:val="00E9504B"/>
    <w:rsid w:val="00EA1668"/>
    <w:rsid w:val="00EA293C"/>
    <w:rsid w:val="00EB3416"/>
    <w:rsid w:val="00EB40D5"/>
    <w:rsid w:val="00EB53AD"/>
    <w:rsid w:val="00EC04EB"/>
    <w:rsid w:val="00EC730A"/>
    <w:rsid w:val="00EE55D3"/>
    <w:rsid w:val="00EE6A5E"/>
    <w:rsid w:val="00F02F60"/>
    <w:rsid w:val="00F104B1"/>
    <w:rsid w:val="00F15227"/>
    <w:rsid w:val="00F1558B"/>
    <w:rsid w:val="00F20063"/>
    <w:rsid w:val="00F2334C"/>
    <w:rsid w:val="00F23E92"/>
    <w:rsid w:val="00F27670"/>
    <w:rsid w:val="00F33512"/>
    <w:rsid w:val="00F35647"/>
    <w:rsid w:val="00F37F9C"/>
    <w:rsid w:val="00F40E00"/>
    <w:rsid w:val="00F421ED"/>
    <w:rsid w:val="00F431B5"/>
    <w:rsid w:val="00F53B1F"/>
    <w:rsid w:val="00F6303A"/>
    <w:rsid w:val="00F66F09"/>
    <w:rsid w:val="00F677F9"/>
    <w:rsid w:val="00F74E84"/>
    <w:rsid w:val="00F8597E"/>
    <w:rsid w:val="00F92DF4"/>
    <w:rsid w:val="00F96525"/>
    <w:rsid w:val="00FB5A34"/>
    <w:rsid w:val="00FC0408"/>
    <w:rsid w:val="00FD5711"/>
    <w:rsid w:val="00FE2555"/>
    <w:rsid w:val="00FF5AA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4B9B83-D7F5-4A54-9C0C-3E69B0B8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link w:val="HlavikaChar"/>
    <w:uiPriority w:val="99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  <w:lang w:val="x-none" w:eastAsia="x-none"/>
    </w:rPr>
  </w:style>
  <w:style w:type="character" w:styleId="Zvraznenie">
    <w:name w:val="Emphasis"/>
    <w:uiPriority w:val="99"/>
    <w:qFormat/>
    <w:rsid w:val="004274F4"/>
    <w:rPr>
      <w:b/>
      <w:bCs/>
      <w:i w:val="0"/>
      <w:iCs w:val="0"/>
    </w:rPr>
  </w:style>
  <w:style w:type="paragraph" w:styleId="Normlnywebov">
    <w:name w:val="Normal (Web)"/>
    <w:basedOn w:val="Normlny"/>
    <w:rsid w:val="00CF19E9"/>
    <w:pPr>
      <w:spacing w:before="100" w:beforeAutospacing="1" w:after="100" w:afterAutospacing="1"/>
      <w:ind w:left="0" w:firstLine="0"/>
    </w:pPr>
    <w:rPr>
      <w:sz w:val="24"/>
      <w:lang w:val="en-US" w:eastAsia="en-US"/>
    </w:rPr>
  </w:style>
  <w:style w:type="character" w:customStyle="1" w:styleId="hps">
    <w:name w:val="hps"/>
    <w:rsid w:val="00F35647"/>
  </w:style>
  <w:style w:type="character" w:customStyle="1" w:styleId="st1">
    <w:name w:val="st1"/>
    <w:rsid w:val="00862D24"/>
  </w:style>
  <w:style w:type="paragraph" w:customStyle="1" w:styleId="Default">
    <w:name w:val="Default"/>
    <w:rsid w:val="0061174E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AB49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AB4913"/>
    <w:rPr>
      <w:sz w:val="16"/>
      <w:szCs w:val="16"/>
    </w:rPr>
  </w:style>
  <w:style w:type="character" w:customStyle="1" w:styleId="PredmetkomentraChar">
    <w:name w:val="Predmet komentára Char"/>
    <w:link w:val="Predmetkomentra"/>
    <w:uiPriority w:val="99"/>
    <w:locked/>
    <w:rsid w:val="00AB4913"/>
    <w:rPr>
      <w:b/>
      <w:bCs/>
    </w:rPr>
  </w:style>
  <w:style w:type="character" w:customStyle="1" w:styleId="HlavikaChar">
    <w:name w:val="Hlavička Char"/>
    <w:link w:val="Hlavika"/>
    <w:uiPriority w:val="99"/>
    <w:locked/>
    <w:rsid w:val="00AD3000"/>
    <w:rPr>
      <w:rFonts w:ascii="Helvetica" w:hAnsi="Helvetica"/>
      <w:lang w:val="cs-CZ" w:eastAsia="en-US"/>
    </w:rPr>
  </w:style>
  <w:style w:type="paragraph" w:styleId="Bezriadkovania">
    <w:name w:val="No Spacing"/>
    <w:uiPriority w:val="99"/>
    <w:qFormat/>
    <w:rsid w:val="00AD3000"/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65440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A65440"/>
    <w:rPr>
      <w:sz w:val="22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A1668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uiPriority w:val="99"/>
    <w:rsid w:val="00EA1668"/>
    <w:rPr>
      <w:sz w:val="22"/>
      <w:szCs w:val="24"/>
    </w:rPr>
  </w:style>
  <w:style w:type="character" w:customStyle="1" w:styleId="PtaChar">
    <w:name w:val="Päta Char"/>
    <w:link w:val="Pta"/>
    <w:uiPriority w:val="99"/>
    <w:rsid w:val="00F27670"/>
    <w:rPr>
      <w:rFonts w:ascii="Helvetica" w:hAnsi="Helvetica"/>
      <w:sz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2B44-20C9-4ECD-BF58-4F61E4CA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Version 1</vt:lpstr>
      <vt:lpstr>Version 1</vt:lpstr>
    </vt:vector>
  </TitlesOfParts>
  <Company>EMEA</Company>
  <LinksUpToDate>false</LinksUpToDate>
  <CharactersWithSpaces>22692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>General-EMA/53564/2010</dc:subject>
  <dc:creator>Meszarosova, Eva</dc:creator>
  <cp:keywords/>
  <dc:description/>
  <cp:lastModifiedBy>Molnárová, Zuzana</cp:lastModifiedBy>
  <cp:revision>5</cp:revision>
  <cp:lastPrinted>2018-01-12T10:31:00Z</cp:lastPrinted>
  <dcterms:created xsi:type="dcterms:W3CDTF">2018-01-11T12:08:00Z</dcterms:created>
  <dcterms:modified xsi:type="dcterms:W3CDTF">2018-01-12T10:31:00Z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General-EMA/53564/2010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Hreferralspcsk</vt:lpwstr>
  </property>
  <property fmtid="{D5CDD505-2E9C-101B-9397-08002B2CF9AE}" pid="9" name="DM_Owner">
    <vt:lpwstr>Espinasse Claire</vt:lpwstr>
  </property>
  <property fmtid="{D5CDD505-2E9C-101B-9397-08002B2CF9AE}" pid="10" name="DM_Creation_Date">
    <vt:lpwstr>23/04/2010 14:46:36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23/04/2010 14:46:36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EMA/53564/2010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53564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2010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