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41" w:rsidRDefault="001D7541" w:rsidP="00D67149">
      <w:pPr>
        <w:ind w:right="-1"/>
        <w:jc w:val="center"/>
        <w:rPr>
          <w:b/>
          <w:shadow w:val="0"/>
          <w:sz w:val="22"/>
          <w:szCs w:val="22"/>
          <w:lang w:val="sk-SK"/>
        </w:rPr>
      </w:pPr>
      <w:bookmarkStart w:id="0" w:name="_GoBack"/>
      <w:bookmarkEnd w:id="0"/>
    </w:p>
    <w:p w:rsidR="001D7541" w:rsidRDefault="001D7541" w:rsidP="00D67149">
      <w:pPr>
        <w:ind w:right="-1"/>
        <w:jc w:val="center"/>
        <w:rPr>
          <w:shadow w:val="0"/>
          <w:sz w:val="22"/>
          <w:szCs w:val="22"/>
          <w:lang w:val="sk-SK"/>
        </w:rPr>
      </w:pPr>
      <w:r w:rsidRPr="006158B9">
        <w:rPr>
          <w:b/>
          <w:shadow w:val="0"/>
          <w:sz w:val="22"/>
          <w:szCs w:val="22"/>
          <w:lang w:val="sk-SK"/>
        </w:rPr>
        <w:t>SÚHRN CHARAKTERISTICKÝCH VLASTNOSTÍ LIEKU</w:t>
      </w:r>
    </w:p>
    <w:p w:rsidR="001D7541" w:rsidRDefault="001D7541" w:rsidP="00F92456">
      <w:pPr>
        <w:ind w:right="-1"/>
        <w:rPr>
          <w:b/>
          <w:shadow w:val="0"/>
          <w:sz w:val="22"/>
          <w:szCs w:val="22"/>
          <w:u w:val="single"/>
          <w:lang w:val="sk-SK"/>
        </w:rPr>
      </w:pPr>
    </w:p>
    <w:p w:rsidR="001D7541" w:rsidRDefault="001D7541" w:rsidP="00F92456">
      <w:pPr>
        <w:rPr>
          <w:b/>
          <w:shadow w:val="0"/>
          <w:sz w:val="22"/>
          <w:szCs w:val="22"/>
          <w:lang w:val="sk-SK"/>
        </w:rPr>
      </w:pPr>
    </w:p>
    <w:p w:rsidR="001D7541" w:rsidRDefault="001D7541" w:rsidP="00F92456">
      <w:pPr>
        <w:ind w:right="-1"/>
        <w:rPr>
          <w:b/>
          <w:caps/>
          <w:shadow w:val="0"/>
          <w:sz w:val="22"/>
          <w:szCs w:val="22"/>
          <w:lang w:val="sk-SK"/>
        </w:rPr>
      </w:pPr>
      <w:r w:rsidRPr="006158B9">
        <w:rPr>
          <w:b/>
          <w:shadow w:val="0"/>
          <w:sz w:val="22"/>
          <w:szCs w:val="22"/>
          <w:lang w:val="sk-SK"/>
        </w:rPr>
        <w:t xml:space="preserve">1. </w:t>
      </w:r>
      <w:r w:rsidRPr="006158B9">
        <w:rPr>
          <w:b/>
          <w:shadow w:val="0"/>
          <w:sz w:val="22"/>
          <w:szCs w:val="22"/>
          <w:lang w:val="sk-SK"/>
        </w:rPr>
        <w:tab/>
      </w:r>
      <w:r w:rsidRPr="006158B9">
        <w:rPr>
          <w:b/>
          <w:caps/>
          <w:shadow w:val="0"/>
          <w:sz w:val="22"/>
          <w:szCs w:val="22"/>
          <w:lang w:val="sk-SK"/>
        </w:rPr>
        <w:t>Názov lieku</w:t>
      </w:r>
    </w:p>
    <w:p w:rsidR="001D7541" w:rsidRDefault="001D7541" w:rsidP="00F92456">
      <w:pPr>
        <w:rPr>
          <w:b/>
          <w:shadow w:val="0"/>
          <w:sz w:val="22"/>
          <w:szCs w:val="22"/>
          <w:lang w:val="sk-SK"/>
        </w:rPr>
      </w:pPr>
    </w:p>
    <w:p w:rsidR="001D7541" w:rsidRPr="00F92456" w:rsidRDefault="001D7541" w:rsidP="00F92456">
      <w:pPr>
        <w:pStyle w:val="BodyText2"/>
        <w:jc w:val="left"/>
        <w:rPr>
          <w:bCs/>
          <w:shadow w:val="0"/>
          <w:sz w:val="22"/>
          <w:szCs w:val="22"/>
        </w:rPr>
      </w:pPr>
      <w:r w:rsidRPr="008145D8">
        <w:rPr>
          <w:bCs/>
          <w:shadow w:val="0"/>
          <w:sz w:val="22"/>
          <w:szCs w:val="22"/>
        </w:rPr>
        <w:t>Arlevert</w:t>
      </w:r>
      <w:r>
        <w:rPr>
          <w:bCs/>
          <w:shadow w:val="0"/>
          <w:sz w:val="22"/>
          <w:szCs w:val="22"/>
        </w:rPr>
        <w:t xml:space="preserve"> </w:t>
      </w:r>
      <w:r w:rsidRPr="00F92456">
        <w:rPr>
          <w:bCs/>
          <w:shadow w:val="0"/>
          <w:sz w:val="22"/>
          <w:szCs w:val="22"/>
        </w:rPr>
        <w:t>20</w:t>
      </w:r>
      <w:r>
        <w:rPr>
          <w:bCs/>
          <w:shadow w:val="0"/>
          <w:sz w:val="22"/>
          <w:szCs w:val="22"/>
        </w:rPr>
        <w:t xml:space="preserve"> </w:t>
      </w:r>
      <w:r w:rsidRPr="00F92456">
        <w:rPr>
          <w:bCs/>
          <w:shadow w:val="0"/>
          <w:sz w:val="22"/>
          <w:szCs w:val="22"/>
        </w:rPr>
        <w:t>mg/40</w:t>
      </w:r>
      <w:r>
        <w:rPr>
          <w:bCs/>
          <w:shadow w:val="0"/>
          <w:sz w:val="22"/>
          <w:szCs w:val="22"/>
        </w:rPr>
        <w:t xml:space="preserve"> </w:t>
      </w:r>
      <w:r w:rsidRPr="00F92456">
        <w:rPr>
          <w:bCs/>
          <w:shadow w:val="0"/>
          <w:sz w:val="22"/>
          <w:szCs w:val="22"/>
        </w:rPr>
        <w:t>mg tablety</w:t>
      </w:r>
    </w:p>
    <w:p w:rsidR="001D7541" w:rsidRDefault="001D7541" w:rsidP="00F92456">
      <w:pPr>
        <w:rPr>
          <w:shadow w:val="0"/>
          <w:sz w:val="22"/>
          <w:szCs w:val="22"/>
          <w:lang w:val="sk-SK"/>
        </w:rPr>
      </w:pPr>
    </w:p>
    <w:p w:rsidR="001D7541" w:rsidRDefault="001D7541" w:rsidP="00F92456">
      <w:pPr>
        <w:rPr>
          <w:shadow w:val="0"/>
          <w:sz w:val="22"/>
          <w:szCs w:val="22"/>
          <w:lang w:val="sk-SK"/>
        </w:rPr>
      </w:pPr>
    </w:p>
    <w:p w:rsidR="001D7541" w:rsidRDefault="001D7541" w:rsidP="00F92456">
      <w:pPr>
        <w:ind w:right="-1"/>
        <w:rPr>
          <w:b/>
          <w:caps/>
          <w:shadow w:val="0"/>
          <w:sz w:val="22"/>
          <w:szCs w:val="22"/>
          <w:lang w:val="sk-SK"/>
        </w:rPr>
      </w:pPr>
      <w:r w:rsidRPr="006158B9">
        <w:rPr>
          <w:b/>
          <w:shadow w:val="0"/>
          <w:sz w:val="22"/>
          <w:szCs w:val="22"/>
          <w:lang w:val="sk-SK"/>
        </w:rPr>
        <w:t>2.</w:t>
      </w:r>
      <w:r w:rsidRPr="006158B9">
        <w:rPr>
          <w:b/>
          <w:shadow w:val="0"/>
          <w:sz w:val="22"/>
          <w:szCs w:val="22"/>
          <w:lang w:val="sk-SK"/>
        </w:rPr>
        <w:tab/>
      </w:r>
      <w:r w:rsidRPr="006158B9">
        <w:rPr>
          <w:b/>
          <w:caps/>
          <w:shadow w:val="0"/>
          <w:sz w:val="22"/>
          <w:szCs w:val="22"/>
          <w:lang w:val="sk-SK"/>
        </w:rPr>
        <w:t xml:space="preserve">Kvalitatívne a kvantitatívne zloženie </w:t>
      </w:r>
    </w:p>
    <w:p w:rsidR="001D7541" w:rsidRDefault="001D7541" w:rsidP="00F92456">
      <w:pPr>
        <w:ind w:right="-1"/>
        <w:rPr>
          <w:b/>
          <w:shadow w:val="0"/>
          <w:sz w:val="22"/>
          <w:szCs w:val="22"/>
          <w:lang w:val="sk-SK"/>
        </w:rPr>
      </w:pPr>
    </w:p>
    <w:p w:rsidR="001D7541" w:rsidRDefault="001D7541" w:rsidP="00F92456">
      <w:pPr>
        <w:rPr>
          <w:shadow w:val="0"/>
          <w:sz w:val="22"/>
          <w:szCs w:val="22"/>
          <w:lang w:val="sk-SK"/>
        </w:rPr>
      </w:pPr>
      <w:r w:rsidRPr="006158B9">
        <w:rPr>
          <w:shadow w:val="0"/>
          <w:sz w:val="22"/>
          <w:szCs w:val="22"/>
          <w:lang w:val="sk-SK"/>
        </w:rPr>
        <w:t>Jedna tableta Arlevert</w:t>
      </w:r>
      <w:r>
        <w:rPr>
          <w:shadow w:val="0"/>
          <w:sz w:val="22"/>
          <w:szCs w:val="22"/>
          <w:lang w:val="sk-SK"/>
        </w:rPr>
        <w:t>u</w:t>
      </w:r>
      <w:r w:rsidRPr="006158B9">
        <w:rPr>
          <w:shadow w:val="0"/>
          <w:sz w:val="22"/>
          <w:szCs w:val="22"/>
          <w:lang w:val="sk-SK"/>
        </w:rPr>
        <w:t xml:space="preserve"> obsahuje liečivá:</w:t>
      </w:r>
    </w:p>
    <w:p w:rsidR="001D7541" w:rsidRDefault="001D7541" w:rsidP="00F92456">
      <w:pPr>
        <w:rPr>
          <w:shadow w:val="0"/>
          <w:sz w:val="22"/>
          <w:szCs w:val="22"/>
          <w:lang w:val="sk-SK"/>
        </w:rPr>
      </w:pPr>
      <w:r w:rsidRPr="006158B9">
        <w:rPr>
          <w:shadow w:val="0"/>
          <w:sz w:val="22"/>
          <w:szCs w:val="22"/>
          <w:lang w:val="sk-SK"/>
        </w:rPr>
        <w:t>Cinariz</w:t>
      </w:r>
      <w:r>
        <w:rPr>
          <w:shadow w:val="0"/>
          <w:sz w:val="22"/>
          <w:szCs w:val="22"/>
          <w:lang w:val="sk-SK"/>
        </w:rPr>
        <w:t xml:space="preserve">ín </w:t>
      </w:r>
      <w:r w:rsidRPr="006158B9">
        <w:rPr>
          <w:shadow w:val="0"/>
          <w:sz w:val="22"/>
          <w:szCs w:val="22"/>
          <w:lang w:val="sk-SK"/>
        </w:rPr>
        <w:t>20 mg</w:t>
      </w:r>
    </w:p>
    <w:p w:rsidR="001D7541" w:rsidRDefault="001D7541" w:rsidP="00F92456">
      <w:pPr>
        <w:rPr>
          <w:shadow w:val="0"/>
          <w:sz w:val="22"/>
          <w:szCs w:val="22"/>
          <w:lang w:val="sk-SK"/>
        </w:rPr>
      </w:pPr>
      <w:r w:rsidRPr="006158B9">
        <w:rPr>
          <w:shadow w:val="0"/>
          <w:sz w:val="22"/>
          <w:szCs w:val="22"/>
          <w:lang w:val="sk-SK"/>
        </w:rPr>
        <w:t>Dimenhydrin</w:t>
      </w:r>
      <w:r>
        <w:rPr>
          <w:shadow w:val="0"/>
          <w:sz w:val="22"/>
          <w:szCs w:val="22"/>
          <w:lang w:val="sk-SK"/>
        </w:rPr>
        <w:t>á</w:t>
      </w:r>
      <w:r w:rsidRPr="006158B9">
        <w:rPr>
          <w:shadow w:val="0"/>
          <w:sz w:val="22"/>
          <w:szCs w:val="22"/>
          <w:lang w:val="sk-SK"/>
        </w:rPr>
        <w:t>t</w:t>
      </w:r>
      <w:r>
        <w:rPr>
          <w:shadow w:val="0"/>
          <w:sz w:val="22"/>
          <w:szCs w:val="22"/>
          <w:lang w:val="sk-SK"/>
        </w:rPr>
        <w:t xml:space="preserve"> </w:t>
      </w:r>
      <w:r w:rsidRPr="006158B9">
        <w:rPr>
          <w:shadow w:val="0"/>
          <w:sz w:val="22"/>
          <w:szCs w:val="22"/>
          <w:lang w:val="sk-SK"/>
        </w:rPr>
        <w:t>40 mg</w:t>
      </w:r>
    </w:p>
    <w:p w:rsidR="001D7541" w:rsidRDefault="001D7541" w:rsidP="00F92456">
      <w:pPr>
        <w:rPr>
          <w:shadow w:val="0"/>
          <w:sz w:val="22"/>
          <w:szCs w:val="22"/>
          <w:lang w:val="sk-SK"/>
        </w:rPr>
      </w:pPr>
    </w:p>
    <w:p w:rsidR="001D7541" w:rsidRPr="006158B9" w:rsidRDefault="001D7541" w:rsidP="007D3F09">
      <w:pPr>
        <w:tabs>
          <w:tab w:val="left" w:pos="567"/>
        </w:tabs>
        <w:spacing w:line="260" w:lineRule="exact"/>
        <w:rPr>
          <w:shadow w:val="0"/>
          <w:sz w:val="22"/>
          <w:szCs w:val="22"/>
          <w:lang w:val="sk-SK" w:eastAsia="en-US"/>
        </w:rPr>
      </w:pPr>
      <w:r w:rsidRPr="00720BD5">
        <w:rPr>
          <w:shadow w:val="0"/>
          <w:sz w:val="22"/>
          <w:szCs w:val="22"/>
          <w:lang w:val="sk-SK" w:eastAsia="en-US"/>
        </w:rPr>
        <w:t>Úplný zoznam pomocných látok, pozri časť 6.1.</w:t>
      </w:r>
    </w:p>
    <w:p w:rsidR="001D7541" w:rsidRDefault="001D7541" w:rsidP="00F92456">
      <w:pPr>
        <w:rPr>
          <w:shadow w:val="0"/>
          <w:sz w:val="22"/>
          <w:szCs w:val="22"/>
          <w:lang w:val="sk-SK"/>
        </w:rPr>
      </w:pPr>
    </w:p>
    <w:p w:rsidR="001D7541" w:rsidRDefault="001D7541" w:rsidP="00F92456">
      <w:pPr>
        <w:rPr>
          <w:shadow w:val="0"/>
          <w:sz w:val="22"/>
          <w:szCs w:val="22"/>
          <w:lang w:val="sk-SK"/>
        </w:rPr>
      </w:pPr>
    </w:p>
    <w:p w:rsidR="001D7541" w:rsidRDefault="001D7541" w:rsidP="00F92456">
      <w:pPr>
        <w:ind w:right="-1"/>
        <w:rPr>
          <w:caps/>
          <w:shadow w:val="0"/>
          <w:sz w:val="22"/>
          <w:szCs w:val="22"/>
          <w:lang w:val="sk-SK"/>
        </w:rPr>
      </w:pPr>
      <w:r w:rsidRPr="006158B9">
        <w:rPr>
          <w:b/>
          <w:caps/>
          <w:shadow w:val="0"/>
          <w:sz w:val="22"/>
          <w:szCs w:val="22"/>
          <w:lang w:val="sk-SK"/>
        </w:rPr>
        <w:t xml:space="preserve">3. </w:t>
      </w:r>
      <w:r w:rsidRPr="006158B9">
        <w:rPr>
          <w:b/>
          <w:caps/>
          <w:shadow w:val="0"/>
          <w:sz w:val="22"/>
          <w:szCs w:val="22"/>
          <w:lang w:val="sk-SK"/>
        </w:rPr>
        <w:tab/>
        <w:t>Lieková forma</w:t>
      </w:r>
    </w:p>
    <w:p w:rsidR="001D7541" w:rsidRDefault="001D7541" w:rsidP="00F92456">
      <w:pPr>
        <w:rPr>
          <w:b/>
          <w:shadow w:val="0"/>
          <w:sz w:val="22"/>
          <w:szCs w:val="22"/>
          <w:lang w:val="sk-SK"/>
        </w:rPr>
      </w:pPr>
    </w:p>
    <w:p w:rsidR="001D7541" w:rsidRDefault="001D7541" w:rsidP="00F92456">
      <w:pPr>
        <w:pStyle w:val="BodyText2"/>
        <w:jc w:val="left"/>
        <w:rPr>
          <w:shadow w:val="0"/>
          <w:sz w:val="22"/>
          <w:szCs w:val="22"/>
        </w:rPr>
      </w:pPr>
      <w:r w:rsidRPr="006158B9">
        <w:rPr>
          <w:shadow w:val="0"/>
          <w:sz w:val="22"/>
          <w:szCs w:val="22"/>
        </w:rPr>
        <w:t>Tablet</w:t>
      </w:r>
      <w:r>
        <w:rPr>
          <w:shadow w:val="0"/>
          <w:sz w:val="22"/>
          <w:szCs w:val="22"/>
        </w:rPr>
        <w:t>a</w:t>
      </w:r>
    </w:p>
    <w:p w:rsidR="001D7541" w:rsidRDefault="001D7541" w:rsidP="00F92456">
      <w:pPr>
        <w:pStyle w:val="BodyText2"/>
        <w:jc w:val="left"/>
        <w:rPr>
          <w:shadow w:val="0"/>
          <w:sz w:val="22"/>
          <w:szCs w:val="22"/>
        </w:rPr>
      </w:pPr>
      <w:r w:rsidRPr="00F92456">
        <w:rPr>
          <w:rStyle w:val="hps"/>
          <w:shadow w:val="0"/>
          <w:sz w:val="22"/>
          <w:szCs w:val="22"/>
        </w:rPr>
        <w:t>Okrúhle</w:t>
      </w:r>
      <w:r w:rsidRPr="00F92456">
        <w:rPr>
          <w:shadow w:val="0"/>
          <w:sz w:val="22"/>
          <w:szCs w:val="22"/>
        </w:rPr>
        <w:t xml:space="preserve"> </w:t>
      </w:r>
      <w:r w:rsidRPr="00F92456">
        <w:rPr>
          <w:rStyle w:val="hps"/>
          <w:shadow w:val="0"/>
          <w:sz w:val="22"/>
          <w:szCs w:val="22"/>
        </w:rPr>
        <w:t>bikonvexné</w:t>
      </w:r>
      <w:r w:rsidRPr="00F92456">
        <w:rPr>
          <w:shadow w:val="0"/>
          <w:sz w:val="22"/>
          <w:szCs w:val="22"/>
        </w:rPr>
        <w:t xml:space="preserve"> </w:t>
      </w:r>
      <w:r w:rsidRPr="00F92456">
        <w:rPr>
          <w:rStyle w:val="hps"/>
          <w:shadow w:val="0"/>
          <w:sz w:val="22"/>
          <w:szCs w:val="22"/>
        </w:rPr>
        <w:t>biele až</w:t>
      </w:r>
      <w:r w:rsidRPr="00F92456">
        <w:rPr>
          <w:shadow w:val="0"/>
          <w:sz w:val="22"/>
          <w:szCs w:val="22"/>
        </w:rPr>
        <w:t xml:space="preserve"> </w:t>
      </w:r>
      <w:r w:rsidRPr="00F92456">
        <w:rPr>
          <w:rStyle w:val="hps"/>
          <w:shadow w:val="0"/>
          <w:sz w:val="22"/>
          <w:szCs w:val="22"/>
        </w:rPr>
        <w:t>svetložlté</w:t>
      </w:r>
      <w:r w:rsidRPr="00F92456">
        <w:rPr>
          <w:shadow w:val="0"/>
          <w:sz w:val="22"/>
          <w:szCs w:val="22"/>
        </w:rPr>
        <w:t xml:space="preserve"> </w:t>
      </w:r>
      <w:r w:rsidRPr="00F92456">
        <w:rPr>
          <w:rStyle w:val="hps"/>
          <w:shadow w:val="0"/>
          <w:sz w:val="22"/>
          <w:szCs w:val="22"/>
        </w:rPr>
        <w:t>tablety</w:t>
      </w:r>
      <w:r w:rsidRPr="00F92456">
        <w:rPr>
          <w:shadow w:val="0"/>
          <w:sz w:val="22"/>
          <w:szCs w:val="22"/>
        </w:rPr>
        <w:t xml:space="preserve"> </w:t>
      </w:r>
      <w:r w:rsidRPr="00F92456">
        <w:rPr>
          <w:rStyle w:val="hps"/>
          <w:shadow w:val="0"/>
          <w:sz w:val="22"/>
          <w:szCs w:val="22"/>
        </w:rPr>
        <w:t>s</w:t>
      </w:r>
      <w:r w:rsidRPr="00F92456">
        <w:rPr>
          <w:shadow w:val="0"/>
          <w:sz w:val="22"/>
          <w:szCs w:val="22"/>
        </w:rPr>
        <w:t xml:space="preserve"> </w:t>
      </w:r>
      <w:r w:rsidRPr="00F92456">
        <w:rPr>
          <w:rStyle w:val="hps"/>
          <w:shadow w:val="0"/>
          <w:sz w:val="22"/>
          <w:szCs w:val="22"/>
        </w:rPr>
        <w:t>označením "</w:t>
      </w:r>
      <w:r w:rsidRPr="00F92456">
        <w:rPr>
          <w:shadow w:val="0"/>
          <w:sz w:val="22"/>
          <w:szCs w:val="22"/>
        </w:rPr>
        <w:t xml:space="preserve">A" </w:t>
      </w:r>
      <w:r w:rsidRPr="00F92456">
        <w:rPr>
          <w:rStyle w:val="hps"/>
          <w:shadow w:val="0"/>
          <w:sz w:val="22"/>
          <w:szCs w:val="22"/>
        </w:rPr>
        <w:t>na</w:t>
      </w:r>
      <w:r w:rsidRPr="00F92456">
        <w:rPr>
          <w:shadow w:val="0"/>
          <w:sz w:val="22"/>
          <w:szCs w:val="22"/>
        </w:rPr>
        <w:t xml:space="preserve"> </w:t>
      </w:r>
      <w:r w:rsidRPr="00F92456">
        <w:rPr>
          <w:rStyle w:val="hps"/>
          <w:shadow w:val="0"/>
          <w:sz w:val="22"/>
          <w:szCs w:val="22"/>
        </w:rPr>
        <w:t>jednej</w:t>
      </w:r>
      <w:r w:rsidRPr="00F92456">
        <w:rPr>
          <w:shadow w:val="0"/>
          <w:sz w:val="22"/>
          <w:szCs w:val="22"/>
        </w:rPr>
        <w:t xml:space="preserve"> </w:t>
      </w:r>
      <w:r w:rsidRPr="00F92456">
        <w:rPr>
          <w:rStyle w:val="hps"/>
          <w:shadow w:val="0"/>
          <w:sz w:val="22"/>
          <w:szCs w:val="22"/>
        </w:rPr>
        <w:t>strane</w:t>
      </w:r>
      <w:r w:rsidRPr="00F92456">
        <w:rPr>
          <w:shadow w:val="0"/>
          <w:sz w:val="22"/>
          <w:szCs w:val="22"/>
        </w:rPr>
        <w:t>.</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p>
    <w:p w:rsidR="001D7541" w:rsidRDefault="001D7541" w:rsidP="00F92456">
      <w:pPr>
        <w:ind w:right="-1"/>
        <w:rPr>
          <w:caps/>
          <w:shadow w:val="0"/>
          <w:sz w:val="22"/>
          <w:szCs w:val="22"/>
          <w:lang w:val="sk-SK"/>
        </w:rPr>
      </w:pPr>
      <w:r w:rsidRPr="006158B9">
        <w:rPr>
          <w:b/>
          <w:caps/>
          <w:shadow w:val="0"/>
          <w:sz w:val="22"/>
          <w:szCs w:val="22"/>
          <w:lang w:val="sk-SK"/>
        </w:rPr>
        <w:t xml:space="preserve">4. </w:t>
      </w:r>
      <w:r w:rsidRPr="006158B9">
        <w:rPr>
          <w:b/>
          <w:caps/>
          <w:shadow w:val="0"/>
          <w:sz w:val="22"/>
          <w:szCs w:val="22"/>
          <w:lang w:val="sk-SK"/>
        </w:rPr>
        <w:tab/>
        <w:t>Klinické údaje</w:t>
      </w:r>
    </w:p>
    <w:p w:rsidR="001D7541" w:rsidRDefault="001D7541" w:rsidP="00F92456">
      <w:pPr>
        <w:ind w:right="-1"/>
        <w:rPr>
          <w:shadow w:val="0"/>
          <w:sz w:val="22"/>
          <w:szCs w:val="22"/>
          <w:lang w:val="sk-SK"/>
        </w:rPr>
      </w:pPr>
    </w:p>
    <w:p w:rsidR="001D7541" w:rsidRDefault="001D7541" w:rsidP="00F92456">
      <w:pPr>
        <w:ind w:right="-1"/>
        <w:rPr>
          <w:b/>
          <w:shadow w:val="0"/>
          <w:sz w:val="22"/>
          <w:szCs w:val="22"/>
          <w:lang w:val="sk-SK"/>
        </w:rPr>
      </w:pPr>
      <w:r w:rsidRPr="006158B9">
        <w:rPr>
          <w:b/>
          <w:shadow w:val="0"/>
          <w:sz w:val="22"/>
          <w:szCs w:val="22"/>
          <w:lang w:val="sk-SK"/>
        </w:rPr>
        <w:t>4.1</w:t>
      </w:r>
      <w:r>
        <w:rPr>
          <w:b/>
          <w:shadow w:val="0"/>
          <w:sz w:val="22"/>
          <w:szCs w:val="22"/>
          <w:lang w:val="sk-SK"/>
        </w:rPr>
        <w:tab/>
      </w:r>
      <w:r w:rsidRPr="006158B9">
        <w:rPr>
          <w:b/>
          <w:shadow w:val="0"/>
          <w:sz w:val="22"/>
          <w:szCs w:val="22"/>
          <w:lang w:val="sk-SK"/>
        </w:rPr>
        <w:t>Terapeutické indikácie</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Liečba vertiga rôzneho pôvodu.</w:t>
      </w:r>
    </w:p>
    <w:p w:rsidR="001D7541" w:rsidRDefault="001D7541" w:rsidP="00F92456">
      <w:pPr>
        <w:pStyle w:val="BodyText2"/>
        <w:jc w:val="left"/>
        <w:rPr>
          <w:shadow w:val="0"/>
          <w:sz w:val="22"/>
          <w:szCs w:val="22"/>
        </w:rPr>
      </w:pPr>
    </w:p>
    <w:p w:rsidR="001D7541" w:rsidRDefault="001D7541" w:rsidP="00F92456">
      <w:pPr>
        <w:ind w:right="-1"/>
        <w:rPr>
          <w:b/>
          <w:shadow w:val="0"/>
          <w:sz w:val="22"/>
          <w:szCs w:val="22"/>
          <w:lang w:val="sk-SK"/>
        </w:rPr>
      </w:pPr>
      <w:r w:rsidRPr="006158B9">
        <w:rPr>
          <w:b/>
          <w:shadow w:val="0"/>
          <w:sz w:val="22"/>
          <w:szCs w:val="22"/>
          <w:lang w:val="sk-SK"/>
        </w:rPr>
        <w:t>4.2</w:t>
      </w:r>
      <w:r>
        <w:rPr>
          <w:b/>
          <w:shadow w:val="0"/>
          <w:sz w:val="22"/>
          <w:szCs w:val="22"/>
          <w:lang w:val="sk-SK"/>
        </w:rPr>
        <w:tab/>
      </w:r>
      <w:r w:rsidRPr="006158B9">
        <w:rPr>
          <w:b/>
          <w:shadow w:val="0"/>
          <w:sz w:val="22"/>
          <w:szCs w:val="22"/>
          <w:lang w:val="sk-SK"/>
        </w:rPr>
        <w:t>Dávkovanie a spôsob podávania</w:t>
      </w:r>
    </w:p>
    <w:p w:rsidR="001D7541" w:rsidRDefault="001D7541" w:rsidP="00F92456">
      <w:pPr>
        <w:pStyle w:val="BodyText2"/>
        <w:jc w:val="left"/>
        <w:rPr>
          <w:b/>
          <w:shadow w:val="0"/>
          <w:sz w:val="22"/>
          <w:szCs w:val="22"/>
        </w:rPr>
      </w:pPr>
    </w:p>
    <w:p w:rsidR="001D7541" w:rsidRPr="00090668" w:rsidRDefault="001D7541" w:rsidP="007D3F09">
      <w:pPr>
        <w:rPr>
          <w:shadow w:val="0"/>
          <w:sz w:val="22"/>
          <w:szCs w:val="22"/>
          <w:u w:val="single"/>
        </w:rPr>
      </w:pPr>
      <w:r w:rsidRPr="00F92456">
        <w:rPr>
          <w:shadow w:val="0"/>
          <w:sz w:val="22"/>
          <w:szCs w:val="22"/>
          <w:u w:val="single"/>
        </w:rPr>
        <w:t>Dávkovanie</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3 x denne 1 tableta, ktorá sa užíva po jedle nerozhryzená s dostatočným množstvom vody.</w:t>
      </w:r>
    </w:p>
    <w:p w:rsidR="001D7541" w:rsidRDefault="001D7541" w:rsidP="00F92456">
      <w:pPr>
        <w:pStyle w:val="BodyText2"/>
        <w:jc w:val="left"/>
        <w:rPr>
          <w:shadow w:val="0"/>
          <w:sz w:val="22"/>
          <w:szCs w:val="22"/>
        </w:rPr>
      </w:pPr>
      <w:r w:rsidRPr="006158B9">
        <w:rPr>
          <w:shadow w:val="0"/>
          <w:sz w:val="22"/>
          <w:szCs w:val="22"/>
        </w:rPr>
        <w:t>Na začiatku liečby a v ťažkých prípadoch sa môže dávkovanie zvýšiť až na 5 tabliet denne.</w:t>
      </w:r>
    </w:p>
    <w:p w:rsidR="001D7541" w:rsidRDefault="001D7541" w:rsidP="00F92456">
      <w:pPr>
        <w:pStyle w:val="BodyText2"/>
        <w:jc w:val="left"/>
        <w:rPr>
          <w:shadow w:val="0"/>
          <w:sz w:val="22"/>
          <w:szCs w:val="22"/>
        </w:rPr>
      </w:pPr>
    </w:p>
    <w:p w:rsidR="001D7541" w:rsidRPr="00316640" w:rsidRDefault="001D7541" w:rsidP="007D3F09">
      <w:pPr>
        <w:rPr>
          <w:shadow w:val="0"/>
          <w:sz w:val="22"/>
          <w:szCs w:val="22"/>
          <w:u w:val="single"/>
        </w:rPr>
      </w:pPr>
      <w:r w:rsidRPr="00316640">
        <w:rPr>
          <w:shadow w:val="0"/>
          <w:sz w:val="22"/>
          <w:szCs w:val="22"/>
          <w:u w:val="single"/>
        </w:rPr>
        <w:t>Spôsob</w:t>
      </w:r>
      <w:r w:rsidRPr="00316640">
        <w:rPr>
          <w:shadow w:val="0"/>
          <w:noProof/>
          <w:sz w:val="22"/>
          <w:szCs w:val="22"/>
          <w:u w:val="single"/>
        </w:rPr>
        <w:t xml:space="preserve"> podávania</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Arlevert je potrebné užívať dlhšie obdobie. V takom prípade musí lekár opakovane sledovať zdravotný stav pacienta.</w:t>
      </w:r>
    </w:p>
    <w:p w:rsidR="001D7541" w:rsidRDefault="001D7541" w:rsidP="00F92456">
      <w:pPr>
        <w:ind w:right="-1"/>
        <w:rPr>
          <w:shadow w:val="0"/>
          <w:sz w:val="22"/>
          <w:szCs w:val="22"/>
          <w:lang w:val="sk-SK"/>
        </w:rPr>
      </w:pPr>
    </w:p>
    <w:p w:rsidR="001D7541" w:rsidRDefault="001D7541" w:rsidP="00F92456">
      <w:pPr>
        <w:ind w:right="-1"/>
        <w:rPr>
          <w:b/>
          <w:shadow w:val="0"/>
          <w:sz w:val="22"/>
          <w:szCs w:val="22"/>
          <w:lang w:val="sk-SK"/>
        </w:rPr>
      </w:pPr>
      <w:r w:rsidRPr="006158B9">
        <w:rPr>
          <w:b/>
          <w:shadow w:val="0"/>
          <w:sz w:val="22"/>
          <w:szCs w:val="22"/>
          <w:lang w:val="sk-SK"/>
        </w:rPr>
        <w:t>4.3</w:t>
      </w:r>
      <w:r>
        <w:rPr>
          <w:b/>
          <w:shadow w:val="0"/>
          <w:sz w:val="22"/>
          <w:szCs w:val="22"/>
          <w:lang w:val="sk-SK"/>
        </w:rPr>
        <w:tab/>
      </w:r>
      <w:r w:rsidRPr="006158B9">
        <w:rPr>
          <w:b/>
          <w:shadow w:val="0"/>
          <w:sz w:val="22"/>
          <w:szCs w:val="22"/>
          <w:lang w:val="sk-SK"/>
        </w:rPr>
        <w:t>Kontraindikácie</w:t>
      </w:r>
    </w:p>
    <w:p w:rsidR="001D7541" w:rsidRDefault="001D7541" w:rsidP="00F92456">
      <w:pPr>
        <w:pStyle w:val="BodyText2"/>
        <w:jc w:val="left"/>
        <w:rPr>
          <w:b/>
          <w:shadow w:val="0"/>
          <w:sz w:val="22"/>
          <w:szCs w:val="22"/>
        </w:rPr>
      </w:pPr>
    </w:p>
    <w:p w:rsidR="001D7541" w:rsidRDefault="001D7541" w:rsidP="00F92456">
      <w:pPr>
        <w:pStyle w:val="BodyText2"/>
        <w:jc w:val="left"/>
        <w:rPr>
          <w:bCs/>
          <w:shadow w:val="0"/>
          <w:sz w:val="22"/>
          <w:szCs w:val="22"/>
        </w:rPr>
      </w:pPr>
      <w:r w:rsidRPr="006158B9">
        <w:rPr>
          <w:bCs/>
          <w:shadow w:val="0"/>
          <w:sz w:val="22"/>
          <w:szCs w:val="22"/>
        </w:rPr>
        <w:t>Arlevert je kontraindikovaný v nasledovných situáciách:</w:t>
      </w:r>
    </w:p>
    <w:p w:rsidR="001D7541" w:rsidRDefault="001D7541" w:rsidP="00F92456">
      <w:pPr>
        <w:pStyle w:val="BodyText2"/>
        <w:numPr>
          <w:ilvl w:val="0"/>
          <w:numId w:val="25"/>
          <w:numberingChange w:id="1" w:author="Unknown" w:date="2015-07-09T11:05:00Z" w:original=""/>
        </w:numPr>
        <w:jc w:val="left"/>
        <w:rPr>
          <w:shadow w:val="0"/>
          <w:sz w:val="22"/>
          <w:szCs w:val="22"/>
        </w:rPr>
      </w:pPr>
      <w:r w:rsidRPr="00F12191">
        <w:rPr>
          <w:shadow w:val="0"/>
          <w:sz w:val="22"/>
          <w:szCs w:val="22"/>
        </w:rPr>
        <w:t>Precitlivenosť na cinarizín, dimenhydrinát, alebo na ktorúkoľvek z pomocných látok uvedených v časti 6.1.</w:t>
      </w:r>
    </w:p>
    <w:p w:rsidR="001D7541" w:rsidRDefault="001D7541" w:rsidP="00F92456">
      <w:pPr>
        <w:pStyle w:val="BodyText2"/>
        <w:numPr>
          <w:ilvl w:val="0"/>
          <w:numId w:val="25"/>
          <w:numberingChange w:id="2" w:author="Unknown" w:date="2015-07-09T11:05:00Z" w:original=""/>
        </w:numPr>
        <w:jc w:val="left"/>
        <w:rPr>
          <w:shadow w:val="0"/>
          <w:sz w:val="22"/>
          <w:szCs w:val="22"/>
        </w:rPr>
      </w:pPr>
      <w:r w:rsidRPr="006158B9">
        <w:rPr>
          <w:shadow w:val="0"/>
          <w:sz w:val="22"/>
          <w:szCs w:val="22"/>
        </w:rPr>
        <w:t>akútna otrava;</w:t>
      </w:r>
    </w:p>
    <w:p w:rsidR="001D7541" w:rsidRDefault="001D7541" w:rsidP="00F92456">
      <w:pPr>
        <w:pStyle w:val="BodyText2"/>
        <w:numPr>
          <w:ilvl w:val="0"/>
          <w:numId w:val="25"/>
          <w:numberingChange w:id="3" w:author="Unknown" w:date="2015-07-09T11:05:00Z" w:original=""/>
        </w:numPr>
        <w:jc w:val="left"/>
        <w:rPr>
          <w:shadow w:val="0"/>
          <w:sz w:val="22"/>
          <w:szCs w:val="22"/>
        </w:rPr>
      </w:pPr>
      <w:r w:rsidRPr="006158B9">
        <w:rPr>
          <w:shadow w:val="0"/>
          <w:sz w:val="22"/>
          <w:szCs w:val="22"/>
        </w:rPr>
        <w:t>kŕče;</w:t>
      </w:r>
    </w:p>
    <w:p w:rsidR="001D7541" w:rsidRDefault="001D7541" w:rsidP="00F92456">
      <w:pPr>
        <w:pStyle w:val="BodyText2"/>
        <w:numPr>
          <w:ilvl w:val="0"/>
          <w:numId w:val="25"/>
          <w:numberingChange w:id="4" w:author="Unknown" w:date="2015-07-09T11:05:00Z" w:original=""/>
        </w:numPr>
        <w:jc w:val="left"/>
        <w:rPr>
          <w:shadow w:val="0"/>
          <w:sz w:val="22"/>
          <w:szCs w:val="22"/>
        </w:rPr>
      </w:pPr>
      <w:r w:rsidRPr="006158B9">
        <w:rPr>
          <w:shadow w:val="0"/>
          <w:sz w:val="22"/>
          <w:szCs w:val="22"/>
        </w:rPr>
        <w:t>podozrenie na expanzívny intrakraniálny proces (sťažil by diagnózu);</w:t>
      </w:r>
      <w:r>
        <w:rPr>
          <w:shadow w:val="0"/>
          <w:sz w:val="22"/>
          <w:szCs w:val="22"/>
        </w:rPr>
        <w:t xml:space="preserve"> </w:t>
      </w:r>
    </w:p>
    <w:p w:rsidR="001D7541" w:rsidRDefault="001D7541" w:rsidP="00F92456">
      <w:pPr>
        <w:pStyle w:val="BodyText2"/>
        <w:numPr>
          <w:ilvl w:val="0"/>
          <w:numId w:val="25"/>
          <w:numberingChange w:id="5" w:author="Unknown" w:date="2015-07-09T11:05:00Z" w:original=""/>
        </w:numPr>
        <w:jc w:val="left"/>
        <w:rPr>
          <w:shadow w:val="0"/>
          <w:sz w:val="22"/>
          <w:szCs w:val="22"/>
        </w:rPr>
      </w:pPr>
      <w:r w:rsidRPr="006158B9">
        <w:rPr>
          <w:shadow w:val="0"/>
          <w:sz w:val="22"/>
          <w:szCs w:val="22"/>
        </w:rPr>
        <w:t>glaukóm s uzavretým uhlom;</w:t>
      </w:r>
    </w:p>
    <w:p w:rsidR="001D7541" w:rsidRDefault="001D7541" w:rsidP="00F92456">
      <w:pPr>
        <w:pStyle w:val="BodyText2"/>
        <w:numPr>
          <w:ilvl w:val="0"/>
          <w:numId w:val="25"/>
          <w:numberingChange w:id="6" w:author="Unknown" w:date="2015-07-09T11:05:00Z" w:original=""/>
        </w:numPr>
        <w:jc w:val="left"/>
        <w:rPr>
          <w:shadow w:val="0"/>
          <w:sz w:val="22"/>
          <w:szCs w:val="22"/>
        </w:rPr>
      </w:pPr>
      <w:r w:rsidRPr="006158B9">
        <w:rPr>
          <w:shadow w:val="0"/>
          <w:sz w:val="22"/>
          <w:szCs w:val="22"/>
        </w:rPr>
        <w:t>hyperplázia prostaty s tvorbou močového rezídua;</w:t>
      </w:r>
    </w:p>
    <w:p w:rsidR="001D7541" w:rsidRDefault="001D7541" w:rsidP="00F92456">
      <w:pPr>
        <w:pStyle w:val="BodyText2"/>
        <w:numPr>
          <w:ilvl w:val="0"/>
          <w:numId w:val="25"/>
          <w:numberingChange w:id="7" w:author="Unknown" w:date="2015-07-09T11:05:00Z" w:original=""/>
        </w:numPr>
        <w:jc w:val="left"/>
        <w:rPr>
          <w:shadow w:val="0"/>
          <w:sz w:val="22"/>
          <w:szCs w:val="22"/>
        </w:rPr>
      </w:pPr>
      <w:r w:rsidRPr="006158B9">
        <w:rPr>
          <w:shadow w:val="0"/>
          <w:sz w:val="22"/>
          <w:szCs w:val="22"/>
        </w:rPr>
        <w:t>abúzus alkoholu;</w:t>
      </w:r>
    </w:p>
    <w:p w:rsidR="001D7541" w:rsidRDefault="001D7541" w:rsidP="00F92456">
      <w:pPr>
        <w:pStyle w:val="BodyText2"/>
        <w:numPr>
          <w:ilvl w:val="0"/>
          <w:numId w:val="25"/>
          <w:numberingChange w:id="8" w:author="Unknown" w:date="2015-07-09T11:05:00Z" w:original=""/>
        </w:numPr>
        <w:jc w:val="left"/>
        <w:rPr>
          <w:shadow w:val="0"/>
          <w:sz w:val="22"/>
          <w:szCs w:val="22"/>
        </w:rPr>
      </w:pPr>
      <w:r w:rsidRPr="006158B9">
        <w:rPr>
          <w:shadow w:val="0"/>
          <w:sz w:val="22"/>
          <w:szCs w:val="22"/>
        </w:rPr>
        <w:t>liečba aminoglykozidovými antibiotikami (môže byť maskovaný ototoxický účinok);</w:t>
      </w:r>
    </w:p>
    <w:p w:rsidR="001D7541" w:rsidRDefault="001D7541" w:rsidP="00F92456">
      <w:pPr>
        <w:pStyle w:val="BodyText2"/>
        <w:numPr>
          <w:ilvl w:val="0"/>
          <w:numId w:val="25"/>
          <w:numberingChange w:id="9" w:author="Unknown" w:date="2015-07-09T11:05:00Z" w:original=""/>
        </w:numPr>
        <w:jc w:val="left"/>
        <w:rPr>
          <w:shadow w:val="0"/>
          <w:sz w:val="22"/>
          <w:szCs w:val="22"/>
        </w:rPr>
      </w:pPr>
      <w:r w:rsidRPr="006158B9">
        <w:rPr>
          <w:shadow w:val="0"/>
          <w:sz w:val="22"/>
          <w:szCs w:val="22"/>
        </w:rPr>
        <w:t>predčasne narodené deti a novorodenci;</w:t>
      </w:r>
    </w:p>
    <w:p w:rsidR="001D7541" w:rsidRDefault="001D7541" w:rsidP="00F92456">
      <w:pPr>
        <w:pStyle w:val="BodyText2"/>
        <w:numPr>
          <w:ilvl w:val="0"/>
          <w:numId w:val="25"/>
          <w:numberingChange w:id="10" w:author="Unknown" w:date="2015-07-09T11:05:00Z" w:original=""/>
        </w:numPr>
        <w:jc w:val="left"/>
        <w:rPr>
          <w:shadow w:val="0"/>
          <w:sz w:val="22"/>
          <w:szCs w:val="22"/>
        </w:rPr>
      </w:pPr>
      <w:r w:rsidRPr="006158B9">
        <w:rPr>
          <w:shadow w:val="0"/>
          <w:sz w:val="22"/>
          <w:szCs w:val="22"/>
        </w:rPr>
        <w:t>gravidita;</w:t>
      </w:r>
    </w:p>
    <w:p w:rsidR="001D7541" w:rsidRDefault="001D7541" w:rsidP="00F92456">
      <w:pPr>
        <w:pStyle w:val="BodyText2"/>
        <w:numPr>
          <w:ilvl w:val="0"/>
          <w:numId w:val="25"/>
          <w:numberingChange w:id="11" w:author="Unknown" w:date="2015-07-09T11:05:00Z" w:original=""/>
        </w:numPr>
        <w:jc w:val="left"/>
        <w:rPr>
          <w:shadow w:val="0"/>
          <w:sz w:val="22"/>
          <w:szCs w:val="22"/>
        </w:rPr>
      </w:pPr>
      <w:r w:rsidRPr="006158B9">
        <w:rPr>
          <w:shadow w:val="0"/>
          <w:sz w:val="22"/>
          <w:szCs w:val="22"/>
        </w:rPr>
        <w:t>obdobie laktácie.</w:t>
      </w:r>
    </w:p>
    <w:p w:rsidR="001D7541" w:rsidRDefault="001D7541" w:rsidP="00F92456">
      <w:pPr>
        <w:pStyle w:val="BodyText2"/>
        <w:jc w:val="left"/>
        <w:rPr>
          <w:shadow w:val="0"/>
          <w:sz w:val="22"/>
          <w:szCs w:val="22"/>
        </w:rPr>
      </w:pPr>
    </w:p>
    <w:p w:rsidR="001D7541" w:rsidRDefault="001D7541" w:rsidP="00F92456">
      <w:pPr>
        <w:ind w:right="-1"/>
        <w:rPr>
          <w:b/>
          <w:shadow w:val="0"/>
          <w:sz w:val="22"/>
          <w:szCs w:val="22"/>
          <w:lang w:val="sk-SK"/>
        </w:rPr>
      </w:pPr>
      <w:r w:rsidRPr="006158B9">
        <w:rPr>
          <w:b/>
          <w:shadow w:val="0"/>
          <w:sz w:val="22"/>
          <w:szCs w:val="22"/>
          <w:lang w:val="sk-SK"/>
        </w:rPr>
        <w:t>4.4</w:t>
      </w:r>
      <w:r>
        <w:rPr>
          <w:b/>
          <w:shadow w:val="0"/>
          <w:sz w:val="22"/>
          <w:szCs w:val="22"/>
          <w:lang w:val="sk-SK"/>
        </w:rPr>
        <w:tab/>
      </w:r>
      <w:r w:rsidRPr="006158B9">
        <w:rPr>
          <w:b/>
          <w:shadow w:val="0"/>
          <w:sz w:val="22"/>
          <w:szCs w:val="22"/>
          <w:lang w:val="sk-SK"/>
        </w:rPr>
        <w:t>Osobitné upozornenia a opatrenia pri používaní</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U pacientov s Parkinsonovu chorobou je pri podávaní lieku Arlevert nutná opatrnosť.</w:t>
      </w:r>
    </w:p>
    <w:p w:rsidR="001D7541" w:rsidRDefault="001D7541" w:rsidP="00F92456">
      <w:pPr>
        <w:pStyle w:val="BodyText2"/>
        <w:jc w:val="left"/>
        <w:rPr>
          <w:shadow w:val="0"/>
          <w:sz w:val="22"/>
          <w:szCs w:val="22"/>
        </w:rPr>
      </w:pPr>
    </w:p>
    <w:p w:rsidR="001D7541" w:rsidRDefault="001D7541" w:rsidP="00F92456">
      <w:pPr>
        <w:pStyle w:val="BodyText2"/>
        <w:jc w:val="left"/>
        <w:rPr>
          <w:b/>
          <w:shadow w:val="0"/>
          <w:sz w:val="22"/>
          <w:szCs w:val="22"/>
        </w:rPr>
      </w:pPr>
      <w:r w:rsidRPr="006158B9">
        <w:rPr>
          <w:b/>
          <w:shadow w:val="0"/>
          <w:sz w:val="22"/>
          <w:szCs w:val="22"/>
        </w:rPr>
        <w:t>4.5</w:t>
      </w:r>
      <w:r>
        <w:rPr>
          <w:b/>
          <w:shadow w:val="0"/>
          <w:sz w:val="22"/>
          <w:szCs w:val="22"/>
        </w:rPr>
        <w:tab/>
      </w:r>
      <w:r w:rsidRPr="006158B9">
        <w:rPr>
          <w:b/>
          <w:shadow w:val="0"/>
          <w:sz w:val="22"/>
          <w:szCs w:val="22"/>
        </w:rPr>
        <w:t>Liekové a iné interakcie</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Arlevert sa nesmie podávať v kombinácii s inhibítormi MAO.</w:t>
      </w:r>
    </w:p>
    <w:p w:rsidR="001D7541" w:rsidRDefault="001D7541" w:rsidP="00F92456">
      <w:pPr>
        <w:pStyle w:val="BodyText2"/>
        <w:jc w:val="left"/>
        <w:rPr>
          <w:shadow w:val="0"/>
          <w:sz w:val="22"/>
          <w:szCs w:val="22"/>
        </w:rPr>
      </w:pPr>
      <w:r w:rsidRPr="006158B9">
        <w:rPr>
          <w:shadow w:val="0"/>
          <w:sz w:val="22"/>
          <w:szCs w:val="22"/>
        </w:rPr>
        <w:t xml:space="preserve">Anticholinergné nežiaduce účinky lieku Arlevert sa zosilňujú pri súčasnej liečbe tricyklickými antidepresívami a parasympatolytikami. </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Alkohol a iné liečivá, ktoré tlmia CNS, môžu potencovať tlmivý účinok lieku Arlevert na CNS.</w:t>
      </w:r>
    </w:p>
    <w:p w:rsidR="001D7541" w:rsidRDefault="001D7541" w:rsidP="00F92456">
      <w:pPr>
        <w:pStyle w:val="BodyText2"/>
        <w:jc w:val="left"/>
        <w:rPr>
          <w:shadow w:val="0"/>
          <w:sz w:val="22"/>
          <w:szCs w:val="22"/>
          <w:u w:val="single"/>
        </w:rPr>
      </w:pPr>
      <w:r w:rsidRPr="006158B9">
        <w:rPr>
          <w:shadow w:val="0"/>
          <w:sz w:val="22"/>
          <w:szCs w:val="22"/>
        </w:rPr>
        <w:t>Opatrnosť je nutná pri súčasnom podávaní liekov ovplyvňujúcich krvný tlak: hypertenzív alebo antihypertenzív. Táto kombinácia vyžaduje pravidelnú kontrolu krvného tlaku a úpravu dávky, ak je to nevyhnutné.</w:t>
      </w:r>
    </w:p>
    <w:p w:rsidR="001D7541" w:rsidRDefault="001D7541" w:rsidP="00F92456">
      <w:pPr>
        <w:pStyle w:val="BodyText2"/>
        <w:jc w:val="left"/>
        <w:rPr>
          <w:shadow w:val="0"/>
          <w:sz w:val="22"/>
          <w:szCs w:val="22"/>
        </w:rPr>
      </w:pPr>
      <w:r w:rsidRPr="006158B9">
        <w:rPr>
          <w:shadow w:val="0"/>
          <w:sz w:val="22"/>
          <w:szCs w:val="22"/>
        </w:rPr>
        <w:t>Učinok prokarbazínu sa môže zvýšiť.</w:t>
      </w:r>
    </w:p>
    <w:p w:rsidR="001D7541" w:rsidRDefault="001D7541" w:rsidP="00F92456">
      <w:pPr>
        <w:pStyle w:val="BodyText2"/>
        <w:jc w:val="left"/>
        <w:rPr>
          <w:shadow w:val="0"/>
          <w:sz w:val="22"/>
          <w:szCs w:val="22"/>
        </w:rPr>
      </w:pPr>
      <w:r w:rsidRPr="006158B9">
        <w:rPr>
          <w:shadow w:val="0"/>
          <w:sz w:val="22"/>
          <w:szCs w:val="22"/>
        </w:rPr>
        <w:t>Účinok glukokortikoidov a heparínu sa môže znížiť.</w:t>
      </w:r>
    </w:p>
    <w:p w:rsidR="001D7541" w:rsidRDefault="001D7541" w:rsidP="00F92456">
      <w:pPr>
        <w:pStyle w:val="BodyText2"/>
        <w:jc w:val="left"/>
        <w:rPr>
          <w:shadow w:val="0"/>
          <w:sz w:val="22"/>
          <w:szCs w:val="22"/>
        </w:rPr>
      </w:pPr>
      <w:r w:rsidRPr="006158B9">
        <w:rPr>
          <w:shadow w:val="0"/>
          <w:sz w:val="22"/>
          <w:szCs w:val="22"/>
        </w:rPr>
        <w:t>Liek Arlevert potláča fenotiazidmi indukovanú poruchu hybnosti (EPM syndróm).</w:t>
      </w:r>
    </w:p>
    <w:p w:rsidR="001D7541" w:rsidRDefault="001D7541" w:rsidP="00F92456">
      <w:pPr>
        <w:pStyle w:val="BodyText2"/>
        <w:jc w:val="left"/>
        <w:rPr>
          <w:shadow w:val="0"/>
          <w:sz w:val="22"/>
          <w:szCs w:val="22"/>
        </w:rPr>
      </w:pPr>
      <w:r w:rsidRPr="006158B9">
        <w:rPr>
          <w:shadow w:val="0"/>
          <w:sz w:val="22"/>
          <w:szCs w:val="22"/>
        </w:rPr>
        <w:t>Podanie lieku Arlevert v kombinácii s aminoglykozidovými antibiotikami môže maskovať ich ototoxický účinok.</w:t>
      </w:r>
    </w:p>
    <w:p w:rsidR="001D7541" w:rsidRDefault="001D7541" w:rsidP="00F92456">
      <w:pPr>
        <w:pStyle w:val="BodyText2"/>
        <w:jc w:val="left"/>
        <w:rPr>
          <w:shadow w:val="0"/>
          <w:sz w:val="22"/>
          <w:szCs w:val="22"/>
        </w:rPr>
      </w:pPr>
      <w:r w:rsidRPr="006158B9">
        <w:rPr>
          <w:shadow w:val="0"/>
          <w:sz w:val="22"/>
          <w:szCs w:val="22"/>
        </w:rPr>
        <w:t>Liek Arlevert môže viesť k falošne negatívnym výsledkom v plánovaných testoch na alergiu.</w:t>
      </w:r>
    </w:p>
    <w:p w:rsidR="001D7541" w:rsidRDefault="001D7541" w:rsidP="00F92456">
      <w:pPr>
        <w:pStyle w:val="BodyText2"/>
        <w:jc w:val="left"/>
        <w:rPr>
          <w:shadow w:val="0"/>
          <w:sz w:val="22"/>
          <w:szCs w:val="22"/>
        </w:rPr>
      </w:pPr>
      <w:r w:rsidRPr="006158B9">
        <w:rPr>
          <w:shadow w:val="0"/>
          <w:sz w:val="22"/>
          <w:szCs w:val="22"/>
        </w:rPr>
        <w:t>Treba sa vyhnúť súčasnej liečbe liekmi, ktoré predlžujú QT interval na EKG (napr. antiarytmiká skupiny Ia a III) – pozri 4.9.</w:t>
      </w:r>
    </w:p>
    <w:p w:rsidR="001D7541" w:rsidRDefault="001D7541" w:rsidP="00F92456">
      <w:pPr>
        <w:pStyle w:val="BodyText2"/>
        <w:jc w:val="left"/>
        <w:rPr>
          <w:shadow w:val="0"/>
          <w:sz w:val="22"/>
          <w:szCs w:val="22"/>
        </w:rPr>
      </w:pPr>
    </w:p>
    <w:p w:rsidR="001D7541" w:rsidRPr="00090668" w:rsidRDefault="001D7541" w:rsidP="007D3F09">
      <w:pPr>
        <w:rPr>
          <w:b/>
          <w:shadow w:val="0"/>
          <w:noProof/>
          <w:sz w:val="22"/>
          <w:szCs w:val="22"/>
        </w:rPr>
      </w:pPr>
      <w:r w:rsidRPr="00720BD5">
        <w:rPr>
          <w:b/>
          <w:shadow w:val="0"/>
          <w:sz w:val="22"/>
          <w:szCs w:val="22"/>
          <w:lang w:val="sk-SK"/>
        </w:rPr>
        <w:t>4.6</w:t>
      </w:r>
      <w:r>
        <w:rPr>
          <w:b/>
          <w:shadow w:val="0"/>
          <w:sz w:val="22"/>
          <w:szCs w:val="22"/>
          <w:lang w:val="sk-SK"/>
        </w:rPr>
        <w:tab/>
      </w:r>
      <w:r w:rsidRPr="00F92456">
        <w:rPr>
          <w:b/>
          <w:shadow w:val="0"/>
          <w:noProof/>
          <w:sz w:val="22"/>
          <w:szCs w:val="22"/>
        </w:rPr>
        <w:t>Fertilita, g</w:t>
      </w:r>
      <w:r w:rsidRPr="00F92456">
        <w:rPr>
          <w:b/>
          <w:shadow w:val="0"/>
          <w:sz w:val="22"/>
          <w:szCs w:val="22"/>
        </w:rPr>
        <w:t>ravidita a laktácia</w:t>
      </w:r>
    </w:p>
    <w:p w:rsidR="001D7541" w:rsidRDefault="001D7541" w:rsidP="007D3F09">
      <w:pPr>
        <w:rPr>
          <w:shadow w:val="0"/>
          <w:sz w:val="22"/>
          <w:szCs w:val="22"/>
        </w:rPr>
      </w:pPr>
    </w:p>
    <w:p w:rsidR="001D7541" w:rsidRPr="00090668" w:rsidRDefault="001D7541" w:rsidP="007D3F09">
      <w:pPr>
        <w:rPr>
          <w:shadow w:val="0"/>
          <w:noProof/>
          <w:sz w:val="22"/>
          <w:szCs w:val="22"/>
        </w:rPr>
      </w:pPr>
      <w:r w:rsidRPr="00F92456">
        <w:rPr>
          <w:shadow w:val="0"/>
          <w:noProof/>
          <w:sz w:val="22"/>
          <w:szCs w:val="22"/>
          <w:u w:val="single"/>
        </w:rPr>
        <w:t>Gravidita</w:t>
      </w:r>
    </w:p>
    <w:p w:rsidR="001D7541" w:rsidRDefault="001D7541" w:rsidP="00F92456">
      <w:pPr>
        <w:pStyle w:val="BodyText2"/>
        <w:jc w:val="left"/>
        <w:rPr>
          <w:shadow w:val="0"/>
          <w:sz w:val="22"/>
          <w:szCs w:val="22"/>
        </w:rPr>
      </w:pPr>
      <w:r w:rsidRPr="006158B9">
        <w:rPr>
          <w:shadow w:val="0"/>
          <w:sz w:val="22"/>
          <w:szCs w:val="22"/>
        </w:rPr>
        <w:t xml:space="preserve">Dostatočné údaje o užívaní cinarizínu a dimenhydrinátu u tehotných a dojčiacich žien nie sú dostupné. Dimenhydrinát môže zvýšiť kontraktilitu maternice alebo indukovať predčasný pôrod. </w:t>
      </w:r>
    </w:p>
    <w:p w:rsidR="001D7541" w:rsidRDefault="001D7541" w:rsidP="00F92456">
      <w:pPr>
        <w:pStyle w:val="BodyText2"/>
        <w:jc w:val="left"/>
        <w:rPr>
          <w:shadow w:val="0"/>
          <w:sz w:val="22"/>
          <w:szCs w:val="22"/>
        </w:rPr>
      </w:pPr>
      <w:r w:rsidRPr="006158B9">
        <w:rPr>
          <w:shadow w:val="0"/>
          <w:sz w:val="22"/>
          <w:szCs w:val="22"/>
        </w:rPr>
        <w:t xml:space="preserve">Štúdie na zvieratách sledujúce účinky cinarizínu a dimenhydrinátu na tehotenstvo, embryonálny a fetálny vývoj, pôrod a postnatálny vývoj neboli vykonané dostatočne (pozri 5.3.). Potenciálne riziko pre ľudí nie je známe. </w:t>
      </w:r>
    </w:p>
    <w:p w:rsidR="001D7541" w:rsidRDefault="001D7541" w:rsidP="00F92456">
      <w:pPr>
        <w:pStyle w:val="BodyText2"/>
        <w:jc w:val="left"/>
        <w:rPr>
          <w:shadow w:val="0"/>
          <w:sz w:val="22"/>
          <w:szCs w:val="22"/>
        </w:rPr>
      </w:pPr>
      <w:r w:rsidRPr="006158B9">
        <w:rPr>
          <w:shadow w:val="0"/>
          <w:sz w:val="22"/>
          <w:szCs w:val="22"/>
        </w:rPr>
        <w:t>Preto by sa liek Arlevert nemal podávať počas gravidity a v období laktácie.</w:t>
      </w:r>
    </w:p>
    <w:p w:rsidR="001D7541" w:rsidRDefault="001D7541" w:rsidP="00F92456">
      <w:pPr>
        <w:pStyle w:val="BodyText2"/>
        <w:jc w:val="left"/>
        <w:rPr>
          <w:shadow w:val="0"/>
          <w:sz w:val="22"/>
          <w:szCs w:val="22"/>
        </w:rPr>
      </w:pPr>
    </w:p>
    <w:p w:rsidR="001D7541" w:rsidRPr="00090668" w:rsidRDefault="001D7541" w:rsidP="007D3F09">
      <w:pPr>
        <w:rPr>
          <w:shadow w:val="0"/>
          <w:noProof/>
          <w:sz w:val="22"/>
          <w:szCs w:val="22"/>
        </w:rPr>
      </w:pPr>
      <w:r w:rsidRPr="00F92456">
        <w:rPr>
          <w:shadow w:val="0"/>
          <w:noProof/>
          <w:sz w:val="22"/>
          <w:szCs w:val="22"/>
          <w:u w:val="single"/>
        </w:rPr>
        <w:t>Laktácia</w:t>
      </w:r>
    </w:p>
    <w:p w:rsidR="001D7541" w:rsidRDefault="001D7541" w:rsidP="00F92456">
      <w:pPr>
        <w:pStyle w:val="BodyText2"/>
        <w:jc w:val="left"/>
        <w:rPr>
          <w:shadow w:val="0"/>
          <w:sz w:val="22"/>
          <w:szCs w:val="22"/>
        </w:rPr>
      </w:pPr>
      <w:r w:rsidRPr="006158B9">
        <w:rPr>
          <w:shadow w:val="0"/>
          <w:sz w:val="22"/>
          <w:szCs w:val="22"/>
        </w:rPr>
        <w:t>V malých množstvách sa vylučuje do materského mlieka.</w:t>
      </w:r>
    </w:p>
    <w:p w:rsidR="001D7541" w:rsidRDefault="001D7541" w:rsidP="00F92456">
      <w:pPr>
        <w:pStyle w:val="BodyText2"/>
        <w:jc w:val="left"/>
        <w:rPr>
          <w:shadow w:val="0"/>
          <w:sz w:val="22"/>
          <w:szCs w:val="22"/>
        </w:rPr>
      </w:pPr>
    </w:p>
    <w:p w:rsidR="001D7541" w:rsidRDefault="001D7541" w:rsidP="00F92456">
      <w:pPr>
        <w:ind w:right="-1"/>
        <w:rPr>
          <w:b/>
          <w:shadow w:val="0"/>
          <w:sz w:val="22"/>
          <w:szCs w:val="22"/>
          <w:lang w:val="sk-SK"/>
        </w:rPr>
      </w:pPr>
      <w:r w:rsidRPr="006158B9">
        <w:rPr>
          <w:b/>
          <w:shadow w:val="0"/>
          <w:sz w:val="22"/>
          <w:szCs w:val="22"/>
          <w:lang w:val="sk-SK"/>
        </w:rPr>
        <w:t>4.7</w:t>
      </w:r>
      <w:r>
        <w:rPr>
          <w:b/>
          <w:shadow w:val="0"/>
          <w:sz w:val="22"/>
          <w:szCs w:val="22"/>
          <w:lang w:val="sk-SK"/>
        </w:rPr>
        <w:tab/>
      </w:r>
      <w:r w:rsidRPr="006158B9">
        <w:rPr>
          <w:b/>
          <w:shadow w:val="0"/>
          <w:sz w:val="22"/>
          <w:szCs w:val="22"/>
          <w:lang w:val="sk-SK"/>
        </w:rPr>
        <w:t>Ovplyvnenie schopnosti viesť  vozidlá a obsluhovať stroje</w:t>
      </w:r>
    </w:p>
    <w:p w:rsidR="001D7541" w:rsidRDefault="001D7541" w:rsidP="00F92456">
      <w:pPr>
        <w:pStyle w:val="BodyText2"/>
        <w:jc w:val="left"/>
        <w:rPr>
          <w:b/>
          <w:shadow w:val="0"/>
          <w:sz w:val="22"/>
          <w:szCs w:val="22"/>
        </w:rPr>
      </w:pPr>
    </w:p>
    <w:p w:rsidR="001D7541" w:rsidRDefault="001D7541" w:rsidP="00F92456">
      <w:pPr>
        <w:pStyle w:val="BodyText2"/>
        <w:jc w:val="left"/>
        <w:rPr>
          <w:shadow w:val="0"/>
          <w:sz w:val="22"/>
          <w:szCs w:val="22"/>
        </w:rPr>
      </w:pPr>
      <w:r w:rsidRPr="006158B9">
        <w:rPr>
          <w:shadow w:val="0"/>
          <w:sz w:val="22"/>
          <w:szCs w:val="22"/>
        </w:rPr>
        <w:t>Ospalosť, oslabená pamäť a znížená koncentrácia môže mať negatívne účinky na schopnosť viesť motorové vozidlá a obsluhovať stroje. Tieto účinky sa môžu vyskytnúť pri nedostatočnom spánku cez noc, na začiatku liečby a pri zmene liečby a tiež pri súčasnom požití alkoholu alebo liekov, ktoré majú tlmivý účinok na CNS (pozri 4.5.).</w:t>
      </w:r>
    </w:p>
    <w:p w:rsidR="001D7541" w:rsidRDefault="001D7541" w:rsidP="00F92456">
      <w:pPr>
        <w:pStyle w:val="BodyText2"/>
        <w:jc w:val="left"/>
        <w:rPr>
          <w:shadow w:val="0"/>
          <w:sz w:val="22"/>
          <w:szCs w:val="22"/>
        </w:rPr>
      </w:pPr>
    </w:p>
    <w:p w:rsidR="001D7541" w:rsidRDefault="001D7541" w:rsidP="00F92456">
      <w:pPr>
        <w:ind w:right="-1"/>
        <w:rPr>
          <w:b/>
          <w:shadow w:val="0"/>
          <w:sz w:val="22"/>
          <w:szCs w:val="22"/>
          <w:lang w:val="sk-SK"/>
        </w:rPr>
      </w:pPr>
      <w:r w:rsidRPr="006158B9">
        <w:rPr>
          <w:b/>
          <w:shadow w:val="0"/>
          <w:sz w:val="22"/>
          <w:szCs w:val="22"/>
          <w:lang w:val="sk-SK"/>
        </w:rPr>
        <w:t>4.8</w:t>
      </w:r>
      <w:r>
        <w:rPr>
          <w:b/>
          <w:shadow w:val="0"/>
          <w:sz w:val="22"/>
          <w:szCs w:val="22"/>
          <w:lang w:val="sk-SK"/>
        </w:rPr>
        <w:tab/>
      </w:r>
      <w:r w:rsidRPr="006158B9">
        <w:rPr>
          <w:b/>
          <w:shadow w:val="0"/>
          <w:sz w:val="22"/>
          <w:szCs w:val="22"/>
          <w:lang w:val="sk-SK"/>
        </w:rPr>
        <w:t>Nežiaduce účinky</w:t>
      </w:r>
    </w:p>
    <w:p w:rsidR="001D7541" w:rsidRDefault="001D7541" w:rsidP="00F92456">
      <w:pPr>
        <w:pStyle w:val="BodyText2"/>
        <w:jc w:val="left"/>
        <w:rPr>
          <w:shadow w:val="0"/>
          <w:sz w:val="22"/>
          <w:szCs w:val="22"/>
        </w:rPr>
      </w:pPr>
    </w:p>
    <w:p w:rsidR="001D7541" w:rsidRPr="00090668" w:rsidRDefault="001D7541" w:rsidP="006E1C30">
      <w:pPr>
        <w:rPr>
          <w:bCs/>
          <w:shadow w:val="0"/>
          <w:sz w:val="22"/>
          <w:szCs w:val="22"/>
          <w:lang w:val="sk-SK"/>
        </w:rPr>
      </w:pPr>
      <w:r w:rsidRPr="006158B9">
        <w:rPr>
          <w:shadow w:val="0"/>
          <w:sz w:val="22"/>
          <w:szCs w:val="22"/>
        </w:rPr>
        <w:t xml:space="preserve">Možné nežiaduce účinky lieku Arlevert sú uvedené v tabuľke klasifikované podľa orgánového systému </w:t>
      </w:r>
      <w:r w:rsidRPr="000D4406">
        <w:rPr>
          <w:rStyle w:val="FontStyle28"/>
          <w:rFonts w:ascii="Times New Roman" w:hAnsi="Times New Roman"/>
          <w:shadow w:val="0"/>
          <w:sz w:val="22"/>
          <w:szCs w:val="22"/>
          <w:lang w:val="sk-SK"/>
        </w:rPr>
        <w:t>MedDRA</w:t>
      </w:r>
      <w:r w:rsidRPr="006158B9">
        <w:rPr>
          <w:shadow w:val="0"/>
          <w:sz w:val="22"/>
          <w:szCs w:val="22"/>
        </w:rPr>
        <w:t>.</w:t>
      </w:r>
      <w:r>
        <w:rPr>
          <w:shadow w:val="0"/>
          <w:sz w:val="22"/>
          <w:szCs w:val="22"/>
        </w:rPr>
        <w:t xml:space="preserve"> </w:t>
      </w:r>
      <w:r w:rsidRPr="00F92456">
        <w:rPr>
          <w:bCs/>
          <w:shadow w:val="0"/>
          <w:sz w:val="22"/>
          <w:szCs w:val="22"/>
          <w:lang w:val="sk-SK"/>
        </w:rPr>
        <w:t>Frekvencia výskytu je definovaná podľa konvencií nasledovne: veľmi časté (</w:t>
      </w:r>
      <w:r>
        <w:rPr>
          <w:bCs/>
          <w:shadow w:val="0"/>
          <w:sz w:val="22"/>
          <w:szCs w:val="22"/>
          <w:lang w:val="sk-SK"/>
        </w:rPr>
        <w:t>≥</w:t>
      </w:r>
      <w:r w:rsidRPr="00F92456">
        <w:rPr>
          <w:bCs/>
          <w:shadow w:val="0"/>
          <w:sz w:val="22"/>
          <w:szCs w:val="22"/>
          <w:lang w:val="sk-SK"/>
        </w:rPr>
        <w:t xml:space="preserve"> 1/10), časté (</w:t>
      </w:r>
      <w:r>
        <w:rPr>
          <w:bCs/>
          <w:shadow w:val="0"/>
          <w:sz w:val="22"/>
          <w:szCs w:val="22"/>
          <w:lang w:val="sk-SK"/>
        </w:rPr>
        <w:t>≥</w:t>
      </w:r>
      <w:r w:rsidRPr="00F92456">
        <w:rPr>
          <w:bCs/>
          <w:shadow w:val="0"/>
          <w:sz w:val="22"/>
          <w:szCs w:val="22"/>
          <w:lang w:val="sk-SK"/>
        </w:rPr>
        <w:t xml:space="preserve"> /100 až &lt; 1/10), menej časté (</w:t>
      </w:r>
      <w:r>
        <w:rPr>
          <w:bCs/>
          <w:shadow w:val="0"/>
          <w:sz w:val="22"/>
          <w:szCs w:val="22"/>
          <w:lang w:val="sk-SK"/>
        </w:rPr>
        <w:t>≥</w:t>
      </w:r>
      <w:r w:rsidRPr="00F92456">
        <w:rPr>
          <w:bCs/>
          <w:shadow w:val="0"/>
          <w:sz w:val="22"/>
          <w:szCs w:val="22"/>
          <w:lang w:val="sk-SK"/>
        </w:rPr>
        <w:t xml:space="preserve"> 1/1 000 až &lt; 1/100), zriedkavé (</w:t>
      </w:r>
      <w:r>
        <w:rPr>
          <w:bCs/>
          <w:shadow w:val="0"/>
          <w:sz w:val="22"/>
          <w:szCs w:val="22"/>
          <w:lang w:val="sk-SK"/>
        </w:rPr>
        <w:t>≥</w:t>
      </w:r>
      <w:r w:rsidRPr="00F92456">
        <w:rPr>
          <w:bCs/>
          <w:shadow w:val="0"/>
          <w:sz w:val="22"/>
          <w:szCs w:val="22"/>
          <w:lang w:val="sk-SK"/>
        </w:rPr>
        <w:t xml:space="preserve"> 1/10 000 až &lt; 1/1 000), veľmi zriedkavé (&lt; 1/10 000), neznáme (z dostupných údajov).</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2"/>
        <w:gridCol w:w="2303"/>
        <w:gridCol w:w="2303"/>
        <w:gridCol w:w="2303"/>
      </w:tblGrid>
      <w:tr w:rsidR="001D7541" w:rsidRPr="006158B9">
        <w:tc>
          <w:tcPr>
            <w:tcW w:w="2302" w:type="dxa"/>
          </w:tcPr>
          <w:p w:rsidR="001D7541" w:rsidRDefault="001D7541" w:rsidP="00F92456">
            <w:pPr>
              <w:pStyle w:val="BodyText2"/>
              <w:jc w:val="left"/>
              <w:rPr>
                <w:b/>
                <w:bCs/>
                <w:shadow w:val="0"/>
                <w:sz w:val="22"/>
                <w:szCs w:val="22"/>
              </w:rPr>
            </w:pPr>
            <w:r w:rsidRPr="006158B9">
              <w:rPr>
                <w:b/>
                <w:bCs/>
                <w:shadow w:val="0"/>
                <w:sz w:val="22"/>
                <w:szCs w:val="22"/>
              </w:rPr>
              <w:t>Frekvencia nežiaducich účinkov</w:t>
            </w:r>
          </w:p>
        </w:tc>
        <w:tc>
          <w:tcPr>
            <w:tcW w:w="2303" w:type="dxa"/>
          </w:tcPr>
          <w:p w:rsidR="001D7541" w:rsidRDefault="001D7541" w:rsidP="00F92456">
            <w:pPr>
              <w:pStyle w:val="BodyText2"/>
              <w:jc w:val="left"/>
              <w:rPr>
                <w:b/>
                <w:bCs/>
                <w:shadow w:val="0"/>
                <w:sz w:val="22"/>
                <w:szCs w:val="22"/>
              </w:rPr>
            </w:pPr>
            <w:r>
              <w:rPr>
                <w:b/>
                <w:bCs/>
                <w:shadow w:val="0"/>
                <w:sz w:val="22"/>
                <w:szCs w:val="22"/>
              </w:rPr>
              <w:t>Menej časté</w:t>
            </w:r>
          </w:p>
          <w:p w:rsidR="001D7541" w:rsidRDefault="001D7541" w:rsidP="00F92456">
            <w:pPr>
              <w:pStyle w:val="BodyText2"/>
              <w:jc w:val="left"/>
              <w:rPr>
                <w:shadow w:val="0"/>
                <w:sz w:val="22"/>
                <w:szCs w:val="22"/>
              </w:rPr>
            </w:pPr>
            <w:r>
              <w:rPr>
                <w:b/>
                <w:shadow w:val="0"/>
                <w:sz w:val="22"/>
                <w:szCs w:val="22"/>
                <w:lang w:val="pl-PL"/>
              </w:rPr>
              <w:sym w:font="Symbol" w:char="F0B3"/>
            </w:r>
            <w:r w:rsidRPr="00F92456">
              <w:rPr>
                <w:b/>
                <w:shadow w:val="0"/>
                <w:sz w:val="22"/>
                <w:szCs w:val="22"/>
                <w:lang w:val="it-IT"/>
              </w:rPr>
              <w:t>1/1</w:t>
            </w:r>
            <w:r>
              <w:rPr>
                <w:b/>
                <w:shadow w:val="0"/>
                <w:sz w:val="22"/>
                <w:szCs w:val="22"/>
                <w:lang w:val="it-IT"/>
              </w:rPr>
              <w:t> </w:t>
            </w:r>
            <w:r w:rsidRPr="00F92456">
              <w:rPr>
                <w:b/>
                <w:shadow w:val="0"/>
                <w:sz w:val="22"/>
                <w:szCs w:val="22"/>
                <w:lang w:val="it-IT"/>
              </w:rPr>
              <w:t>000 až &lt;1/100</w:t>
            </w:r>
          </w:p>
        </w:tc>
        <w:tc>
          <w:tcPr>
            <w:tcW w:w="2303" w:type="dxa"/>
          </w:tcPr>
          <w:p w:rsidR="001D7541" w:rsidRDefault="001D7541" w:rsidP="00F92456">
            <w:pPr>
              <w:pStyle w:val="BodyText2"/>
              <w:jc w:val="left"/>
              <w:rPr>
                <w:b/>
                <w:bCs/>
                <w:shadow w:val="0"/>
                <w:sz w:val="22"/>
                <w:szCs w:val="22"/>
              </w:rPr>
            </w:pPr>
            <w:r>
              <w:rPr>
                <w:b/>
                <w:bCs/>
                <w:shadow w:val="0"/>
                <w:sz w:val="22"/>
                <w:szCs w:val="22"/>
              </w:rPr>
              <w:t>Zriedkavé</w:t>
            </w:r>
          </w:p>
          <w:p w:rsidR="001D7541" w:rsidRDefault="001D7541" w:rsidP="00F92456">
            <w:pPr>
              <w:pStyle w:val="BodyText2"/>
              <w:jc w:val="left"/>
              <w:rPr>
                <w:shadow w:val="0"/>
                <w:sz w:val="22"/>
                <w:szCs w:val="22"/>
              </w:rPr>
            </w:pPr>
            <w:r>
              <w:rPr>
                <w:b/>
                <w:shadow w:val="0"/>
                <w:sz w:val="22"/>
                <w:szCs w:val="22"/>
                <w:lang w:val="pl-PL"/>
              </w:rPr>
              <w:sym w:font="Symbol" w:char="F0B3"/>
            </w:r>
            <w:r w:rsidRPr="00F92456">
              <w:rPr>
                <w:b/>
                <w:shadow w:val="0"/>
                <w:sz w:val="22"/>
                <w:szCs w:val="22"/>
                <w:lang w:val="pl-PL"/>
              </w:rPr>
              <w:t>1/10</w:t>
            </w:r>
            <w:r>
              <w:rPr>
                <w:b/>
                <w:shadow w:val="0"/>
                <w:sz w:val="22"/>
                <w:szCs w:val="22"/>
                <w:lang w:val="pl-PL"/>
              </w:rPr>
              <w:t> </w:t>
            </w:r>
            <w:r w:rsidRPr="00F92456">
              <w:rPr>
                <w:b/>
                <w:shadow w:val="0"/>
                <w:sz w:val="22"/>
                <w:szCs w:val="22"/>
                <w:lang w:val="pl-PL"/>
              </w:rPr>
              <w:t>000 až &lt;1/1</w:t>
            </w:r>
            <w:r>
              <w:rPr>
                <w:b/>
                <w:shadow w:val="0"/>
                <w:sz w:val="22"/>
                <w:szCs w:val="22"/>
                <w:lang w:val="pl-PL"/>
              </w:rPr>
              <w:t> </w:t>
            </w:r>
            <w:r w:rsidRPr="00F92456">
              <w:rPr>
                <w:b/>
                <w:shadow w:val="0"/>
                <w:sz w:val="22"/>
                <w:szCs w:val="22"/>
                <w:lang w:val="pl-PL"/>
              </w:rPr>
              <w:t>000</w:t>
            </w:r>
          </w:p>
        </w:tc>
        <w:tc>
          <w:tcPr>
            <w:tcW w:w="2303" w:type="dxa"/>
          </w:tcPr>
          <w:p w:rsidR="001D7541" w:rsidRDefault="001D7541" w:rsidP="00F92456">
            <w:pPr>
              <w:pStyle w:val="BodyText2"/>
              <w:jc w:val="left"/>
              <w:rPr>
                <w:b/>
                <w:bCs/>
                <w:shadow w:val="0"/>
                <w:sz w:val="22"/>
                <w:szCs w:val="22"/>
              </w:rPr>
            </w:pPr>
            <w:r w:rsidRPr="006158B9">
              <w:rPr>
                <w:b/>
                <w:bCs/>
                <w:shadow w:val="0"/>
                <w:sz w:val="22"/>
                <w:szCs w:val="22"/>
              </w:rPr>
              <w:t xml:space="preserve">Veľmi </w:t>
            </w:r>
            <w:r>
              <w:rPr>
                <w:b/>
                <w:bCs/>
                <w:shadow w:val="0"/>
                <w:sz w:val="22"/>
                <w:szCs w:val="22"/>
              </w:rPr>
              <w:t>zriedkavé</w:t>
            </w:r>
          </w:p>
          <w:p w:rsidR="001D7541" w:rsidRDefault="001D7541" w:rsidP="00F92456">
            <w:pPr>
              <w:pStyle w:val="BodyText2"/>
              <w:jc w:val="left"/>
              <w:rPr>
                <w:shadow w:val="0"/>
                <w:sz w:val="22"/>
                <w:szCs w:val="22"/>
              </w:rPr>
            </w:pPr>
            <w:r w:rsidRPr="00F92456">
              <w:rPr>
                <w:b/>
                <w:shadow w:val="0"/>
                <w:sz w:val="22"/>
                <w:szCs w:val="22"/>
                <w:lang w:val="pl-PL"/>
              </w:rPr>
              <w:t>1/10</w:t>
            </w:r>
            <w:r>
              <w:rPr>
                <w:b/>
                <w:shadow w:val="0"/>
                <w:sz w:val="22"/>
                <w:szCs w:val="22"/>
                <w:lang w:val="pl-PL"/>
              </w:rPr>
              <w:t> </w:t>
            </w:r>
            <w:r w:rsidRPr="00F92456">
              <w:rPr>
                <w:b/>
                <w:shadow w:val="0"/>
                <w:sz w:val="22"/>
                <w:szCs w:val="22"/>
                <w:lang w:val="pl-PL"/>
              </w:rPr>
              <w:t>000</w:t>
            </w:r>
          </w:p>
        </w:tc>
      </w:tr>
      <w:tr w:rsidR="001D7541" w:rsidRPr="006158B9">
        <w:tc>
          <w:tcPr>
            <w:tcW w:w="2302" w:type="dxa"/>
          </w:tcPr>
          <w:p w:rsidR="001D7541" w:rsidRDefault="001D7541" w:rsidP="00F92456">
            <w:pPr>
              <w:pStyle w:val="BodyText2"/>
              <w:jc w:val="left"/>
              <w:rPr>
                <w:b/>
                <w:bCs/>
                <w:shadow w:val="0"/>
                <w:sz w:val="22"/>
                <w:szCs w:val="22"/>
              </w:rPr>
            </w:pPr>
            <w:r>
              <w:rPr>
                <w:b/>
                <w:bCs/>
                <w:shadow w:val="0"/>
                <w:sz w:val="22"/>
                <w:szCs w:val="22"/>
              </w:rPr>
              <w:t>Poruchy k</w:t>
            </w:r>
            <w:r w:rsidRPr="006158B9">
              <w:rPr>
                <w:b/>
                <w:bCs/>
                <w:shadow w:val="0"/>
                <w:sz w:val="22"/>
                <w:szCs w:val="22"/>
              </w:rPr>
              <w:t>rv</w:t>
            </w:r>
            <w:r>
              <w:rPr>
                <w:b/>
                <w:bCs/>
                <w:shadow w:val="0"/>
                <w:sz w:val="22"/>
                <w:szCs w:val="22"/>
              </w:rPr>
              <w:t>i</w:t>
            </w:r>
            <w:r w:rsidRPr="006158B9">
              <w:rPr>
                <w:b/>
                <w:bCs/>
                <w:shadow w:val="0"/>
                <w:sz w:val="22"/>
                <w:szCs w:val="22"/>
              </w:rPr>
              <w:t xml:space="preserve"> a lymfatick</w:t>
            </w:r>
            <w:r>
              <w:rPr>
                <w:b/>
                <w:bCs/>
                <w:shadow w:val="0"/>
                <w:sz w:val="22"/>
                <w:szCs w:val="22"/>
              </w:rPr>
              <w:t>ého</w:t>
            </w:r>
            <w:r w:rsidRPr="006158B9">
              <w:rPr>
                <w:b/>
                <w:bCs/>
                <w:shadow w:val="0"/>
                <w:sz w:val="22"/>
                <w:szCs w:val="22"/>
              </w:rPr>
              <w:t xml:space="preserve"> systém</w:t>
            </w:r>
            <w:r>
              <w:rPr>
                <w:b/>
                <w:bCs/>
                <w:shadow w:val="0"/>
                <w:sz w:val="22"/>
                <w:szCs w:val="22"/>
              </w:rPr>
              <w:t>u</w:t>
            </w:r>
          </w:p>
        </w:tc>
        <w:tc>
          <w:tcPr>
            <w:tcW w:w="2303" w:type="dxa"/>
          </w:tcPr>
          <w:p w:rsidR="001D7541" w:rsidRDefault="001D7541" w:rsidP="00F92456">
            <w:pPr>
              <w:pStyle w:val="BodyText2"/>
              <w:jc w:val="left"/>
              <w:rPr>
                <w:shadow w:val="0"/>
                <w:sz w:val="22"/>
                <w:szCs w:val="22"/>
              </w:rPr>
            </w:pPr>
          </w:p>
        </w:tc>
        <w:tc>
          <w:tcPr>
            <w:tcW w:w="2303" w:type="dxa"/>
          </w:tcPr>
          <w:p w:rsidR="001D7541" w:rsidRDefault="001D7541" w:rsidP="00F92456">
            <w:pPr>
              <w:pStyle w:val="BodyText2"/>
              <w:jc w:val="left"/>
              <w:rPr>
                <w:shadow w:val="0"/>
                <w:sz w:val="22"/>
                <w:szCs w:val="22"/>
              </w:rPr>
            </w:pPr>
          </w:p>
        </w:tc>
        <w:tc>
          <w:tcPr>
            <w:tcW w:w="2303" w:type="dxa"/>
          </w:tcPr>
          <w:p w:rsidR="001D7541" w:rsidRDefault="001D7541" w:rsidP="00F92456">
            <w:pPr>
              <w:pStyle w:val="BodyText2"/>
              <w:jc w:val="left"/>
              <w:rPr>
                <w:shadow w:val="0"/>
                <w:sz w:val="22"/>
                <w:szCs w:val="22"/>
              </w:rPr>
            </w:pPr>
            <w:r w:rsidRPr="006158B9">
              <w:rPr>
                <w:shadow w:val="0"/>
                <w:sz w:val="22"/>
                <w:szCs w:val="22"/>
              </w:rPr>
              <w:t>Leukopénia, reverzibilná agranulocytóza</w:t>
            </w:r>
          </w:p>
        </w:tc>
      </w:tr>
      <w:tr w:rsidR="001D7541" w:rsidRPr="006158B9">
        <w:tc>
          <w:tcPr>
            <w:tcW w:w="2302" w:type="dxa"/>
          </w:tcPr>
          <w:p w:rsidR="001D7541" w:rsidRDefault="001D7541" w:rsidP="00F92456">
            <w:pPr>
              <w:pStyle w:val="BodyText2"/>
              <w:jc w:val="left"/>
              <w:rPr>
                <w:b/>
                <w:bCs/>
                <w:shadow w:val="0"/>
                <w:sz w:val="22"/>
                <w:szCs w:val="22"/>
              </w:rPr>
            </w:pPr>
            <w:r>
              <w:rPr>
                <w:b/>
                <w:bCs/>
                <w:shadow w:val="0"/>
                <w:sz w:val="22"/>
                <w:szCs w:val="22"/>
              </w:rPr>
              <w:t>Poruchy n</w:t>
            </w:r>
            <w:r w:rsidRPr="006158B9">
              <w:rPr>
                <w:b/>
                <w:bCs/>
                <w:shadow w:val="0"/>
                <w:sz w:val="22"/>
                <w:szCs w:val="22"/>
              </w:rPr>
              <w:t>ervov</w:t>
            </w:r>
            <w:r>
              <w:rPr>
                <w:b/>
                <w:bCs/>
                <w:shadow w:val="0"/>
                <w:sz w:val="22"/>
                <w:szCs w:val="22"/>
              </w:rPr>
              <w:t>ého</w:t>
            </w:r>
            <w:r w:rsidRPr="006158B9">
              <w:rPr>
                <w:b/>
                <w:bCs/>
                <w:shadow w:val="0"/>
                <w:sz w:val="22"/>
                <w:szCs w:val="22"/>
              </w:rPr>
              <w:t xml:space="preserve"> systém</w:t>
            </w:r>
            <w:r>
              <w:rPr>
                <w:b/>
                <w:bCs/>
                <w:shadow w:val="0"/>
                <w:sz w:val="22"/>
                <w:szCs w:val="22"/>
              </w:rPr>
              <w:t>u</w:t>
            </w:r>
          </w:p>
        </w:tc>
        <w:tc>
          <w:tcPr>
            <w:tcW w:w="2303" w:type="dxa"/>
          </w:tcPr>
          <w:p w:rsidR="001D7541" w:rsidRDefault="001D7541" w:rsidP="00F92456">
            <w:pPr>
              <w:pStyle w:val="BodyText2"/>
              <w:jc w:val="left"/>
              <w:rPr>
                <w:shadow w:val="0"/>
                <w:sz w:val="22"/>
                <w:szCs w:val="22"/>
              </w:rPr>
            </w:pPr>
            <w:r w:rsidRPr="006158B9">
              <w:rPr>
                <w:shadow w:val="0"/>
                <w:sz w:val="22"/>
                <w:szCs w:val="22"/>
              </w:rPr>
              <w:t>Sedácia, poruchy CNS</w:t>
            </w:r>
          </w:p>
        </w:tc>
        <w:tc>
          <w:tcPr>
            <w:tcW w:w="2303" w:type="dxa"/>
          </w:tcPr>
          <w:p w:rsidR="001D7541" w:rsidRDefault="001D7541" w:rsidP="00F92456">
            <w:pPr>
              <w:pStyle w:val="BodyText2"/>
              <w:jc w:val="left"/>
              <w:rPr>
                <w:shadow w:val="0"/>
                <w:sz w:val="22"/>
                <w:szCs w:val="22"/>
              </w:rPr>
            </w:pPr>
            <w:r w:rsidRPr="006158B9">
              <w:rPr>
                <w:shadow w:val="0"/>
                <w:sz w:val="22"/>
                <w:szCs w:val="22"/>
              </w:rPr>
              <w:t>Bolesti hlavy, potenie, poruchy samovoľných pohybov (extrapyramídové symptómy), symptómy excitácie u detí (hlavne po predávkovaní)</w:t>
            </w:r>
          </w:p>
        </w:tc>
        <w:tc>
          <w:tcPr>
            <w:tcW w:w="2303" w:type="dxa"/>
          </w:tcPr>
          <w:p w:rsidR="001D7541" w:rsidRDefault="001D7541" w:rsidP="00F92456">
            <w:pPr>
              <w:pStyle w:val="BodyText2"/>
              <w:jc w:val="left"/>
              <w:rPr>
                <w:shadow w:val="0"/>
                <w:sz w:val="22"/>
                <w:szCs w:val="22"/>
              </w:rPr>
            </w:pPr>
          </w:p>
        </w:tc>
      </w:tr>
      <w:tr w:rsidR="001D7541" w:rsidRPr="006158B9">
        <w:tc>
          <w:tcPr>
            <w:tcW w:w="2302" w:type="dxa"/>
          </w:tcPr>
          <w:p w:rsidR="001D7541" w:rsidRDefault="001D7541" w:rsidP="00F92456">
            <w:pPr>
              <w:pStyle w:val="BodyText2"/>
              <w:jc w:val="left"/>
              <w:rPr>
                <w:b/>
                <w:bCs/>
                <w:shadow w:val="0"/>
                <w:sz w:val="22"/>
                <w:szCs w:val="22"/>
              </w:rPr>
            </w:pPr>
            <w:r>
              <w:rPr>
                <w:b/>
                <w:bCs/>
                <w:shadow w:val="0"/>
                <w:sz w:val="22"/>
                <w:szCs w:val="22"/>
              </w:rPr>
              <w:t>Poruchy oka</w:t>
            </w:r>
          </w:p>
        </w:tc>
        <w:tc>
          <w:tcPr>
            <w:tcW w:w="2303" w:type="dxa"/>
          </w:tcPr>
          <w:p w:rsidR="001D7541" w:rsidRDefault="001D7541" w:rsidP="00F92456">
            <w:pPr>
              <w:pStyle w:val="BodyText2"/>
              <w:jc w:val="left"/>
              <w:rPr>
                <w:shadow w:val="0"/>
                <w:sz w:val="22"/>
                <w:szCs w:val="22"/>
              </w:rPr>
            </w:pPr>
            <w:r w:rsidRPr="006158B9">
              <w:rPr>
                <w:shadow w:val="0"/>
                <w:sz w:val="22"/>
                <w:szCs w:val="22"/>
              </w:rPr>
              <w:t>Poruchy zraku, spustenie glaukómu (pri glaukóme s uzavretým uhlom)</w:t>
            </w:r>
          </w:p>
        </w:tc>
        <w:tc>
          <w:tcPr>
            <w:tcW w:w="2303" w:type="dxa"/>
          </w:tcPr>
          <w:p w:rsidR="001D7541" w:rsidRDefault="001D7541" w:rsidP="00F92456">
            <w:pPr>
              <w:pStyle w:val="BodyText2"/>
              <w:jc w:val="left"/>
              <w:rPr>
                <w:shadow w:val="0"/>
                <w:sz w:val="22"/>
                <w:szCs w:val="22"/>
              </w:rPr>
            </w:pPr>
          </w:p>
        </w:tc>
        <w:tc>
          <w:tcPr>
            <w:tcW w:w="2303" w:type="dxa"/>
          </w:tcPr>
          <w:p w:rsidR="001D7541" w:rsidRDefault="001D7541" w:rsidP="00F92456">
            <w:pPr>
              <w:pStyle w:val="BodyText2"/>
              <w:jc w:val="left"/>
              <w:rPr>
                <w:shadow w:val="0"/>
                <w:sz w:val="22"/>
                <w:szCs w:val="22"/>
              </w:rPr>
            </w:pPr>
          </w:p>
        </w:tc>
      </w:tr>
      <w:tr w:rsidR="001D7541" w:rsidRPr="006158B9">
        <w:tc>
          <w:tcPr>
            <w:tcW w:w="2302" w:type="dxa"/>
          </w:tcPr>
          <w:p w:rsidR="001D7541" w:rsidRDefault="001D7541" w:rsidP="00F92456">
            <w:pPr>
              <w:pStyle w:val="BodyText2"/>
              <w:jc w:val="left"/>
              <w:rPr>
                <w:b/>
                <w:bCs/>
                <w:shadow w:val="0"/>
                <w:sz w:val="22"/>
                <w:szCs w:val="22"/>
              </w:rPr>
            </w:pPr>
            <w:r>
              <w:rPr>
                <w:b/>
                <w:bCs/>
                <w:shadow w:val="0"/>
                <w:sz w:val="22"/>
                <w:szCs w:val="22"/>
              </w:rPr>
              <w:t>Poruchy g</w:t>
            </w:r>
            <w:r w:rsidRPr="006158B9">
              <w:rPr>
                <w:b/>
                <w:bCs/>
                <w:shadow w:val="0"/>
                <w:sz w:val="22"/>
                <w:szCs w:val="22"/>
              </w:rPr>
              <w:t>astro-intestináln</w:t>
            </w:r>
            <w:r>
              <w:rPr>
                <w:b/>
                <w:bCs/>
                <w:shadow w:val="0"/>
                <w:sz w:val="22"/>
                <w:szCs w:val="22"/>
              </w:rPr>
              <w:t>eho</w:t>
            </w:r>
            <w:r w:rsidRPr="006158B9">
              <w:rPr>
                <w:b/>
                <w:bCs/>
                <w:shadow w:val="0"/>
                <w:sz w:val="22"/>
                <w:szCs w:val="22"/>
              </w:rPr>
              <w:t xml:space="preserve"> </w:t>
            </w:r>
            <w:r>
              <w:rPr>
                <w:b/>
                <w:bCs/>
                <w:shadow w:val="0"/>
                <w:sz w:val="22"/>
                <w:szCs w:val="22"/>
              </w:rPr>
              <w:t>traktu</w:t>
            </w:r>
          </w:p>
        </w:tc>
        <w:tc>
          <w:tcPr>
            <w:tcW w:w="2303" w:type="dxa"/>
          </w:tcPr>
          <w:p w:rsidR="001D7541" w:rsidRDefault="001D7541" w:rsidP="00F92456">
            <w:pPr>
              <w:pStyle w:val="BodyText2"/>
              <w:jc w:val="left"/>
              <w:rPr>
                <w:shadow w:val="0"/>
                <w:sz w:val="22"/>
                <w:szCs w:val="22"/>
              </w:rPr>
            </w:pPr>
            <w:r w:rsidRPr="006158B9">
              <w:rPr>
                <w:shadow w:val="0"/>
                <w:sz w:val="22"/>
                <w:szCs w:val="22"/>
              </w:rPr>
              <w:t>Suchosť v ústach</w:t>
            </w:r>
          </w:p>
        </w:tc>
        <w:tc>
          <w:tcPr>
            <w:tcW w:w="2303" w:type="dxa"/>
          </w:tcPr>
          <w:p w:rsidR="001D7541" w:rsidRDefault="001D7541" w:rsidP="00F92456">
            <w:pPr>
              <w:pStyle w:val="BodyText2"/>
              <w:jc w:val="left"/>
              <w:rPr>
                <w:shadow w:val="0"/>
                <w:sz w:val="22"/>
                <w:szCs w:val="22"/>
              </w:rPr>
            </w:pPr>
            <w:r w:rsidRPr="006158B9">
              <w:rPr>
                <w:shadow w:val="0"/>
                <w:sz w:val="22"/>
                <w:szCs w:val="22"/>
              </w:rPr>
              <w:t>Dyspepsia</w:t>
            </w:r>
          </w:p>
        </w:tc>
        <w:tc>
          <w:tcPr>
            <w:tcW w:w="2303" w:type="dxa"/>
          </w:tcPr>
          <w:p w:rsidR="001D7541" w:rsidRDefault="001D7541" w:rsidP="00F92456">
            <w:pPr>
              <w:pStyle w:val="BodyText2"/>
              <w:jc w:val="left"/>
              <w:rPr>
                <w:shadow w:val="0"/>
                <w:sz w:val="22"/>
                <w:szCs w:val="22"/>
              </w:rPr>
            </w:pPr>
          </w:p>
        </w:tc>
      </w:tr>
      <w:tr w:rsidR="001D7541" w:rsidRPr="006158B9">
        <w:tc>
          <w:tcPr>
            <w:tcW w:w="2302" w:type="dxa"/>
          </w:tcPr>
          <w:p w:rsidR="001D7541" w:rsidRDefault="001D7541" w:rsidP="00F92456">
            <w:pPr>
              <w:pStyle w:val="BodyText2"/>
              <w:jc w:val="left"/>
              <w:rPr>
                <w:b/>
                <w:bCs/>
                <w:shadow w:val="0"/>
                <w:sz w:val="22"/>
                <w:szCs w:val="22"/>
              </w:rPr>
            </w:pPr>
            <w:r>
              <w:rPr>
                <w:b/>
                <w:bCs/>
                <w:shadow w:val="0"/>
                <w:sz w:val="22"/>
                <w:szCs w:val="22"/>
              </w:rPr>
              <w:t>Poruchy i</w:t>
            </w:r>
            <w:r w:rsidRPr="006158B9">
              <w:rPr>
                <w:b/>
                <w:bCs/>
                <w:shadow w:val="0"/>
                <w:sz w:val="22"/>
                <w:szCs w:val="22"/>
              </w:rPr>
              <w:t>munitn</w:t>
            </w:r>
            <w:r>
              <w:rPr>
                <w:b/>
                <w:bCs/>
                <w:shadow w:val="0"/>
                <w:sz w:val="22"/>
                <w:szCs w:val="22"/>
              </w:rPr>
              <w:t>ého</w:t>
            </w:r>
            <w:r w:rsidRPr="006158B9">
              <w:rPr>
                <w:b/>
                <w:bCs/>
                <w:shadow w:val="0"/>
                <w:sz w:val="22"/>
                <w:szCs w:val="22"/>
              </w:rPr>
              <w:t xml:space="preserve"> systém</w:t>
            </w:r>
            <w:r>
              <w:rPr>
                <w:b/>
                <w:bCs/>
                <w:shadow w:val="0"/>
                <w:sz w:val="22"/>
                <w:szCs w:val="22"/>
              </w:rPr>
              <w:t>u</w:t>
            </w:r>
          </w:p>
        </w:tc>
        <w:tc>
          <w:tcPr>
            <w:tcW w:w="2303" w:type="dxa"/>
          </w:tcPr>
          <w:p w:rsidR="001D7541" w:rsidRDefault="001D7541" w:rsidP="00F92456">
            <w:pPr>
              <w:pStyle w:val="BodyText2"/>
              <w:jc w:val="left"/>
              <w:rPr>
                <w:shadow w:val="0"/>
                <w:sz w:val="22"/>
                <w:szCs w:val="22"/>
              </w:rPr>
            </w:pPr>
            <w:r w:rsidRPr="006158B9">
              <w:rPr>
                <w:shadow w:val="0"/>
                <w:sz w:val="22"/>
                <w:szCs w:val="22"/>
              </w:rPr>
              <w:t>Prejavy hypersenzitivity (napr. kožné prejavy)</w:t>
            </w:r>
          </w:p>
        </w:tc>
        <w:tc>
          <w:tcPr>
            <w:tcW w:w="2303" w:type="dxa"/>
          </w:tcPr>
          <w:p w:rsidR="001D7541" w:rsidRDefault="001D7541" w:rsidP="00F92456">
            <w:pPr>
              <w:pStyle w:val="BodyText2"/>
              <w:jc w:val="left"/>
              <w:rPr>
                <w:shadow w:val="0"/>
                <w:sz w:val="22"/>
                <w:szCs w:val="22"/>
              </w:rPr>
            </w:pPr>
          </w:p>
        </w:tc>
        <w:tc>
          <w:tcPr>
            <w:tcW w:w="2303" w:type="dxa"/>
          </w:tcPr>
          <w:p w:rsidR="001D7541" w:rsidRDefault="001D7541" w:rsidP="00F92456">
            <w:pPr>
              <w:pStyle w:val="BodyText2"/>
              <w:jc w:val="left"/>
              <w:rPr>
                <w:shadow w:val="0"/>
                <w:sz w:val="22"/>
                <w:szCs w:val="22"/>
              </w:rPr>
            </w:pPr>
          </w:p>
        </w:tc>
      </w:tr>
      <w:tr w:rsidR="001D7541" w:rsidRPr="006158B9">
        <w:tc>
          <w:tcPr>
            <w:tcW w:w="2302" w:type="dxa"/>
          </w:tcPr>
          <w:p w:rsidR="001D7541" w:rsidRDefault="001D7541" w:rsidP="00F92456">
            <w:pPr>
              <w:pStyle w:val="BodyText2"/>
              <w:jc w:val="left"/>
              <w:rPr>
                <w:b/>
                <w:bCs/>
                <w:shadow w:val="0"/>
                <w:sz w:val="22"/>
                <w:szCs w:val="22"/>
              </w:rPr>
            </w:pPr>
            <w:r>
              <w:rPr>
                <w:b/>
                <w:bCs/>
                <w:shadow w:val="0"/>
                <w:sz w:val="22"/>
                <w:szCs w:val="22"/>
              </w:rPr>
              <w:t>Poruchy</w:t>
            </w:r>
            <w:r w:rsidRPr="006158B9">
              <w:rPr>
                <w:b/>
                <w:bCs/>
                <w:shadow w:val="0"/>
                <w:sz w:val="22"/>
                <w:szCs w:val="22"/>
              </w:rPr>
              <w:t xml:space="preserve"> </w:t>
            </w:r>
            <w:r>
              <w:rPr>
                <w:b/>
                <w:bCs/>
                <w:shadow w:val="0"/>
                <w:sz w:val="22"/>
                <w:szCs w:val="22"/>
              </w:rPr>
              <w:t>k</w:t>
            </w:r>
            <w:r w:rsidRPr="006158B9">
              <w:rPr>
                <w:b/>
                <w:bCs/>
                <w:shadow w:val="0"/>
                <w:sz w:val="22"/>
                <w:szCs w:val="22"/>
              </w:rPr>
              <w:t>ož</w:t>
            </w:r>
            <w:r>
              <w:rPr>
                <w:b/>
                <w:bCs/>
                <w:shadow w:val="0"/>
                <w:sz w:val="22"/>
                <w:szCs w:val="22"/>
              </w:rPr>
              <w:t>e</w:t>
            </w:r>
            <w:r w:rsidRPr="006158B9">
              <w:rPr>
                <w:b/>
                <w:bCs/>
                <w:shadow w:val="0"/>
                <w:sz w:val="22"/>
                <w:szCs w:val="22"/>
              </w:rPr>
              <w:t xml:space="preserve"> a</w:t>
            </w:r>
            <w:r>
              <w:rPr>
                <w:b/>
                <w:bCs/>
                <w:shadow w:val="0"/>
                <w:sz w:val="22"/>
                <w:szCs w:val="22"/>
              </w:rPr>
              <w:t> </w:t>
            </w:r>
            <w:r w:rsidRPr="006158B9">
              <w:rPr>
                <w:b/>
                <w:bCs/>
                <w:shadow w:val="0"/>
                <w:sz w:val="22"/>
                <w:szCs w:val="22"/>
              </w:rPr>
              <w:t>podkožné</w:t>
            </w:r>
            <w:r>
              <w:rPr>
                <w:b/>
                <w:bCs/>
                <w:shadow w:val="0"/>
                <w:sz w:val="22"/>
                <w:szCs w:val="22"/>
              </w:rPr>
              <w:t>ho</w:t>
            </w:r>
            <w:r w:rsidRPr="006158B9">
              <w:rPr>
                <w:b/>
                <w:bCs/>
                <w:shadow w:val="0"/>
                <w:sz w:val="22"/>
                <w:szCs w:val="22"/>
              </w:rPr>
              <w:t xml:space="preserve"> tkaniv</w:t>
            </w:r>
            <w:r>
              <w:rPr>
                <w:b/>
                <w:bCs/>
                <w:shadow w:val="0"/>
                <w:sz w:val="22"/>
                <w:szCs w:val="22"/>
              </w:rPr>
              <w:t>a</w:t>
            </w:r>
          </w:p>
        </w:tc>
        <w:tc>
          <w:tcPr>
            <w:tcW w:w="2303" w:type="dxa"/>
          </w:tcPr>
          <w:p w:rsidR="001D7541" w:rsidRDefault="001D7541" w:rsidP="00F92456">
            <w:pPr>
              <w:pStyle w:val="BodyText2"/>
              <w:jc w:val="left"/>
              <w:rPr>
                <w:shadow w:val="0"/>
                <w:sz w:val="22"/>
                <w:szCs w:val="22"/>
              </w:rPr>
            </w:pPr>
          </w:p>
        </w:tc>
        <w:tc>
          <w:tcPr>
            <w:tcW w:w="2303" w:type="dxa"/>
          </w:tcPr>
          <w:p w:rsidR="001D7541" w:rsidRDefault="001D7541" w:rsidP="00F92456">
            <w:pPr>
              <w:pStyle w:val="BodyText2"/>
              <w:jc w:val="left"/>
              <w:rPr>
                <w:shadow w:val="0"/>
                <w:sz w:val="22"/>
                <w:szCs w:val="22"/>
              </w:rPr>
            </w:pPr>
          </w:p>
        </w:tc>
        <w:tc>
          <w:tcPr>
            <w:tcW w:w="2303" w:type="dxa"/>
          </w:tcPr>
          <w:p w:rsidR="001D7541" w:rsidRDefault="001D7541" w:rsidP="00F92456">
            <w:pPr>
              <w:pStyle w:val="BodyText2"/>
              <w:jc w:val="left"/>
              <w:rPr>
                <w:shadow w:val="0"/>
                <w:sz w:val="22"/>
                <w:szCs w:val="22"/>
              </w:rPr>
            </w:pPr>
            <w:r w:rsidRPr="006158B9">
              <w:rPr>
                <w:shadow w:val="0"/>
                <w:sz w:val="22"/>
                <w:szCs w:val="22"/>
              </w:rPr>
              <w:t>Lupus erythematodes, lichen ruber planus</w:t>
            </w:r>
          </w:p>
        </w:tc>
      </w:tr>
      <w:tr w:rsidR="001D7541" w:rsidRPr="006158B9">
        <w:tc>
          <w:tcPr>
            <w:tcW w:w="2302" w:type="dxa"/>
          </w:tcPr>
          <w:p w:rsidR="001D7541" w:rsidRDefault="001D7541" w:rsidP="00F92456">
            <w:pPr>
              <w:pStyle w:val="BodyText2"/>
              <w:jc w:val="left"/>
              <w:rPr>
                <w:b/>
                <w:bCs/>
                <w:shadow w:val="0"/>
                <w:sz w:val="22"/>
                <w:szCs w:val="22"/>
              </w:rPr>
            </w:pPr>
            <w:r>
              <w:rPr>
                <w:b/>
                <w:bCs/>
                <w:shadow w:val="0"/>
                <w:sz w:val="22"/>
                <w:szCs w:val="22"/>
              </w:rPr>
              <w:t>Poruchy</w:t>
            </w:r>
            <w:r w:rsidRPr="006158B9">
              <w:rPr>
                <w:b/>
                <w:bCs/>
                <w:shadow w:val="0"/>
                <w:sz w:val="22"/>
                <w:szCs w:val="22"/>
              </w:rPr>
              <w:t xml:space="preserve"> </w:t>
            </w:r>
            <w:r>
              <w:rPr>
                <w:b/>
                <w:bCs/>
                <w:shadow w:val="0"/>
                <w:sz w:val="22"/>
                <w:szCs w:val="22"/>
              </w:rPr>
              <w:t>o</w:t>
            </w:r>
            <w:r w:rsidRPr="006158B9">
              <w:rPr>
                <w:b/>
                <w:bCs/>
                <w:shadow w:val="0"/>
                <w:sz w:val="22"/>
                <w:szCs w:val="22"/>
              </w:rPr>
              <w:t>blič</w:t>
            </w:r>
            <w:r>
              <w:rPr>
                <w:b/>
                <w:bCs/>
                <w:shadow w:val="0"/>
                <w:sz w:val="22"/>
                <w:szCs w:val="22"/>
              </w:rPr>
              <w:t>ie</w:t>
            </w:r>
            <w:r w:rsidRPr="006158B9">
              <w:rPr>
                <w:b/>
                <w:bCs/>
                <w:shadow w:val="0"/>
                <w:sz w:val="22"/>
                <w:szCs w:val="22"/>
              </w:rPr>
              <w:t>k a močový</w:t>
            </w:r>
            <w:r>
              <w:rPr>
                <w:b/>
                <w:bCs/>
                <w:shadow w:val="0"/>
                <w:sz w:val="22"/>
                <w:szCs w:val="22"/>
              </w:rPr>
              <w:t>ch</w:t>
            </w:r>
            <w:r w:rsidRPr="006158B9">
              <w:rPr>
                <w:b/>
                <w:bCs/>
                <w:shadow w:val="0"/>
                <w:sz w:val="22"/>
                <w:szCs w:val="22"/>
              </w:rPr>
              <w:t xml:space="preserve"> </w:t>
            </w:r>
            <w:r>
              <w:rPr>
                <w:b/>
                <w:bCs/>
                <w:shadow w:val="0"/>
                <w:sz w:val="22"/>
                <w:szCs w:val="22"/>
              </w:rPr>
              <w:t>ciest</w:t>
            </w:r>
          </w:p>
        </w:tc>
        <w:tc>
          <w:tcPr>
            <w:tcW w:w="2303" w:type="dxa"/>
          </w:tcPr>
          <w:p w:rsidR="001D7541" w:rsidRDefault="001D7541" w:rsidP="00F92456">
            <w:pPr>
              <w:pStyle w:val="BodyText2"/>
              <w:jc w:val="left"/>
              <w:rPr>
                <w:shadow w:val="0"/>
                <w:sz w:val="22"/>
                <w:szCs w:val="22"/>
              </w:rPr>
            </w:pPr>
            <w:r w:rsidRPr="006158B9">
              <w:rPr>
                <w:shadow w:val="0"/>
                <w:sz w:val="22"/>
                <w:szCs w:val="22"/>
              </w:rPr>
              <w:t>Problémy s močením</w:t>
            </w:r>
          </w:p>
        </w:tc>
        <w:tc>
          <w:tcPr>
            <w:tcW w:w="2303" w:type="dxa"/>
          </w:tcPr>
          <w:p w:rsidR="001D7541" w:rsidRDefault="001D7541" w:rsidP="00F92456">
            <w:pPr>
              <w:pStyle w:val="BodyText2"/>
              <w:jc w:val="left"/>
              <w:rPr>
                <w:shadow w:val="0"/>
                <w:sz w:val="22"/>
                <w:szCs w:val="22"/>
              </w:rPr>
            </w:pPr>
          </w:p>
        </w:tc>
        <w:tc>
          <w:tcPr>
            <w:tcW w:w="2303" w:type="dxa"/>
          </w:tcPr>
          <w:p w:rsidR="001D7541" w:rsidRDefault="001D7541" w:rsidP="00F92456">
            <w:pPr>
              <w:pStyle w:val="BodyText2"/>
              <w:jc w:val="left"/>
              <w:rPr>
                <w:shadow w:val="0"/>
                <w:sz w:val="22"/>
                <w:szCs w:val="22"/>
              </w:rPr>
            </w:pPr>
          </w:p>
        </w:tc>
      </w:tr>
    </w:tbl>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 xml:space="preserve">Predovšetkým u starších pacientov po užití vyšších dávok, tj. viac ako 150 mg cinarizínu/deň (maximálna denná dávka 5 tabliet lieku Arlevert obsahuje 100 mg cinarizínu) </w:t>
      </w:r>
      <w:r w:rsidRPr="006158B9">
        <w:rPr>
          <w:iCs/>
          <w:shadow w:val="0"/>
          <w:sz w:val="22"/>
          <w:szCs w:val="22"/>
        </w:rPr>
        <w:t xml:space="preserve">sa môžu objaviť poruchy mimovôľovo koordinovaných pohybov </w:t>
      </w:r>
      <w:r w:rsidRPr="006158B9">
        <w:rPr>
          <w:shadow w:val="0"/>
          <w:sz w:val="22"/>
          <w:szCs w:val="22"/>
        </w:rPr>
        <w:t>(extrapyramídový systém) - tremor, zvýšenie svalového tonusu, hypokinéza. V takom prípade sa liek na určitý čas vysadí a lekár rozhodne o tom, či sa bude pokračovať v redukovanej dávke.</w:t>
      </w:r>
    </w:p>
    <w:p w:rsidR="001D7541" w:rsidRDefault="001D7541" w:rsidP="00F92456">
      <w:pPr>
        <w:pStyle w:val="BodyText2"/>
        <w:jc w:val="left"/>
        <w:rPr>
          <w:shadow w:val="0"/>
          <w:sz w:val="22"/>
          <w:szCs w:val="22"/>
        </w:rPr>
      </w:pPr>
    </w:p>
    <w:p w:rsidR="001D7541" w:rsidRPr="005F340F" w:rsidRDefault="001D7541" w:rsidP="007D3F09">
      <w:pPr>
        <w:suppressLineNumbers/>
        <w:autoSpaceDE w:val="0"/>
        <w:autoSpaceDN w:val="0"/>
        <w:adjustRightInd w:val="0"/>
        <w:rPr>
          <w:shadow w:val="0"/>
          <w:sz w:val="22"/>
          <w:szCs w:val="22"/>
          <w:u w:val="single"/>
        </w:rPr>
      </w:pPr>
      <w:r w:rsidRPr="005F340F">
        <w:rPr>
          <w:shadow w:val="0"/>
          <w:noProof/>
          <w:sz w:val="22"/>
          <w:szCs w:val="22"/>
          <w:u w:val="single"/>
        </w:rPr>
        <w:t>Hlásenie podozrení na nežiaduce reakcie</w:t>
      </w:r>
    </w:p>
    <w:p w:rsidR="001D7541" w:rsidRPr="00090668" w:rsidRDefault="001D7541" w:rsidP="007D3F09">
      <w:pPr>
        <w:suppressLineNumbers/>
        <w:autoSpaceDE w:val="0"/>
        <w:autoSpaceDN w:val="0"/>
        <w:adjustRightInd w:val="0"/>
        <w:rPr>
          <w:shadow w:val="0"/>
          <w:noProof/>
          <w:sz w:val="22"/>
          <w:szCs w:val="22"/>
        </w:rPr>
      </w:pPr>
      <w:r w:rsidRPr="00F92456">
        <w:rPr>
          <w:shadow w:val="0"/>
          <w:noProof/>
          <w:sz w:val="22"/>
          <w:szCs w:val="22"/>
        </w:rPr>
        <w:t>Hlásenie podozrení na nežiaduce reakcie po registrácii lieku je dôležité.</w:t>
      </w:r>
      <w:r w:rsidRPr="00F92456">
        <w:rPr>
          <w:shadow w:val="0"/>
          <w:sz w:val="22"/>
          <w:szCs w:val="22"/>
        </w:rPr>
        <w:t xml:space="preserve"> </w:t>
      </w:r>
      <w:r w:rsidRPr="00F92456">
        <w:rPr>
          <w:shadow w:val="0"/>
          <w:noProof/>
          <w:sz w:val="22"/>
          <w:szCs w:val="22"/>
        </w:rPr>
        <w:t>Umožňuje priebežné monitorovanie pomeru prínosu a</w:t>
      </w:r>
      <w:r>
        <w:rPr>
          <w:shadow w:val="0"/>
          <w:noProof/>
          <w:sz w:val="22"/>
          <w:szCs w:val="22"/>
        </w:rPr>
        <w:t> </w:t>
      </w:r>
      <w:r w:rsidRPr="00F92456">
        <w:rPr>
          <w:shadow w:val="0"/>
          <w:noProof/>
          <w:sz w:val="22"/>
          <w:szCs w:val="22"/>
        </w:rPr>
        <w:t>rizika lieku.</w:t>
      </w:r>
      <w:r w:rsidRPr="00F92456">
        <w:rPr>
          <w:shadow w:val="0"/>
          <w:sz w:val="22"/>
          <w:szCs w:val="22"/>
        </w:rPr>
        <w:t xml:space="preserve"> Od </w:t>
      </w:r>
      <w:r w:rsidRPr="00F92456">
        <w:rPr>
          <w:shadow w:val="0"/>
          <w:noProof/>
          <w:sz w:val="22"/>
          <w:szCs w:val="22"/>
        </w:rPr>
        <w:t xml:space="preserve">zdravotníckych pracovníkov sa vyžaduje, aby hlásili akékoľvek podozrenia na nežiaduce reakcie prostredníctvom </w:t>
      </w:r>
      <w:r w:rsidRPr="00F92456">
        <w:rPr>
          <w:shadow w:val="0"/>
          <w:noProof/>
          <w:sz w:val="22"/>
          <w:szCs w:val="22"/>
          <w:highlight w:val="lightGray"/>
        </w:rPr>
        <w:t>národného systému hlásenia uvedeného v</w:t>
      </w:r>
      <w:r>
        <w:rPr>
          <w:shadow w:val="0"/>
          <w:noProof/>
          <w:sz w:val="22"/>
          <w:szCs w:val="22"/>
          <w:highlight w:val="lightGray"/>
        </w:rPr>
        <w:t> </w:t>
      </w:r>
      <w:hyperlink r:id="rId7" w:history="1">
        <w:r w:rsidRPr="00F92456">
          <w:rPr>
            <w:rStyle w:val="Hyperlink"/>
            <w:shadow w:val="0"/>
            <w:noProof/>
            <w:sz w:val="22"/>
            <w:szCs w:val="22"/>
            <w:highlight w:val="lightGray"/>
          </w:rPr>
          <w:t>Prílohe V</w:t>
        </w:r>
      </w:hyperlink>
      <w:r w:rsidRPr="00F92456">
        <w:rPr>
          <w:shadow w:val="0"/>
          <w:noProof/>
          <w:sz w:val="22"/>
          <w:szCs w:val="22"/>
        </w:rPr>
        <w:t>.</w:t>
      </w:r>
    </w:p>
    <w:p w:rsidR="001D7541" w:rsidRDefault="001D7541" w:rsidP="00F92456">
      <w:pPr>
        <w:pStyle w:val="BodyText2"/>
        <w:jc w:val="left"/>
        <w:rPr>
          <w:shadow w:val="0"/>
          <w:sz w:val="22"/>
          <w:szCs w:val="22"/>
        </w:rPr>
      </w:pPr>
    </w:p>
    <w:p w:rsidR="001D7541" w:rsidRDefault="001D7541" w:rsidP="00F92456">
      <w:pPr>
        <w:ind w:right="-1"/>
        <w:rPr>
          <w:b/>
          <w:shadow w:val="0"/>
          <w:sz w:val="22"/>
          <w:szCs w:val="22"/>
          <w:lang w:val="sk-SK"/>
        </w:rPr>
      </w:pPr>
      <w:r w:rsidRPr="006158B9">
        <w:rPr>
          <w:b/>
          <w:shadow w:val="0"/>
          <w:sz w:val="22"/>
          <w:szCs w:val="22"/>
          <w:lang w:val="sk-SK"/>
        </w:rPr>
        <w:t>4.9</w:t>
      </w:r>
      <w:r>
        <w:rPr>
          <w:b/>
          <w:shadow w:val="0"/>
          <w:sz w:val="22"/>
          <w:szCs w:val="22"/>
          <w:lang w:val="sk-SK"/>
        </w:rPr>
        <w:tab/>
      </w:r>
      <w:r w:rsidRPr="006158B9">
        <w:rPr>
          <w:b/>
          <w:shadow w:val="0"/>
          <w:sz w:val="22"/>
          <w:szCs w:val="22"/>
          <w:lang w:val="sk-SK"/>
        </w:rPr>
        <w:t>Predávkovanie</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A) Symptómy predávkovania</w:t>
      </w:r>
    </w:p>
    <w:p w:rsidR="001D7541" w:rsidRDefault="001D7541" w:rsidP="00F92456">
      <w:pPr>
        <w:pStyle w:val="BodyText2"/>
        <w:jc w:val="left"/>
        <w:rPr>
          <w:shadow w:val="0"/>
          <w:sz w:val="22"/>
          <w:szCs w:val="22"/>
        </w:rPr>
      </w:pPr>
      <w:r w:rsidRPr="006158B9">
        <w:rPr>
          <w:shadow w:val="0"/>
          <w:sz w:val="22"/>
          <w:szCs w:val="22"/>
        </w:rPr>
        <w:t>Dimenhydrinát môže spôsobiť ospalosť, pri masívnom predávkovaní sa môže objaviť depresia dýchania, tachykardia, vzostup krvného tlaku, depresia CNS, príznaky centrálnej excitácie (najmä u detí), kŕče, anticholinergné symptómy, poruchy zraku, tremor až kóma. Intoxikácie môžu symptómami pripomínať otravu atropínom (nereagujúce dilatované pupily, sčervenanie, suchosť v ústach, hyperpyrexia a čiastočne aj gastrointestinálne ťažkosti). Nemožno vylúčiť, že dimenhydrinát môže indukovať arytmiu</w:t>
      </w:r>
      <w:r w:rsidRPr="006158B9">
        <w:rPr>
          <w:shadow w:val="0"/>
          <w:color w:val="FF0000"/>
          <w:sz w:val="22"/>
          <w:szCs w:val="22"/>
        </w:rPr>
        <w:t xml:space="preserve"> </w:t>
      </w:r>
      <w:r w:rsidRPr="006158B9">
        <w:rPr>
          <w:shadow w:val="0"/>
          <w:sz w:val="22"/>
          <w:szCs w:val="22"/>
        </w:rPr>
        <w:t>torsade-de-pointes po predávkovaní.</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B) Liečba predávkovania</w:t>
      </w:r>
    </w:p>
    <w:p w:rsidR="001D7541" w:rsidRDefault="001D7541" w:rsidP="00F92456">
      <w:pPr>
        <w:pStyle w:val="BodyText2"/>
        <w:jc w:val="left"/>
        <w:rPr>
          <w:shadow w:val="0"/>
          <w:sz w:val="22"/>
          <w:szCs w:val="22"/>
        </w:rPr>
      </w:pPr>
      <w:r w:rsidRPr="006158B9">
        <w:rPr>
          <w:shadow w:val="0"/>
          <w:sz w:val="22"/>
          <w:szCs w:val="22"/>
        </w:rPr>
        <w:t>Predávkovanie liekom Arlevert sa rieši vyvolaním vracania. Ak nie je úspešné, odporúča sa laváž žalúdka izotonickým roztokom NaCl. Respiračná insuficiencia alebo zlyhanie cirkulácie sa liečia obvyklým spôsobom. Odporúča sa starostlivé sledovanie telesnej teploty, pretože najmä u detí sa v dôsledku intoxikácie antihistaminikami môže objaviť hyperpyrexia.</w:t>
      </w:r>
    </w:p>
    <w:p w:rsidR="001D7541" w:rsidRDefault="001D7541" w:rsidP="00F92456">
      <w:pPr>
        <w:pStyle w:val="BodyText2"/>
        <w:jc w:val="left"/>
        <w:rPr>
          <w:shadow w:val="0"/>
          <w:sz w:val="22"/>
          <w:szCs w:val="22"/>
        </w:rPr>
      </w:pPr>
      <w:r w:rsidRPr="006158B9">
        <w:rPr>
          <w:shadow w:val="0"/>
          <w:sz w:val="22"/>
          <w:szCs w:val="22"/>
        </w:rPr>
        <w:t>Kŕče sa dajú udržať pod kontrolou opatrnou aplikáciou krátkodobo účinných barbiturátov. V prípade výrazných centrálnych anticholinergných účinkov je antidotom fyzostigmín (po fyzostigmínovom teste) v dávke 0,03 mg/kg telesnej hmotnosti (dospelí maximálne 2 mg, deti maximálne 0,5 mg), ktorá sa podáva pomaly intravenózne (alebo v prípade nevyhnutnosti intramuskulárne).</w:t>
      </w:r>
    </w:p>
    <w:p w:rsidR="001D7541" w:rsidRDefault="001D7541" w:rsidP="00F92456">
      <w:pPr>
        <w:pStyle w:val="BodyText2"/>
        <w:jc w:val="left"/>
        <w:rPr>
          <w:shadow w:val="0"/>
          <w:sz w:val="22"/>
          <w:szCs w:val="22"/>
        </w:rPr>
      </w:pPr>
      <w:r w:rsidRPr="006158B9">
        <w:rPr>
          <w:shadow w:val="0"/>
          <w:sz w:val="22"/>
          <w:szCs w:val="22"/>
        </w:rPr>
        <w:t>Pre vysokú väzbu na plazmatické bielkoviny a veľký distribučný objem forsírovaná diuréza a hemodialýza má pri intoxikáciách samotným dimenhydrinátom len malý význam.</w:t>
      </w:r>
    </w:p>
    <w:p w:rsidR="001D7541" w:rsidRDefault="001D7541" w:rsidP="00F92456">
      <w:pPr>
        <w:pStyle w:val="BodyText2"/>
        <w:jc w:val="left"/>
        <w:rPr>
          <w:shadow w:val="0"/>
          <w:sz w:val="22"/>
          <w:szCs w:val="22"/>
        </w:rPr>
      </w:pPr>
      <w:r w:rsidRPr="006158B9">
        <w:rPr>
          <w:shadow w:val="0"/>
          <w:sz w:val="22"/>
          <w:szCs w:val="22"/>
        </w:rPr>
        <w:t>O dialyzovateľnosti cinarizínu v súčasnosti ešte nie sú dostupné žiadne údaje.</w:t>
      </w:r>
    </w:p>
    <w:p w:rsidR="001D7541" w:rsidRDefault="001D7541" w:rsidP="00F92456">
      <w:pPr>
        <w:pStyle w:val="BodyText2"/>
        <w:jc w:val="left"/>
      </w:pPr>
    </w:p>
    <w:p w:rsidR="001D7541" w:rsidRDefault="001D7541" w:rsidP="00F92456">
      <w:pPr>
        <w:pStyle w:val="BodyText2"/>
        <w:jc w:val="left"/>
      </w:pPr>
    </w:p>
    <w:p w:rsidR="001D7541" w:rsidRDefault="001D7541" w:rsidP="00F92456">
      <w:pPr>
        <w:pStyle w:val="BodyText2"/>
        <w:jc w:val="left"/>
        <w:rPr>
          <w:b/>
          <w:caps/>
          <w:shadow w:val="0"/>
          <w:sz w:val="22"/>
          <w:szCs w:val="22"/>
        </w:rPr>
      </w:pPr>
      <w:r w:rsidRPr="006158B9">
        <w:rPr>
          <w:b/>
          <w:caps/>
          <w:shadow w:val="0"/>
          <w:szCs w:val="24"/>
        </w:rPr>
        <w:t xml:space="preserve">5. </w:t>
      </w:r>
      <w:r w:rsidRPr="006158B9">
        <w:rPr>
          <w:b/>
          <w:caps/>
          <w:shadow w:val="0"/>
          <w:szCs w:val="24"/>
        </w:rPr>
        <w:tab/>
      </w:r>
      <w:r w:rsidRPr="00F92456">
        <w:rPr>
          <w:b/>
          <w:caps/>
          <w:shadow w:val="0"/>
          <w:sz w:val="22"/>
          <w:szCs w:val="22"/>
        </w:rPr>
        <w:t>Farmakologické vlastnosti</w:t>
      </w:r>
    </w:p>
    <w:p w:rsidR="001D7541" w:rsidRDefault="001D7541" w:rsidP="00F92456">
      <w:pPr>
        <w:pStyle w:val="BodyText2"/>
        <w:jc w:val="left"/>
        <w:rPr>
          <w:b/>
          <w:shadow w:val="0"/>
          <w:sz w:val="22"/>
          <w:szCs w:val="22"/>
        </w:rPr>
      </w:pPr>
    </w:p>
    <w:p w:rsidR="001D7541" w:rsidRDefault="001D7541" w:rsidP="00F92456">
      <w:pPr>
        <w:ind w:right="-1"/>
        <w:rPr>
          <w:b/>
          <w:shadow w:val="0"/>
          <w:sz w:val="22"/>
          <w:szCs w:val="22"/>
          <w:lang w:val="sk-SK"/>
        </w:rPr>
      </w:pPr>
      <w:r w:rsidRPr="006158B9">
        <w:rPr>
          <w:b/>
          <w:shadow w:val="0"/>
          <w:sz w:val="22"/>
          <w:szCs w:val="22"/>
          <w:lang w:val="sk-SK"/>
        </w:rPr>
        <w:t>5.1</w:t>
      </w:r>
      <w:r>
        <w:rPr>
          <w:b/>
          <w:shadow w:val="0"/>
          <w:sz w:val="22"/>
          <w:szCs w:val="22"/>
          <w:lang w:val="sk-SK"/>
        </w:rPr>
        <w:tab/>
      </w:r>
      <w:r w:rsidRPr="006158B9">
        <w:rPr>
          <w:b/>
          <w:shadow w:val="0"/>
          <w:sz w:val="22"/>
          <w:szCs w:val="22"/>
          <w:lang w:val="sk-SK"/>
        </w:rPr>
        <w:t>Farmakodynamické vlastnosti</w:t>
      </w:r>
    </w:p>
    <w:p w:rsidR="001D7541" w:rsidRDefault="001D7541" w:rsidP="00F92456">
      <w:pPr>
        <w:pStyle w:val="BodyText2"/>
        <w:jc w:val="left"/>
        <w:rPr>
          <w:b/>
          <w:shadow w:val="0"/>
          <w:sz w:val="22"/>
          <w:szCs w:val="22"/>
        </w:rPr>
      </w:pPr>
    </w:p>
    <w:p w:rsidR="001D7541" w:rsidRDefault="001D7541" w:rsidP="00F92456">
      <w:pPr>
        <w:pStyle w:val="BodyText2"/>
        <w:jc w:val="left"/>
        <w:rPr>
          <w:bCs/>
          <w:shadow w:val="0"/>
          <w:sz w:val="22"/>
          <w:szCs w:val="22"/>
        </w:rPr>
      </w:pPr>
      <w:r w:rsidRPr="005F340F">
        <w:rPr>
          <w:shadow w:val="0"/>
          <w:sz w:val="22"/>
          <w:szCs w:val="22"/>
        </w:rPr>
        <w:t xml:space="preserve">Farmakoterapeutická skupina: </w:t>
      </w:r>
      <w:r>
        <w:rPr>
          <w:shadow w:val="0"/>
          <w:sz w:val="22"/>
          <w:szCs w:val="22"/>
        </w:rPr>
        <w:t xml:space="preserve">Iné liečivá na centrálnu nervovú sústavu, </w:t>
      </w:r>
      <w:r>
        <w:rPr>
          <w:bCs/>
          <w:shadow w:val="0"/>
          <w:sz w:val="22"/>
          <w:szCs w:val="22"/>
        </w:rPr>
        <w:t>a</w:t>
      </w:r>
      <w:r w:rsidRPr="006158B9">
        <w:rPr>
          <w:bCs/>
          <w:shadow w:val="0"/>
          <w:sz w:val="22"/>
          <w:szCs w:val="22"/>
        </w:rPr>
        <w:t>ntivertiginóza</w:t>
      </w:r>
    </w:p>
    <w:p w:rsidR="001D7541" w:rsidRDefault="001D7541" w:rsidP="00F92456">
      <w:pPr>
        <w:pStyle w:val="BodyText2"/>
        <w:jc w:val="left"/>
        <w:rPr>
          <w:b/>
          <w:shadow w:val="0"/>
          <w:sz w:val="22"/>
          <w:szCs w:val="22"/>
        </w:rPr>
      </w:pPr>
      <w:r w:rsidRPr="005F340F">
        <w:rPr>
          <w:shadow w:val="0"/>
          <w:sz w:val="22"/>
          <w:szCs w:val="22"/>
        </w:rPr>
        <w:t>ATC kód:</w:t>
      </w:r>
      <w:r w:rsidRPr="006158B9">
        <w:rPr>
          <w:b/>
          <w:shadow w:val="0"/>
          <w:sz w:val="22"/>
          <w:szCs w:val="22"/>
        </w:rPr>
        <w:t xml:space="preserve"> </w:t>
      </w:r>
      <w:r w:rsidRPr="006158B9">
        <w:rPr>
          <w:bCs/>
          <w:shadow w:val="0"/>
          <w:sz w:val="22"/>
          <w:szCs w:val="22"/>
        </w:rPr>
        <w:t>N07CA52</w:t>
      </w:r>
    </w:p>
    <w:p w:rsidR="001D7541" w:rsidRDefault="001D7541" w:rsidP="00F92456">
      <w:pPr>
        <w:pStyle w:val="BodyText2"/>
        <w:jc w:val="left"/>
        <w:rPr>
          <w:b/>
          <w:shadow w:val="0"/>
          <w:sz w:val="22"/>
          <w:szCs w:val="22"/>
        </w:rPr>
      </w:pPr>
    </w:p>
    <w:p w:rsidR="001D7541" w:rsidRDefault="001D7541" w:rsidP="00F92456">
      <w:pPr>
        <w:pStyle w:val="BodyText2"/>
        <w:jc w:val="left"/>
        <w:rPr>
          <w:shadow w:val="0"/>
          <w:sz w:val="22"/>
          <w:szCs w:val="22"/>
        </w:rPr>
      </w:pPr>
      <w:r w:rsidRPr="006158B9">
        <w:rPr>
          <w:shadow w:val="0"/>
          <w:sz w:val="22"/>
          <w:szCs w:val="22"/>
        </w:rPr>
        <w:t>Arlevert obsahuje kombináciu liečiv: antagonistu kalcia, histamínu, serotonínu a bradykinínu - cinarizín a antihistaminikum s anticholinergickými vlastnosťami dimenhydrinát. Dimenhydrinát je 8-chloroteofylínová soľ difenhydramínu. Farmakologické účinky dimenhydrinátu sa pripisujú difenhydramínovej zložke.</w:t>
      </w:r>
    </w:p>
    <w:p w:rsidR="001D7541" w:rsidRDefault="001D7541" w:rsidP="00F92456">
      <w:pPr>
        <w:pStyle w:val="BodyText2"/>
        <w:jc w:val="left"/>
        <w:rPr>
          <w:shadow w:val="0"/>
          <w:sz w:val="22"/>
          <w:szCs w:val="22"/>
        </w:rPr>
      </w:pPr>
      <w:r w:rsidRPr="006158B9">
        <w:rPr>
          <w:shadow w:val="0"/>
          <w:sz w:val="22"/>
          <w:szCs w:val="22"/>
        </w:rPr>
        <w:t>Obidve liečivá lieku Arlevert pôsobia synergicky na vestibulárny systém z dôvodu rozdielnej receptorovej špecificity v súvislosti s danou indikáciou. Cinarizín inhibuje aktiváciu vestibulárnych jadier a intenzitu vestibulo-okulárnych reflexov po (experimentálnej) stimulácii vestibulárneho aparátu. Dimenhydrinát znižuje neuronálnu aktivitu vestibulárnych jadier lokalizovaných v predĺženej mieche. Dimenhydrinát naviac účinkuje antiemeticky prostredníctvom spojenia vestibulárnych jadier s ostatnými centrami v mozgovom kmeni (napr. centrom pre vracanie).</w:t>
      </w:r>
    </w:p>
    <w:p w:rsidR="001D7541" w:rsidRDefault="001D7541" w:rsidP="00F92456">
      <w:pPr>
        <w:pStyle w:val="BodyText2"/>
        <w:jc w:val="left"/>
        <w:rPr>
          <w:shadow w:val="0"/>
          <w:sz w:val="22"/>
          <w:szCs w:val="22"/>
        </w:rPr>
      </w:pPr>
    </w:p>
    <w:p w:rsidR="001D7541" w:rsidRDefault="001D7541" w:rsidP="00F92456">
      <w:pPr>
        <w:ind w:right="-1"/>
        <w:rPr>
          <w:b/>
          <w:shadow w:val="0"/>
          <w:sz w:val="22"/>
          <w:szCs w:val="22"/>
          <w:lang w:val="sk-SK"/>
        </w:rPr>
      </w:pPr>
      <w:r w:rsidRPr="006158B9">
        <w:rPr>
          <w:b/>
          <w:shadow w:val="0"/>
          <w:sz w:val="22"/>
          <w:szCs w:val="22"/>
          <w:lang w:val="sk-SK"/>
        </w:rPr>
        <w:t>5.2</w:t>
      </w:r>
      <w:r>
        <w:rPr>
          <w:b/>
          <w:shadow w:val="0"/>
          <w:sz w:val="22"/>
          <w:szCs w:val="22"/>
          <w:lang w:val="sk-SK"/>
        </w:rPr>
        <w:tab/>
      </w:r>
      <w:r w:rsidRPr="006158B9">
        <w:rPr>
          <w:b/>
          <w:shadow w:val="0"/>
          <w:sz w:val="22"/>
          <w:szCs w:val="22"/>
          <w:lang w:val="sk-SK"/>
        </w:rPr>
        <w:t>Farmakokinetické vlastnosti</w:t>
      </w:r>
    </w:p>
    <w:p w:rsidR="001D7541" w:rsidRDefault="001D7541" w:rsidP="00F92456">
      <w:pPr>
        <w:pStyle w:val="BodyText2"/>
        <w:jc w:val="left"/>
        <w:rPr>
          <w:b/>
          <w:shadow w:val="0"/>
          <w:sz w:val="22"/>
          <w:szCs w:val="22"/>
        </w:rPr>
      </w:pPr>
    </w:p>
    <w:p w:rsidR="001D7541" w:rsidRDefault="001D7541" w:rsidP="00F92456">
      <w:pPr>
        <w:pStyle w:val="BodyText2"/>
        <w:jc w:val="left"/>
        <w:rPr>
          <w:shadow w:val="0"/>
          <w:sz w:val="22"/>
          <w:szCs w:val="22"/>
        </w:rPr>
      </w:pPr>
      <w:r w:rsidRPr="006158B9">
        <w:rPr>
          <w:shadow w:val="0"/>
          <w:sz w:val="22"/>
          <w:szCs w:val="22"/>
        </w:rPr>
        <w:t>Obidve liečivá cinarizín a dimenhydrinát sa uvoľňujú z kombinovaného lieku Arlevert v priebehu 6 minút v množstve 80 - 85% a v priebehu 9 až 12 minút v množstve najmenej 95%. Obidve liečivá sa rýchlo absorbujú z gastro-intestinálneho traktu.</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Dimenhydrinát disociuje v krvi na difenhydramín a 8-chloroteofylín. Systémová biodostupnosť difenhydramínu je nízka (26 – 72%), čo je spôsobené intenzívnym metabolizmom pri prvom prechode pečeňou (približne 50%). Difenhydramín má silnú väzbu na plazmatické bielkoviny, preniká placentárnou bariérou a preniká do materského mlieka. Maximálnu plazmatickú koncentráciu dosahuje v priebehu 2 hodín; plazmatický polčas eliminácie je približne 4,5 hodiny. Distribučný objem sa pohybuje v rozmedzí 188 a 336 litrov a plazmatická clearance je 638 – 1015 ml/min. Difenhydramín sa vylučuje močom, predovšetkým vo forme metabolitov. Najdôležitejším metabolitom v moči je difenylmetoxyoctová kyselina.</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Cinarizín dosahuje maximálnu plazmatickú koncentráciu približne po 2 hodinách a vykazuje plazmatický polčas eliminácie cca 4 hodiny.</w:t>
      </w:r>
    </w:p>
    <w:p w:rsidR="001D7541" w:rsidRDefault="001D7541" w:rsidP="00F92456">
      <w:pPr>
        <w:pStyle w:val="BodyText2"/>
        <w:jc w:val="left"/>
        <w:rPr>
          <w:shadow w:val="0"/>
          <w:sz w:val="22"/>
          <w:szCs w:val="22"/>
        </w:rPr>
      </w:pPr>
      <w:r w:rsidRPr="006158B9">
        <w:rPr>
          <w:shadow w:val="0"/>
          <w:sz w:val="22"/>
          <w:szCs w:val="22"/>
        </w:rPr>
        <w:t>Cinarizín sa metabolizuje predovšetkým v pečeni a vylučuje močom, čiastočne ako voľný a čiastočne vo forme metabolitov alebo glukuronidov. Približne 40 – 60% sa vylučuje stolicou.</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Žiaden z farmakokinetických parametrov cinarizínu a dimenhydrinátu sa výrazne nemení, či ide o jednotlivé podanie alebo podanie v kombinácii.</w:t>
      </w:r>
    </w:p>
    <w:p w:rsidR="001D7541" w:rsidRDefault="001D7541" w:rsidP="00F92456">
      <w:pPr>
        <w:pStyle w:val="BodyText2"/>
        <w:jc w:val="left"/>
        <w:rPr>
          <w:shadow w:val="0"/>
          <w:sz w:val="22"/>
          <w:szCs w:val="22"/>
        </w:rPr>
      </w:pPr>
      <w:r w:rsidRPr="006158B9">
        <w:rPr>
          <w:shadow w:val="0"/>
          <w:sz w:val="22"/>
          <w:szCs w:val="22"/>
        </w:rPr>
        <w:t>Na základe dostupných údajov je možné usúdiť, že kombinácia liečiv v tabletách Arlevert neovplyvňuje biodostupnosť a farmakokinetiku jednotlivých liečiv.</w:t>
      </w:r>
    </w:p>
    <w:p w:rsidR="001D7541" w:rsidRDefault="001D7541" w:rsidP="00F92456">
      <w:pPr>
        <w:pStyle w:val="BodyText2"/>
        <w:jc w:val="left"/>
        <w:rPr>
          <w:shadow w:val="0"/>
          <w:sz w:val="22"/>
          <w:szCs w:val="22"/>
        </w:rPr>
      </w:pPr>
    </w:p>
    <w:p w:rsidR="001D7541" w:rsidRDefault="001D7541" w:rsidP="00F92456">
      <w:pPr>
        <w:pStyle w:val="BodyText2"/>
        <w:jc w:val="left"/>
        <w:rPr>
          <w:b/>
          <w:shadow w:val="0"/>
          <w:sz w:val="22"/>
          <w:szCs w:val="22"/>
        </w:rPr>
      </w:pPr>
      <w:r w:rsidRPr="006158B9">
        <w:rPr>
          <w:b/>
          <w:shadow w:val="0"/>
          <w:sz w:val="22"/>
          <w:szCs w:val="22"/>
        </w:rPr>
        <w:t>5.3</w:t>
      </w:r>
      <w:r>
        <w:rPr>
          <w:b/>
          <w:shadow w:val="0"/>
          <w:sz w:val="22"/>
          <w:szCs w:val="22"/>
        </w:rPr>
        <w:tab/>
      </w:r>
      <w:r w:rsidRPr="006158B9">
        <w:rPr>
          <w:b/>
          <w:shadow w:val="0"/>
          <w:sz w:val="22"/>
          <w:szCs w:val="22"/>
        </w:rPr>
        <w:t>Predklinické údaje o bezpečnosti</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Štúdie na zvieratách neukázali žiadne mimoriadne prejavy akútnej toxicity.</w:t>
      </w:r>
    </w:p>
    <w:p w:rsidR="001D7541" w:rsidRDefault="001D7541" w:rsidP="00F92456">
      <w:pPr>
        <w:pStyle w:val="BodyText2"/>
        <w:jc w:val="left"/>
        <w:rPr>
          <w:shadow w:val="0"/>
          <w:sz w:val="22"/>
          <w:szCs w:val="22"/>
        </w:rPr>
      </w:pPr>
      <w:r w:rsidRPr="006158B9">
        <w:rPr>
          <w:shadow w:val="0"/>
          <w:sz w:val="22"/>
          <w:szCs w:val="22"/>
        </w:rPr>
        <w:t>Akútne toxické účinky dimenhydrinátu boli popísané u dospelých pri koncentrácii 25 až 250 mg/kg telesnej hmotnosti, čo zodpovedá približne 40 tabletám lieku Arlevert. Príznaky intoxikácie – pozri 4.9.</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Štúdie na zvieratách neukázali žiadne známky škodlivých vplyvov lieku Arlevert. Štúdie mutagenity na baktériách (Ames test) nepreukázali žiaden mutagénny potenciál lieku.</w:t>
      </w:r>
    </w:p>
    <w:p w:rsidR="001D7541" w:rsidRDefault="001D7541" w:rsidP="00F92456">
      <w:pPr>
        <w:pStyle w:val="BodyText2"/>
        <w:jc w:val="left"/>
        <w:rPr>
          <w:shadow w:val="0"/>
          <w:sz w:val="22"/>
          <w:szCs w:val="22"/>
        </w:rPr>
      </w:pPr>
      <w:r w:rsidRPr="006158B9">
        <w:rPr>
          <w:shadow w:val="0"/>
          <w:sz w:val="22"/>
          <w:szCs w:val="22"/>
        </w:rPr>
        <w:t xml:space="preserve">U cinarizínu </w:t>
      </w:r>
      <w:r w:rsidRPr="006158B9">
        <w:rPr>
          <w:i/>
          <w:iCs/>
          <w:shadow w:val="0"/>
          <w:sz w:val="22"/>
          <w:szCs w:val="22"/>
        </w:rPr>
        <w:t>in vitro</w:t>
      </w:r>
      <w:r w:rsidRPr="006158B9">
        <w:rPr>
          <w:shadow w:val="0"/>
          <w:sz w:val="22"/>
          <w:szCs w:val="22"/>
        </w:rPr>
        <w:t xml:space="preserve"> test na chromozómové aberácie na bunkách čínskych škrečkov neukázal žiadne známky klastogenicity. U cinarizínu neboli zistené žiadne prejavy teratogenity v štúdiách na potkanoch. Počas tehotenstva a laktácie sa u embryí ani u novorodencov neprejavili žiadne anomálie.</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r w:rsidRPr="006158B9">
        <w:rPr>
          <w:shadow w:val="0"/>
          <w:sz w:val="22"/>
          <w:szCs w:val="22"/>
        </w:rPr>
        <w:t>V súvislosti s difenhydramínom, aktívnou antihistaminickou časťou liečiva dimenhydrinátu, sa sledovala častejšia incidencia rázštepu podnebia, hoci zatiaľ neboli dokázané anomálie fétu pri dimenhydrináte. V štúdiách sa dimenhydrinát nejavil ako teratogénny.</w:t>
      </w:r>
    </w:p>
    <w:p w:rsidR="001D7541" w:rsidRDefault="001D7541" w:rsidP="00F92456">
      <w:pPr>
        <w:pStyle w:val="BodyText2"/>
        <w:jc w:val="left"/>
        <w:rPr>
          <w:shadow w:val="0"/>
          <w:sz w:val="22"/>
          <w:szCs w:val="22"/>
        </w:rPr>
      </w:pPr>
    </w:p>
    <w:p w:rsidR="001D7541" w:rsidRDefault="001D7541" w:rsidP="00F92456">
      <w:pPr>
        <w:pStyle w:val="BodyText2"/>
        <w:jc w:val="left"/>
        <w:rPr>
          <w:shadow w:val="0"/>
          <w:sz w:val="22"/>
          <w:szCs w:val="22"/>
        </w:rPr>
      </w:pPr>
    </w:p>
    <w:p w:rsidR="001D7541" w:rsidRDefault="001D7541" w:rsidP="00F92456">
      <w:pPr>
        <w:ind w:right="-1"/>
        <w:rPr>
          <w:b/>
          <w:caps/>
          <w:shadow w:val="0"/>
          <w:sz w:val="22"/>
          <w:szCs w:val="22"/>
          <w:lang w:val="sk-SK"/>
        </w:rPr>
      </w:pPr>
      <w:r w:rsidRPr="006158B9">
        <w:rPr>
          <w:b/>
          <w:caps/>
          <w:shadow w:val="0"/>
          <w:sz w:val="22"/>
          <w:szCs w:val="22"/>
          <w:lang w:val="sk-SK"/>
        </w:rPr>
        <w:t xml:space="preserve">6. </w:t>
      </w:r>
      <w:r w:rsidRPr="006158B9">
        <w:rPr>
          <w:b/>
          <w:caps/>
          <w:shadow w:val="0"/>
          <w:sz w:val="22"/>
          <w:szCs w:val="22"/>
          <w:lang w:val="sk-SK"/>
        </w:rPr>
        <w:tab/>
        <w:t>Farmaceutické informácie</w:t>
      </w:r>
    </w:p>
    <w:p w:rsidR="001D7541" w:rsidRDefault="001D7541" w:rsidP="00F92456">
      <w:pPr>
        <w:ind w:right="-1"/>
        <w:rPr>
          <w:shadow w:val="0"/>
          <w:sz w:val="22"/>
          <w:szCs w:val="22"/>
          <w:lang w:val="sk-SK"/>
        </w:rPr>
      </w:pPr>
    </w:p>
    <w:p w:rsidR="001D7541" w:rsidRDefault="001D7541" w:rsidP="00F92456">
      <w:pPr>
        <w:ind w:right="-1"/>
        <w:rPr>
          <w:b/>
          <w:shadow w:val="0"/>
          <w:sz w:val="22"/>
          <w:szCs w:val="22"/>
          <w:lang w:val="sk-SK"/>
        </w:rPr>
      </w:pPr>
      <w:r w:rsidRPr="006158B9">
        <w:rPr>
          <w:b/>
          <w:shadow w:val="0"/>
          <w:sz w:val="22"/>
          <w:szCs w:val="22"/>
          <w:lang w:val="sk-SK"/>
        </w:rPr>
        <w:t>6.1</w:t>
      </w:r>
      <w:r>
        <w:rPr>
          <w:b/>
          <w:shadow w:val="0"/>
          <w:sz w:val="22"/>
          <w:szCs w:val="22"/>
          <w:lang w:val="sk-SK"/>
        </w:rPr>
        <w:tab/>
      </w:r>
      <w:r w:rsidRPr="006158B9">
        <w:rPr>
          <w:b/>
          <w:shadow w:val="0"/>
          <w:sz w:val="22"/>
          <w:szCs w:val="22"/>
          <w:lang w:val="sk-SK"/>
        </w:rPr>
        <w:t>Zoznam pomocných látok</w:t>
      </w:r>
    </w:p>
    <w:p w:rsidR="001D7541" w:rsidRDefault="001D7541" w:rsidP="00F92456">
      <w:pPr>
        <w:ind w:right="-1"/>
        <w:rPr>
          <w:shadow w:val="0"/>
          <w:sz w:val="22"/>
          <w:szCs w:val="22"/>
          <w:lang w:val="sk-SK"/>
        </w:rPr>
      </w:pPr>
    </w:p>
    <w:p w:rsidR="001D7541" w:rsidRDefault="001D7541" w:rsidP="00F92456">
      <w:pPr>
        <w:rPr>
          <w:shadow w:val="0"/>
          <w:sz w:val="22"/>
          <w:szCs w:val="22"/>
          <w:lang w:val="sk-SK"/>
        </w:rPr>
      </w:pPr>
      <w:r w:rsidRPr="00F92456">
        <w:rPr>
          <w:shadow w:val="0"/>
          <w:noProof/>
          <w:sz w:val="22"/>
          <w:szCs w:val="22"/>
        </w:rPr>
        <w:t>Kukuričný škrob</w:t>
      </w:r>
      <w:r w:rsidRPr="00512D4D" w:rsidDel="005E40D4">
        <w:rPr>
          <w:shadow w:val="0"/>
          <w:sz w:val="22"/>
          <w:szCs w:val="22"/>
          <w:lang w:val="sk-SK"/>
        </w:rPr>
        <w:t xml:space="preserve"> </w:t>
      </w:r>
    </w:p>
    <w:p w:rsidR="001D7541" w:rsidRDefault="001D7541" w:rsidP="00F92456">
      <w:pPr>
        <w:rPr>
          <w:shadow w:val="0"/>
          <w:sz w:val="22"/>
          <w:szCs w:val="22"/>
          <w:lang w:val="sk-SK"/>
        </w:rPr>
      </w:pPr>
      <w:r w:rsidRPr="00F92456">
        <w:rPr>
          <w:shadow w:val="0"/>
          <w:noProof/>
          <w:sz w:val="22"/>
          <w:szCs w:val="22"/>
        </w:rPr>
        <w:t>Mikrokryštalická celulóza</w:t>
      </w:r>
      <w:r w:rsidRPr="00512D4D" w:rsidDel="005E40D4">
        <w:rPr>
          <w:shadow w:val="0"/>
          <w:sz w:val="22"/>
          <w:szCs w:val="22"/>
          <w:lang w:val="sk-SK"/>
        </w:rPr>
        <w:t xml:space="preserve"> </w:t>
      </w:r>
    </w:p>
    <w:p w:rsidR="001D7541" w:rsidRDefault="001D7541" w:rsidP="00F92456">
      <w:pPr>
        <w:rPr>
          <w:shadow w:val="0"/>
          <w:sz w:val="22"/>
          <w:szCs w:val="22"/>
          <w:lang w:val="sk-SK"/>
        </w:rPr>
      </w:pPr>
      <w:r w:rsidRPr="00F92456">
        <w:rPr>
          <w:shadow w:val="0"/>
          <w:noProof/>
          <w:sz w:val="22"/>
          <w:szCs w:val="22"/>
        </w:rPr>
        <w:t>Sodná soľ kroskarmelózy</w:t>
      </w:r>
      <w:r w:rsidRPr="00512D4D" w:rsidDel="005E40D4">
        <w:rPr>
          <w:shadow w:val="0"/>
          <w:sz w:val="22"/>
          <w:szCs w:val="22"/>
          <w:lang w:val="sk-SK"/>
        </w:rPr>
        <w:t xml:space="preserve"> </w:t>
      </w:r>
    </w:p>
    <w:p w:rsidR="001D7541" w:rsidRDefault="001D7541" w:rsidP="00F92456">
      <w:pPr>
        <w:rPr>
          <w:shadow w:val="0"/>
          <w:sz w:val="22"/>
          <w:szCs w:val="22"/>
          <w:lang w:val="sk-SK"/>
        </w:rPr>
      </w:pPr>
      <w:r w:rsidRPr="00F92456">
        <w:rPr>
          <w:shadow w:val="0"/>
          <w:noProof/>
          <w:sz w:val="22"/>
          <w:szCs w:val="22"/>
        </w:rPr>
        <w:t>Hypromelóza</w:t>
      </w:r>
      <w:r w:rsidRPr="00512D4D" w:rsidDel="005E40D4">
        <w:rPr>
          <w:shadow w:val="0"/>
          <w:sz w:val="22"/>
          <w:szCs w:val="22"/>
          <w:lang w:val="sk-SK"/>
        </w:rPr>
        <w:t xml:space="preserve"> </w:t>
      </w:r>
    </w:p>
    <w:p w:rsidR="001D7541" w:rsidRDefault="001D7541" w:rsidP="00F92456">
      <w:pPr>
        <w:rPr>
          <w:shadow w:val="0"/>
          <w:sz w:val="22"/>
          <w:szCs w:val="22"/>
          <w:lang w:val="sk-SK"/>
        </w:rPr>
      </w:pPr>
      <w:r w:rsidRPr="00F92456">
        <w:rPr>
          <w:shadow w:val="0"/>
          <w:noProof/>
          <w:sz w:val="22"/>
          <w:szCs w:val="22"/>
        </w:rPr>
        <w:t>Koloidný oxid kremičitý bezvodý</w:t>
      </w:r>
      <w:r w:rsidRPr="00512D4D" w:rsidDel="005E40D4">
        <w:rPr>
          <w:shadow w:val="0"/>
          <w:sz w:val="22"/>
          <w:szCs w:val="22"/>
          <w:lang w:val="sk-SK"/>
        </w:rPr>
        <w:t xml:space="preserve"> </w:t>
      </w:r>
    </w:p>
    <w:p w:rsidR="001D7541" w:rsidRDefault="001D7541" w:rsidP="00F92456">
      <w:pPr>
        <w:rPr>
          <w:shadow w:val="0"/>
          <w:sz w:val="22"/>
          <w:szCs w:val="22"/>
          <w:lang w:val="sk-SK"/>
        </w:rPr>
      </w:pPr>
      <w:r w:rsidRPr="00F92456">
        <w:rPr>
          <w:shadow w:val="0"/>
          <w:noProof/>
          <w:sz w:val="22"/>
          <w:szCs w:val="22"/>
        </w:rPr>
        <w:t>Mastenec</w:t>
      </w:r>
      <w:r w:rsidRPr="00512D4D" w:rsidDel="005E40D4">
        <w:rPr>
          <w:shadow w:val="0"/>
          <w:sz w:val="22"/>
          <w:szCs w:val="22"/>
          <w:lang w:val="sk-SK"/>
        </w:rPr>
        <w:t xml:space="preserve"> </w:t>
      </w:r>
    </w:p>
    <w:p w:rsidR="001D7541" w:rsidRPr="00F92456" w:rsidRDefault="001D7541" w:rsidP="00F92456">
      <w:pPr>
        <w:rPr>
          <w:shadow w:val="0"/>
          <w:noProof/>
        </w:rPr>
      </w:pPr>
      <w:r w:rsidRPr="00540055">
        <w:rPr>
          <w:shadow w:val="0"/>
          <w:sz w:val="22"/>
          <w:szCs w:val="22"/>
          <w:lang w:val="sk-SK"/>
        </w:rPr>
        <w:t>Magnéziumstearát</w:t>
      </w:r>
    </w:p>
    <w:p w:rsidR="001D7541" w:rsidRDefault="001D7541" w:rsidP="00F92456">
      <w:pPr>
        <w:ind w:right="-1"/>
        <w:rPr>
          <w:shadow w:val="0"/>
          <w:sz w:val="22"/>
          <w:szCs w:val="22"/>
          <w:lang w:val="sk-SK"/>
        </w:rPr>
      </w:pPr>
    </w:p>
    <w:p w:rsidR="001D7541" w:rsidRDefault="001D7541" w:rsidP="00F92456">
      <w:pPr>
        <w:ind w:right="-1"/>
        <w:rPr>
          <w:b/>
          <w:shadow w:val="0"/>
          <w:sz w:val="22"/>
          <w:szCs w:val="22"/>
          <w:lang w:val="sk-SK"/>
        </w:rPr>
      </w:pPr>
      <w:r w:rsidRPr="006158B9">
        <w:rPr>
          <w:b/>
          <w:shadow w:val="0"/>
          <w:sz w:val="22"/>
          <w:szCs w:val="22"/>
          <w:lang w:val="sk-SK"/>
        </w:rPr>
        <w:t>6.2</w:t>
      </w:r>
      <w:r>
        <w:rPr>
          <w:b/>
          <w:shadow w:val="0"/>
          <w:sz w:val="22"/>
          <w:szCs w:val="22"/>
          <w:lang w:val="sk-SK"/>
        </w:rPr>
        <w:tab/>
      </w:r>
      <w:r w:rsidRPr="006158B9">
        <w:rPr>
          <w:b/>
          <w:shadow w:val="0"/>
          <w:sz w:val="22"/>
          <w:szCs w:val="22"/>
          <w:lang w:val="sk-SK"/>
        </w:rPr>
        <w:t>Inkompatibility</w:t>
      </w:r>
    </w:p>
    <w:p w:rsidR="001D7541" w:rsidRDefault="001D7541" w:rsidP="00F92456">
      <w:pPr>
        <w:pStyle w:val="BodyText2"/>
        <w:jc w:val="left"/>
        <w:rPr>
          <w:b/>
          <w:shadow w:val="0"/>
          <w:sz w:val="22"/>
          <w:szCs w:val="22"/>
        </w:rPr>
      </w:pPr>
    </w:p>
    <w:p w:rsidR="001D7541" w:rsidRDefault="001D7541" w:rsidP="00F92456">
      <w:pPr>
        <w:pStyle w:val="BodyText2"/>
        <w:jc w:val="left"/>
        <w:rPr>
          <w:b/>
          <w:shadow w:val="0"/>
          <w:sz w:val="22"/>
          <w:szCs w:val="22"/>
        </w:rPr>
      </w:pPr>
      <w:r w:rsidRPr="00F92456">
        <w:rPr>
          <w:shadow w:val="0"/>
          <w:sz w:val="22"/>
          <w:szCs w:val="22"/>
        </w:rPr>
        <w:t>Neaplikovateľné.</w:t>
      </w:r>
      <w:r w:rsidRPr="00512D4D" w:rsidDel="001E222A">
        <w:rPr>
          <w:shadow w:val="0"/>
          <w:sz w:val="22"/>
          <w:szCs w:val="22"/>
        </w:rPr>
        <w:t xml:space="preserve"> </w:t>
      </w:r>
    </w:p>
    <w:p w:rsidR="001D7541" w:rsidRDefault="001D7541" w:rsidP="00F92456">
      <w:pPr>
        <w:ind w:right="-1"/>
        <w:rPr>
          <w:b/>
          <w:shadow w:val="0"/>
          <w:sz w:val="22"/>
          <w:szCs w:val="22"/>
          <w:lang w:val="sk-SK"/>
        </w:rPr>
      </w:pPr>
    </w:p>
    <w:p w:rsidR="001D7541" w:rsidRDefault="001D7541" w:rsidP="00F92456">
      <w:pPr>
        <w:ind w:right="-1"/>
        <w:rPr>
          <w:b/>
          <w:shadow w:val="0"/>
          <w:sz w:val="22"/>
          <w:szCs w:val="22"/>
          <w:lang w:val="sk-SK"/>
        </w:rPr>
      </w:pPr>
      <w:r w:rsidRPr="006158B9">
        <w:rPr>
          <w:b/>
          <w:shadow w:val="0"/>
          <w:sz w:val="22"/>
          <w:szCs w:val="22"/>
          <w:lang w:val="sk-SK"/>
        </w:rPr>
        <w:t>6.3</w:t>
      </w:r>
      <w:r>
        <w:rPr>
          <w:b/>
          <w:shadow w:val="0"/>
          <w:sz w:val="22"/>
          <w:szCs w:val="22"/>
          <w:lang w:val="sk-SK"/>
        </w:rPr>
        <w:tab/>
      </w:r>
      <w:r w:rsidRPr="006158B9">
        <w:rPr>
          <w:b/>
          <w:shadow w:val="0"/>
          <w:sz w:val="22"/>
          <w:szCs w:val="22"/>
          <w:lang w:val="sk-SK"/>
        </w:rPr>
        <w:t>Čas použiteľnosti</w:t>
      </w:r>
    </w:p>
    <w:p w:rsidR="001D7541" w:rsidRDefault="001D7541" w:rsidP="00F92456">
      <w:pPr>
        <w:ind w:right="-1"/>
        <w:rPr>
          <w:shadow w:val="0"/>
          <w:sz w:val="22"/>
          <w:szCs w:val="22"/>
          <w:lang w:val="sk-SK"/>
        </w:rPr>
      </w:pPr>
    </w:p>
    <w:p w:rsidR="001D7541" w:rsidRDefault="001D7541" w:rsidP="00F92456">
      <w:pPr>
        <w:pStyle w:val="BodyText2"/>
        <w:jc w:val="left"/>
        <w:rPr>
          <w:shadow w:val="0"/>
          <w:sz w:val="22"/>
          <w:szCs w:val="22"/>
        </w:rPr>
      </w:pPr>
      <w:r>
        <w:rPr>
          <w:shadow w:val="0"/>
          <w:sz w:val="22"/>
          <w:szCs w:val="22"/>
        </w:rPr>
        <w:t>3 roky</w:t>
      </w:r>
    </w:p>
    <w:p w:rsidR="001D7541" w:rsidRDefault="001D7541" w:rsidP="00F92456">
      <w:pPr>
        <w:pStyle w:val="BodyText2"/>
        <w:jc w:val="left"/>
        <w:rPr>
          <w:b/>
          <w:shadow w:val="0"/>
          <w:sz w:val="22"/>
          <w:szCs w:val="22"/>
        </w:rPr>
      </w:pPr>
    </w:p>
    <w:p w:rsidR="001D7541" w:rsidRDefault="001D7541" w:rsidP="00F92456">
      <w:pPr>
        <w:ind w:right="-1"/>
        <w:rPr>
          <w:b/>
          <w:shadow w:val="0"/>
          <w:sz w:val="22"/>
          <w:szCs w:val="22"/>
          <w:lang w:val="sk-SK"/>
        </w:rPr>
      </w:pPr>
      <w:r w:rsidRPr="00720BD5">
        <w:rPr>
          <w:b/>
          <w:shadow w:val="0"/>
          <w:sz w:val="22"/>
          <w:szCs w:val="22"/>
          <w:lang w:val="sk-SK"/>
        </w:rPr>
        <w:t>6.4</w:t>
      </w:r>
      <w:r>
        <w:rPr>
          <w:b/>
          <w:shadow w:val="0"/>
          <w:sz w:val="22"/>
          <w:szCs w:val="22"/>
          <w:lang w:val="sk-SK"/>
        </w:rPr>
        <w:tab/>
      </w:r>
      <w:r w:rsidRPr="00720BD5">
        <w:rPr>
          <w:b/>
          <w:shadow w:val="0"/>
          <w:sz w:val="22"/>
          <w:szCs w:val="22"/>
          <w:lang w:val="sk-SK"/>
        </w:rPr>
        <w:t>Špeciálne upozornenia na uchovávanie</w:t>
      </w:r>
    </w:p>
    <w:p w:rsidR="001D7541" w:rsidRDefault="001D7541" w:rsidP="00F92456">
      <w:pPr>
        <w:ind w:right="-1"/>
        <w:rPr>
          <w:shadow w:val="0"/>
          <w:sz w:val="22"/>
          <w:szCs w:val="22"/>
          <w:lang w:val="sk-SK"/>
        </w:rPr>
      </w:pPr>
    </w:p>
    <w:p w:rsidR="001D7541" w:rsidRPr="00090668" w:rsidRDefault="001D7541" w:rsidP="007D3F09">
      <w:pPr>
        <w:spacing w:after="120"/>
        <w:rPr>
          <w:shadow w:val="0"/>
          <w:noProof/>
          <w:sz w:val="22"/>
          <w:szCs w:val="22"/>
        </w:rPr>
      </w:pPr>
      <w:r w:rsidRPr="00F92456">
        <w:rPr>
          <w:shadow w:val="0"/>
          <w:sz w:val="22"/>
          <w:szCs w:val="22"/>
        </w:rPr>
        <w:t>Tento liek nevyžaduje žiadne zvláštne podmienky na uchovávanie</w:t>
      </w:r>
      <w:r w:rsidRPr="00F92456">
        <w:rPr>
          <w:rFonts w:ascii="Arial" w:hAnsi="Arial" w:cs="Arial"/>
          <w:shadow w:val="0"/>
        </w:rPr>
        <w:t xml:space="preserve">. </w:t>
      </w:r>
    </w:p>
    <w:p w:rsidR="001D7541" w:rsidRDefault="001D7541" w:rsidP="00F92456">
      <w:pPr>
        <w:pStyle w:val="BodyText2"/>
        <w:jc w:val="left"/>
        <w:rPr>
          <w:shadow w:val="0"/>
          <w:sz w:val="22"/>
          <w:szCs w:val="22"/>
        </w:rPr>
      </w:pPr>
    </w:p>
    <w:p w:rsidR="001D7541" w:rsidRDefault="001D7541" w:rsidP="00F92456">
      <w:pPr>
        <w:ind w:right="-1"/>
        <w:rPr>
          <w:b/>
          <w:shadow w:val="0"/>
          <w:sz w:val="22"/>
          <w:szCs w:val="22"/>
          <w:lang w:val="sk-SK"/>
        </w:rPr>
      </w:pPr>
      <w:r w:rsidRPr="00720BD5">
        <w:rPr>
          <w:b/>
          <w:shadow w:val="0"/>
          <w:sz w:val="22"/>
          <w:szCs w:val="22"/>
          <w:lang w:val="sk-SK"/>
        </w:rPr>
        <w:t>6.5</w:t>
      </w:r>
      <w:r>
        <w:rPr>
          <w:b/>
          <w:shadow w:val="0"/>
          <w:sz w:val="22"/>
          <w:szCs w:val="22"/>
          <w:lang w:val="sk-SK"/>
        </w:rPr>
        <w:tab/>
      </w:r>
      <w:r w:rsidRPr="00720BD5">
        <w:rPr>
          <w:b/>
          <w:shadow w:val="0"/>
          <w:sz w:val="22"/>
          <w:szCs w:val="22"/>
          <w:lang w:val="sk-SK"/>
        </w:rPr>
        <w:t>Druh obalu a obsah balenia</w:t>
      </w:r>
    </w:p>
    <w:p w:rsidR="001D7541" w:rsidRDefault="001D7541" w:rsidP="00F92456">
      <w:pPr>
        <w:ind w:right="-1"/>
        <w:rPr>
          <w:shadow w:val="0"/>
          <w:sz w:val="22"/>
          <w:szCs w:val="22"/>
          <w:lang w:val="sk-SK"/>
        </w:rPr>
      </w:pPr>
    </w:p>
    <w:p w:rsidR="001D7541" w:rsidRDefault="001D7541" w:rsidP="00F92456">
      <w:pPr>
        <w:ind w:right="-1"/>
        <w:rPr>
          <w:shadow w:val="0"/>
          <w:sz w:val="22"/>
          <w:szCs w:val="22"/>
          <w:lang w:val="sk-SK"/>
        </w:rPr>
      </w:pPr>
      <w:r w:rsidRPr="006158B9">
        <w:rPr>
          <w:shadow w:val="0"/>
          <w:sz w:val="22"/>
          <w:szCs w:val="22"/>
          <w:lang w:val="sk-SK"/>
        </w:rPr>
        <w:t xml:space="preserve">PVC/PVDC/Al-blister, papierová </w:t>
      </w:r>
      <w:r>
        <w:rPr>
          <w:shadow w:val="0"/>
          <w:sz w:val="22"/>
          <w:szCs w:val="22"/>
          <w:lang w:val="sk-SK"/>
        </w:rPr>
        <w:t>škatuľka.</w:t>
      </w:r>
    </w:p>
    <w:p w:rsidR="001D7541" w:rsidRDefault="001D7541" w:rsidP="00F92456">
      <w:pPr>
        <w:ind w:right="-1"/>
        <w:rPr>
          <w:shadow w:val="0"/>
          <w:sz w:val="22"/>
          <w:szCs w:val="22"/>
          <w:lang w:val="sk-SK"/>
        </w:rPr>
      </w:pPr>
    </w:p>
    <w:p w:rsidR="001D7541" w:rsidRDefault="001D7541" w:rsidP="00F92456">
      <w:pPr>
        <w:ind w:right="-1"/>
        <w:rPr>
          <w:shadow w:val="0"/>
          <w:sz w:val="22"/>
          <w:szCs w:val="22"/>
          <w:lang w:val="sk-SK"/>
        </w:rPr>
      </w:pPr>
      <w:r w:rsidRPr="00F92456">
        <w:rPr>
          <w:shadow w:val="0"/>
          <w:sz w:val="22"/>
          <w:szCs w:val="22"/>
          <w:lang w:val="sk-SK"/>
        </w:rPr>
        <w:t>Veľkosť balenia</w:t>
      </w:r>
      <w:r w:rsidRPr="00720BD5">
        <w:rPr>
          <w:shadow w:val="0"/>
          <w:sz w:val="22"/>
          <w:szCs w:val="22"/>
          <w:lang w:val="sk-SK"/>
        </w:rPr>
        <w:t>: 24, 48, 96 alebo 100 tabliet</w:t>
      </w:r>
    </w:p>
    <w:p w:rsidR="001D7541" w:rsidRDefault="001D7541" w:rsidP="00F92456">
      <w:pPr>
        <w:ind w:right="-1"/>
        <w:rPr>
          <w:shadow w:val="0"/>
          <w:sz w:val="22"/>
          <w:szCs w:val="22"/>
          <w:highlight w:val="yellow"/>
          <w:lang w:val="sk-SK"/>
        </w:rPr>
      </w:pPr>
    </w:p>
    <w:p w:rsidR="001D7541" w:rsidRDefault="001D7541" w:rsidP="00F92456">
      <w:pPr>
        <w:ind w:right="-1"/>
        <w:rPr>
          <w:shadow w:val="0"/>
          <w:sz w:val="22"/>
          <w:szCs w:val="22"/>
          <w:u w:val="single"/>
          <w:lang w:val="sk-SK"/>
        </w:rPr>
      </w:pPr>
      <w:r w:rsidRPr="00F92456">
        <w:rPr>
          <w:shadow w:val="0"/>
          <w:sz w:val="22"/>
          <w:szCs w:val="22"/>
        </w:rPr>
        <w:t>Na trh nemusia byť uvedené</w:t>
      </w:r>
      <w:r w:rsidRPr="00F92456">
        <w:rPr>
          <w:shadow w:val="0"/>
          <w:noProof/>
          <w:sz w:val="22"/>
          <w:szCs w:val="22"/>
        </w:rPr>
        <w:t xml:space="preserve"> </w:t>
      </w:r>
      <w:r w:rsidRPr="00F92456">
        <w:rPr>
          <w:shadow w:val="0"/>
          <w:sz w:val="22"/>
          <w:szCs w:val="22"/>
        </w:rPr>
        <w:t>všetky veľkosti balenia</w:t>
      </w:r>
      <w:r w:rsidRPr="00512D4D">
        <w:rPr>
          <w:shadow w:val="0"/>
          <w:sz w:val="22"/>
          <w:szCs w:val="22"/>
          <w:lang w:val="sk-SK"/>
        </w:rPr>
        <w:t>.</w:t>
      </w:r>
      <w:r w:rsidRPr="00512D4D" w:rsidDel="001E222A">
        <w:rPr>
          <w:shadow w:val="0"/>
          <w:sz w:val="22"/>
          <w:szCs w:val="22"/>
          <w:lang w:val="sk-SK"/>
        </w:rPr>
        <w:t xml:space="preserve"> </w:t>
      </w:r>
    </w:p>
    <w:p w:rsidR="001D7541" w:rsidRDefault="001D7541" w:rsidP="00F92456">
      <w:pPr>
        <w:ind w:right="-1"/>
        <w:rPr>
          <w:b/>
          <w:shadow w:val="0"/>
          <w:sz w:val="22"/>
          <w:szCs w:val="22"/>
          <w:lang w:val="sk-SK"/>
        </w:rPr>
      </w:pPr>
    </w:p>
    <w:p w:rsidR="001D7541" w:rsidRDefault="001D7541" w:rsidP="00F92456">
      <w:pPr>
        <w:ind w:right="-1"/>
        <w:rPr>
          <w:b/>
          <w:shadow w:val="0"/>
          <w:sz w:val="22"/>
          <w:szCs w:val="22"/>
          <w:lang w:val="sk-SK"/>
        </w:rPr>
      </w:pPr>
      <w:r w:rsidRPr="00720BD5">
        <w:rPr>
          <w:b/>
          <w:shadow w:val="0"/>
          <w:sz w:val="22"/>
          <w:szCs w:val="22"/>
          <w:lang w:val="sk-SK"/>
        </w:rPr>
        <w:t>6.6</w:t>
      </w:r>
      <w:r>
        <w:rPr>
          <w:b/>
          <w:shadow w:val="0"/>
          <w:sz w:val="22"/>
          <w:szCs w:val="22"/>
          <w:lang w:val="sk-SK"/>
        </w:rPr>
        <w:tab/>
      </w:r>
      <w:r w:rsidRPr="00720BD5">
        <w:rPr>
          <w:b/>
          <w:shadow w:val="0"/>
          <w:sz w:val="22"/>
          <w:szCs w:val="22"/>
          <w:lang w:val="sk-SK"/>
        </w:rPr>
        <w:t>Špeciálne opatrenia na likvidáciu a iné zaobchádzanie s liekom</w:t>
      </w:r>
    </w:p>
    <w:p w:rsidR="001D7541" w:rsidRDefault="001D7541" w:rsidP="00F92456">
      <w:pPr>
        <w:ind w:right="-1"/>
        <w:rPr>
          <w:shadow w:val="0"/>
          <w:sz w:val="22"/>
          <w:szCs w:val="22"/>
          <w:highlight w:val="lightGray"/>
          <w:lang w:val="sk-SK"/>
        </w:rPr>
      </w:pPr>
    </w:p>
    <w:p w:rsidR="001D7541" w:rsidRDefault="001D7541" w:rsidP="00F92456">
      <w:pPr>
        <w:ind w:right="-1"/>
        <w:rPr>
          <w:shadow w:val="0"/>
          <w:sz w:val="22"/>
          <w:szCs w:val="22"/>
          <w:lang w:val="sk-SK"/>
        </w:rPr>
      </w:pPr>
      <w:r w:rsidRPr="00720BD5">
        <w:rPr>
          <w:shadow w:val="0"/>
          <w:sz w:val="22"/>
          <w:szCs w:val="22"/>
        </w:rPr>
        <w:t>Žiadne zvláštne požadavky.</w:t>
      </w:r>
    </w:p>
    <w:p w:rsidR="001D7541" w:rsidRDefault="001D7541" w:rsidP="00F92456">
      <w:pPr>
        <w:ind w:right="-1"/>
        <w:rPr>
          <w:shadow w:val="0"/>
          <w:sz w:val="22"/>
          <w:szCs w:val="22"/>
          <w:lang w:val="sk-SK"/>
        </w:rPr>
      </w:pPr>
    </w:p>
    <w:p w:rsidR="001D7541" w:rsidRDefault="001D7541" w:rsidP="00F92456">
      <w:pPr>
        <w:ind w:right="-1"/>
        <w:rPr>
          <w:shadow w:val="0"/>
          <w:sz w:val="22"/>
          <w:szCs w:val="22"/>
          <w:lang w:val="sk-SK"/>
        </w:rPr>
      </w:pPr>
    </w:p>
    <w:p w:rsidR="001D7541" w:rsidRDefault="001D7541" w:rsidP="00F92456">
      <w:pPr>
        <w:ind w:right="-1"/>
        <w:rPr>
          <w:b/>
          <w:caps/>
          <w:shadow w:val="0"/>
          <w:sz w:val="22"/>
          <w:szCs w:val="22"/>
          <w:lang w:val="sk-SK"/>
        </w:rPr>
      </w:pPr>
      <w:r w:rsidRPr="006158B9">
        <w:rPr>
          <w:b/>
          <w:caps/>
          <w:shadow w:val="0"/>
          <w:sz w:val="22"/>
          <w:szCs w:val="22"/>
          <w:lang w:val="sk-SK"/>
        </w:rPr>
        <w:t xml:space="preserve">7. </w:t>
      </w:r>
      <w:r w:rsidRPr="006158B9">
        <w:rPr>
          <w:b/>
          <w:caps/>
          <w:shadow w:val="0"/>
          <w:sz w:val="22"/>
          <w:szCs w:val="22"/>
          <w:lang w:val="sk-SK"/>
        </w:rPr>
        <w:tab/>
        <w:t>Držiteľ rozhodnutia o registrácii</w:t>
      </w:r>
    </w:p>
    <w:p w:rsidR="001D7541" w:rsidRDefault="001D7541" w:rsidP="00F92456">
      <w:pPr>
        <w:ind w:right="-1"/>
        <w:rPr>
          <w:shadow w:val="0"/>
          <w:sz w:val="22"/>
          <w:szCs w:val="22"/>
          <w:lang w:val="sk-SK"/>
        </w:rPr>
      </w:pPr>
    </w:p>
    <w:p w:rsidR="001D7541" w:rsidRDefault="001D7541" w:rsidP="00F92456">
      <w:pPr>
        <w:pStyle w:val="BodyText2"/>
        <w:jc w:val="left"/>
        <w:rPr>
          <w:shadow w:val="0"/>
          <w:sz w:val="22"/>
          <w:szCs w:val="22"/>
        </w:rPr>
      </w:pPr>
      <w:r w:rsidRPr="006158B9">
        <w:rPr>
          <w:shadow w:val="0"/>
          <w:sz w:val="22"/>
          <w:szCs w:val="22"/>
        </w:rPr>
        <w:t>Hennig Arzneimittel GmbH &amp; Co. KG</w:t>
      </w:r>
    </w:p>
    <w:p w:rsidR="001D7541" w:rsidRDefault="001D7541" w:rsidP="00F92456">
      <w:pPr>
        <w:pStyle w:val="BodyText2"/>
        <w:jc w:val="left"/>
        <w:rPr>
          <w:shadow w:val="0"/>
          <w:sz w:val="22"/>
          <w:szCs w:val="22"/>
        </w:rPr>
      </w:pPr>
      <w:r w:rsidRPr="006158B9">
        <w:rPr>
          <w:shadow w:val="0"/>
          <w:sz w:val="22"/>
          <w:szCs w:val="22"/>
        </w:rPr>
        <w:t>Liebigstrasse 1-2</w:t>
      </w:r>
    </w:p>
    <w:p w:rsidR="001D7541" w:rsidRDefault="001D7541" w:rsidP="00F92456">
      <w:pPr>
        <w:pStyle w:val="BodyText2"/>
        <w:jc w:val="left"/>
        <w:rPr>
          <w:shadow w:val="0"/>
          <w:sz w:val="22"/>
          <w:szCs w:val="22"/>
        </w:rPr>
      </w:pPr>
      <w:r w:rsidRPr="006158B9">
        <w:rPr>
          <w:shadow w:val="0"/>
          <w:sz w:val="22"/>
          <w:szCs w:val="22"/>
        </w:rPr>
        <w:t>65439 Flörsheim am Main</w:t>
      </w:r>
    </w:p>
    <w:p w:rsidR="001D7541" w:rsidRDefault="001D7541" w:rsidP="00F92456">
      <w:pPr>
        <w:pStyle w:val="BodyText2"/>
        <w:jc w:val="left"/>
        <w:rPr>
          <w:shadow w:val="0"/>
          <w:sz w:val="22"/>
          <w:szCs w:val="22"/>
        </w:rPr>
      </w:pPr>
      <w:r w:rsidRPr="006158B9">
        <w:rPr>
          <w:shadow w:val="0"/>
          <w:sz w:val="22"/>
          <w:szCs w:val="22"/>
        </w:rPr>
        <w:t>Nemecko</w:t>
      </w:r>
    </w:p>
    <w:p w:rsidR="001D7541" w:rsidRDefault="001D7541" w:rsidP="00F92456">
      <w:pPr>
        <w:ind w:right="-1"/>
        <w:rPr>
          <w:shadow w:val="0"/>
          <w:sz w:val="22"/>
          <w:szCs w:val="22"/>
          <w:lang w:val="sk-SK"/>
        </w:rPr>
      </w:pPr>
    </w:p>
    <w:p w:rsidR="001D7541" w:rsidRDefault="001D7541" w:rsidP="00F92456">
      <w:pPr>
        <w:ind w:right="-1"/>
        <w:rPr>
          <w:shadow w:val="0"/>
          <w:sz w:val="22"/>
          <w:szCs w:val="22"/>
          <w:lang w:val="sk-SK"/>
        </w:rPr>
      </w:pPr>
    </w:p>
    <w:p w:rsidR="001D7541" w:rsidRDefault="001D7541" w:rsidP="00F92456">
      <w:pPr>
        <w:ind w:right="-1"/>
        <w:rPr>
          <w:caps/>
          <w:shadow w:val="0"/>
          <w:sz w:val="22"/>
          <w:szCs w:val="22"/>
          <w:lang w:val="sk-SK"/>
        </w:rPr>
      </w:pPr>
      <w:r w:rsidRPr="006158B9">
        <w:rPr>
          <w:b/>
          <w:caps/>
          <w:shadow w:val="0"/>
          <w:sz w:val="22"/>
          <w:szCs w:val="22"/>
          <w:lang w:val="sk-SK"/>
        </w:rPr>
        <w:t xml:space="preserve">8. </w:t>
      </w:r>
      <w:r>
        <w:rPr>
          <w:b/>
          <w:caps/>
          <w:shadow w:val="0"/>
          <w:sz w:val="22"/>
          <w:szCs w:val="22"/>
          <w:lang w:val="sk-SK"/>
        </w:rPr>
        <w:tab/>
      </w:r>
      <w:r w:rsidRPr="006158B9">
        <w:rPr>
          <w:b/>
          <w:caps/>
          <w:shadow w:val="0"/>
          <w:sz w:val="22"/>
          <w:szCs w:val="22"/>
          <w:lang w:val="sk-SK"/>
        </w:rPr>
        <w:t>Registračné číslo</w:t>
      </w:r>
    </w:p>
    <w:p w:rsidR="001D7541" w:rsidRDefault="001D7541" w:rsidP="00F92456">
      <w:pPr>
        <w:ind w:right="-1"/>
        <w:rPr>
          <w:shadow w:val="0"/>
          <w:sz w:val="22"/>
          <w:szCs w:val="22"/>
          <w:lang w:val="sk-SK"/>
        </w:rPr>
      </w:pPr>
    </w:p>
    <w:p w:rsidR="001D7541" w:rsidRDefault="001D7541" w:rsidP="00F92456">
      <w:pPr>
        <w:ind w:right="-1"/>
        <w:rPr>
          <w:shadow w:val="0"/>
          <w:sz w:val="22"/>
          <w:szCs w:val="22"/>
          <w:lang w:val="sk-SK"/>
        </w:rPr>
      </w:pPr>
      <w:r w:rsidRPr="006158B9">
        <w:rPr>
          <w:shadow w:val="0"/>
          <w:snapToGrid w:val="0"/>
          <w:color w:val="000000"/>
          <w:sz w:val="22"/>
          <w:szCs w:val="22"/>
          <w:lang w:val="sk-SK" w:eastAsia="cs-CZ"/>
        </w:rPr>
        <w:t>20/0066/98-S</w:t>
      </w:r>
    </w:p>
    <w:p w:rsidR="001D7541" w:rsidRDefault="001D7541" w:rsidP="00F92456">
      <w:pPr>
        <w:ind w:right="-1"/>
        <w:rPr>
          <w:b/>
          <w:shadow w:val="0"/>
          <w:sz w:val="22"/>
          <w:szCs w:val="22"/>
          <w:u w:val="single"/>
          <w:lang w:val="sk-SK"/>
        </w:rPr>
      </w:pPr>
    </w:p>
    <w:p w:rsidR="001D7541" w:rsidRDefault="001D7541" w:rsidP="00F92456">
      <w:pPr>
        <w:ind w:right="-1"/>
        <w:rPr>
          <w:b/>
          <w:shadow w:val="0"/>
          <w:sz w:val="22"/>
          <w:szCs w:val="22"/>
          <w:u w:val="single"/>
          <w:lang w:val="sk-SK"/>
        </w:rPr>
      </w:pPr>
    </w:p>
    <w:p w:rsidR="001D7541" w:rsidRDefault="001D7541" w:rsidP="00F92456">
      <w:pPr>
        <w:ind w:right="-1"/>
        <w:rPr>
          <w:b/>
          <w:caps/>
          <w:shadow w:val="0"/>
          <w:sz w:val="22"/>
          <w:szCs w:val="22"/>
          <w:lang w:val="sk-SK"/>
        </w:rPr>
      </w:pPr>
      <w:r w:rsidRPr="00720BD5">
        <w:rPr>
          <w:b/>
          <w:caps/>
          <w:shadow w:val="0"/>
          <w:sz w:val="22"/>
          <w:szCs w:val="22"/>
          <w:lang w:val="sk-SK"/>
        </w:rPr>
        <w:t xml:space="preserve">9. </w:t>
      </w:r>
      <w:r w:rsidRPr="00720BD5">
        <w:rPr>
          <w:b/>
          <w:caps/>
          <w:shadow w:val="0"/>
          <w:sz w:val="22"/>
          <w:szCs w:val="22"/>
          <w:lang w:val="sk-SK"/>
        </w:rPr>
        <w:tab/>
        <w:t>Dátum prvej registrácie/ predĺženia registrácie</w:t>
      </w:r>
    </w:p>
    <w:p w:rsidR="001D7541" w:rsidRDefault="001D7541" w:rsidP="00F92456">
      <w:pPr>
        <w:ind w:right="-1"/>
        <w:rPr>
          <w:shadow w:val="0"/>
          <w:sz w:val="22"/>
          <w:szCs w:val="22"/>
          <w:lang w:val="sk-SK"/>
        </w:rPr>
      </w:pPr>
    </w:p>
    <w:p w:rsidR="001D7541" w:rsidRPr="00090668" w:rsidRDefault="001D7541" w:rsidP="007D3F09">
      <w:pPr>
        <w:rPr>
          <w:shadow w:val="0"/>
          <w:noProof/>
          <w:sz w:val="22"/>
          <w:szCs w:val="22"/>
        </w:rPr>
      </w:pPr>
      <w:r w:rsidRPr="00F92456">
        <w:rPr>
          <w:shadow w:val="0"/>
          <w:noProof/>
          <w:sz w:val="22"/>
          <w:szCs w:val="22"/>
        </w:rPr>
        <w:t>Dátum prvej registrácie: 05. február 1998</w:t>
      </w:r>
    </w:p>
    <w:p w:rsidR="001D7541" w:rsidRPr="00090668" w:rsidRDefault="001D7541" w:rsidP="007D3F09">
      <w:pPr>
        <w:rPr>
          <w:shadow w:val="0"/>
          <w:sz w:val="22"/>
          <w:szCs w:val="22"/>
        </w:rPr>
      </w:pPr>
      <w:r w:rsidRPr="00F92456">
        <w:rPr>
          <w:shadow w:val="0"/>
          <w:noProof/>
          <w:sz w:val="22"/>
          <w:szCs w:val="22"/>
        </w:rPr>
        <w:t>Dátum posledného predĺženia registrácie: 09. marec 2006</w:t>
      </w:r>
    </w:p>
    <w:p w:rsidR="001D7541" w:rsidRDefault="001D7541" w:rsidP="00F92456">
      <w:pPr>
        <w:ind w:right="-1"/>
        <w:rPr>
          <w:shadow w:val="0"/>
          <w:sz w:val="22"/>
          <w:szCs w:val="22"/>
          <w:lang w:val="sk-SK"/>
        </w:rPr>
      </w:pPr>
    </w:p>
    <w:p w:rsidR="001D7541" w:rsidRDefault="001D7541" w:rsidP="00F92456">
      <w:pPr>
        <w:ind w:right="-1"/>
        <w:rPr>
          <w:shadow w:val="0"/>
          <w:sz w:val="22"/>
          <w:szCs w:val="22"/>
          <w:lang w:val="sk-SK"/>
        </w:rPr>
      </w:pPr>
    </w:p>
    <w:p w:rsidR="001D7541" w:rsidRDefault="001D7541" w:rsidP="00F92456">
      <w:pPr>
        <w:ind w:right="-1"/>
        <w:rPr>
          <w:caps/>
          <w:shadow w:val="0"/>
          <w:sz w:val="22"/>
          <w:szCs w:val="22"/>
          <w:lang w:val="sk-SK"/>
        </w:rPr>
      </w:pPr>
      <w:r w:rsidRPr="006158B9">
        <w:rPr>
          <w:b/>
          <w:caps/>
          <w:shadow w:val="0"/>
          <w:sz w:val="22"/>
          <w:szCs w:val="22"/>
          <w:lang w:val="sk-SK"/>
        </w:rPr>
        <w:t>10.</w:t>
      </w:r>
      <w:r>
        <w:rPr>
          <w:b/>
          <w:caps/>
          <w:shadow w:val="0"/>
          <w:sz w:val="22"/>
          <w:szCs w:val="22"/>
          <w:lang w:val="sk-SK"/>
        </w:rPr>
        <w:tab/>
      </w:r>
      <w:r w:rsidRPr="006158B9">
        <w:rPr>
          <w:b/>
          <w:caps/>
          <w:shadow w:val="0"/>
          <w:sz w:val="22"/>
          <w:szCs w:val="22"/>
          <w:lang w:val="sk-SK"/>
        </w:rPr>
        <w:t>Dátum revízie textu</w:t>
      </w:r>
    </w:p>
    <w:p w:rsidR="001D7541" w:rsidRDefault="001D7541" w:rsidP="00F92456">
      <w:pPr>
        <w:ind w:right="-1"/>
        <w:rPr>
          <w:shadow w:val="0"/>
          <w:sz w:val="22"/>
          <w:szCs w:val="22"/>
          <w:lang w:val="sk-SK"/>
        </w:rPr>
      </w:pPr>
    </w:p>
    <w:p w:rsidR="001D7541" w:rsidRDefault="001D7541" w:rsidP="00F92456">
      <w:pPr>
        <w:ind w:right="-1"/>
        <w:rPr>
          <w:shadow w:val="0"/>
          <w:sz w:val="22"/>
          <w:szCs w:val="22"/>
          <w:lang w:val="sk-SK"/>
        </w:rPr>
      </w:pPr>
      <w:r>
        <w:rPr>
          <w:shadow w:val="0"/>
          <w:sz w:val="22"/>
          <w:szCs w:val="22"/>
          <w:lang w:val="sk-SK"/>
        </w:rPr>
        <w:t>07/2015</w:t>
      </w:r>
    </w:p>
    <w:sectPr w:rsidR="001D7541" w:rsidSect="000F47ED">
      <w:footerReference w:type="default" r:id="rId8"/>
      <w:headerReference w:type="first" r:id="rId9"/>
      <w:footerReference w:type="first" r:id="rId10"/>
      <w:pgSz w:w="11907" w:h="16840" w:code="9"/>
      <w:pgMar w:top="1418" w:right="1418" w:bottom="1418" w:left="1418"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41" w:rsidRDefault="001D7541">
      <w:r>
        <w:separator/>
      </w:r>
    </w:p>
  </w:endnote>
  <w:endnote w:type="continuationSeparator" w:id="0">
    <w:p w:rsidR="001D7541" w:rsidRDefault="001D7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41" w:rsidRPr="005F340F" w:rsidRDefault="001D7541">
    <w:pPr>
      <w:pStyle w:val="Footer"/>
      <w:rPr>
        <w:sz w:val="18"/>
        <w:szCs w:val="18"/>
      </w:rPr>
    </w:pPr>
    <w:r>
      <w:rPr>
        <w:rStyle w:val="PageNumber"/>
      </w:rPr>
      <w:tab/>
    </w:r>
    <w:r w:rsidRPr="005F340F">
      <w:rPr>
        <w:rStyle w:val="PageNumber"/>
        <w:sz w:val="18"/>
        <w:szCs w:val="18"/>
      </w:rPr>
      <w:fldChar w:fldCharType="begin"/>
    </w:r>
    <w:r w:rsidRPr="005F340F">
      <w:rPr>
        <w:rStyle w:val="PageNumber"/>
        <w:sz w:val="18"/>
        <w:szCs w:val="18"/>
      </w:rPr>
      <w:instrText xml:space="preserve"> PAGE </w:instrText>
    </w:r>
    <w:r w:rsidRPr="005F340F">
      <w:rPr>
        <w:rStyle w:val="PageNumber"/>
        <w:sz w:val="18"/>
        <w:szCs w:val="18"/>
      </w:rPr>
      <w:fldChar w:fldCharType="separate"/>
    </w:r>
    <w:r>
      <w:rPr>
        <w:rStyle w:val="PageNumber"/>
        <w:noProof/>
        <w:sz w:val="18"/>
        <w:szCs w:val="18"/>
      </w:rPr>
      <w:t>6</w:t>
    </w:r>
    <w:r w:rsidRPr="005F340F">
      <w:rPr>
        <w:rStyle w:val="PageNumbe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41" w:rsidRPr="005F340F" w:rsidRDefault="001D7541" w:rsidP="000F47ED">
    <w:pPr>
      <w:pStyle w:val="Footer"/>
      <w:jc w:val="center"/>
      <w:rPr>
        <w:sz w:val="18"/>
        <w:szCs w:val="18"/>
      </w:rPr>
    </w:pPr>
    <w:r w:rsidRPr="005F340F">
      <w:rPr>
        <w:sz w:val="18"/>
        <w:szCs w:val="18"/>
      </w:rPr>
      <w:fldChar w:fldCharType="begin"/>
    </w:r>
    <w:r w:rsidRPr="005F340F">
      <w:rPr>
        <w:sz w:val="18"/>
        <w:szCs w:val="18"/>
      </w:rPr>
      <w:instrText xml:space="preserve"> PAGE   </w:instrText>
    </w:r>
    <w:r>
      <w:rPr>
        <w:sz w:val="18"/>
        <w:szCs w:val="18"/>
      </w:rPr>
      <w:instrText>\</w:instrText>
    </w:r>
    <w:r w:rsidRPr="005F340F">
      <w:rPr>
        <w:sz w:val="18"/>
        <w:szCs w:val="18"/>
      </w:rPr>
      <w:instrText xml:space="preserve">* MERGEFORMAT </w:instrText>
    </w:r>
    <w:r w:rsidRPr="005F340F">
      <w:rPr>
        <w:sz w:val="18"/>
        <w:szCs w:val="18"/>
      </w:rPr>
      <w:fldChar w:fldCharType="separate"/>
    </w:r>
    <w:r>
      <w:rPr>
        <w:noProof/>
        <w:sz w:val="18"/>
        <w:szCs w:val="18"/>
      </w:rPr>
      <w:t>1</w:t>
    </w:r>
    <w:r w:rsidRPr="005F340F">
      <w:rPr>
        <w:sz w:val="18"/>
        <w:szCs w:val="18"/>
      </w:rPr>
      <w:fldChar w:fldCharType="end"/>
    </w:r>
  </w:p>
  <w:p w:rsidR="001D7541" w:rsidRDefault="001D7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41" w:rsidRDefault="001D7541">
      <w:r>
        <w:separator/>
      </w:r>
    </w:p>
  </w:footnote>
  <w:footnote w:type="continuationSeparator" w:id="0">
    <w:p w:rsidR="001D7541" w:rsidRDefault="001D7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41" w:rsidRDefault="001D7541" w:rsidP="002835A8">
    <w:pPr>
      <w:pStyle w:val="Header"/>
      <w:rPr>
        <w:shadow w:val="0"/>
        <w:sz w:val="18"/>
        <w:szCs w:val="18"/>
        <w:lang w:val="sk-SK"/>
      </w:rPr>
    </w:pPr>
    <w:r w:rsidRPr="00D658F8">
      <w:rPr>
        <w:shadow w:val="0"/>
        <w:sz w:val="18"/>
        <w:szCs w:val="18"/>
        <w:lang w:val="sk-SK"/>
      </w:rPr>
      <w:t xml:space="preserve">Príloha č. </w:t>
    </w:r>
    <w:r>
      <w:rPr>
        <w:shadow w:val="0"/>
        <w:sz w:val="18"/>
        <w:szCs w:val="18"/>
        <w:lang w:val="sk-SK"/>
      </w:rPr>
      <w:t>2</w:t>
    </w:r>
    <w:r w:rsidRPr="00D658F8">
      <w:rPr>
        <w:shadow w:val="0"/>
        <w:sz w:val="18"/>
        <w:szCs w:val="18"/>
        <w:lang w:val="sk-SK"/>
      </w:rPr>
      <w:t xml:space="preserve"> k notifikácii o zmene, ev. č.</w:t>
    </w:r>
    <w:r>
      <w:rPr>
        <w:shadow w:val="0"/>
        <w:sz w:val="18"/>
        <w:szCs w:val="18"/>
        <w:lang w:val="sk-SK"/>
      </w:rPr>
      <w:t>:</w:t>
    </w:r>
    <w:r w:rsidRPr="00D658F8">
      <w:rPr>
        <w:shadow w:val="0"/>
        <w:sz w:val="18"/>
        <w:szCs w:val="18"/>
        <w:lang w:val="sk-SK"/>
      </w:rPr>
      <w:t xml:space="preserve"> </w:t>
    </w:r>
    <w:r>
      <w:rPr>
        <w:shadow w:val="0"/>
        <w:sz w:val="18"/>
        <w:szCs w:val="18"/>
        <w:lang w:val="sk-SK"/>
      </w:rPr>
      <w:t>2014/06657-Z1B</w:t>
    </w:r>
  </w:p>
  <w:p w:rsidR="001D7541" w:rsidRDefault="001D75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D0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nsid w:val="032E2C0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03CC4A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0E9B08A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F3473FD"/>
    <w:multiLevelType w:val="singleLevel"/>
    <w:tmpl w:val="F13895B8"/>
    <w:lvl w:ilvl="0">
      <w:start w:val="1070"/>
      <w:numFmt w:val="bullet"/>
      <w:lvlText w:val="-"/>
      <w:lvlJc w:val="left"/>
      <w:pPr>
        <w:tabs>
          <w:tab w:val="num" w:pos="360"/>
        </w:tabs>
        <w:ind w:left="360" w:hanging="360"/>
      </w:pPr>
      <w:rPr>
        <w:rFonts w:hint="default"/>
      </w:rPr>
    </w:lvl>
  </w:abstractNum>
  <w:abstractNum w:abstractNumId="5">
    <w:nsid w:val="11F81DAB"/>
    <w:multiLevelType w:val="singleLevel"/>
    <w:tmpl w:val="A288D9C0"/>
    <w:lvl w:ilvl="0">
      <w:start w:val="1070"/>
      <w:numFmt w:val="bullet"/>
      <w:lvlText w:val="-"/>
      <w:lvlJc w:val="left"/>
      <w:pPr>
        <w:tabs>
          <w:tab w:val="num" w:pos="360"/>
        </w:tabs>
        <w:ind w:left="360" w:hanging="360"/>
      </w:pPr>
      <w:rPr>
        <w:rFonts w:hint="default"/>
      </w:rPr>
    </w:lvl>
  </w:abstractNum>
  <w:abstractNum w:abstractNumId="6">
    <w:nsid w:val="1403634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15B21134"/>
    <w:multiLevelType w:val="singleLevel"/>
    <w:tmpl w:val="613C9448"/>
    <w:lvl w:ilvl="0">
      <w:start w:val="823"/>
      <w:numFmt w:val="bullet"/>
      <w:lvlText w:val="-"/>
      <w:lvlJc w:val="left"/>
      <w:pPr>
        <w:tabs>
          <w:tab w:val="num" w:pos="510"/>
        </w:tabs>
        <w:ind w:left="510" w:hanging="510"/>
      </w:pPr>
      <w:rPr>
        <w:rFonts w:hint="default"/>
      </w:rPr>
    </w:lvl>
  </w:abstractNum>
  <w:abstractNum w:abstractNumId="8">
    <w:nsid w:val="1BC9218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1C6336F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1C650C3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1C8845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1F04090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545042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27C15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2BB615D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2C630A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320943E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4035695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444B3E3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nsid w:val="4ABA14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57B066F"/>
    <w:multiLevelType w:val="hybridMultilevel"/>
    <w:tmpl w:val="A86CC666"/>
    <w:lvl w:ilvl="0" w:tplc="06EE2C58">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565D02BE"/>
    <w:multiLevelType w:val="singleLevel"/>
    <w:tmpl w:val="C4E657EA"/>
    <w:lvl w:ilvl="0">
      <w:start w:val="1070"/>
      <w:numFmt w:val="bullet"/>
      <w:lvlText w:val="-"/>
      <w:lvlJc w:val="left"/>
      <w:pPr>
        <w:tabs>
          <w:tab w:val="num" w:pos="360"/>
        </w:tabs>
        <w:ind w:left="360" w:hanging="360"/>
      </w:pPr>
      <w:rPr>
        <w:rFonts w:hint="default"/>
      </w:rPr>
    </w:lvl>
  </w:abstractNum>
  <w:abstractNum w:abstractNumId="23">
    <w:nsid w:val="56D021D9"/>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4">
    <w:nsid w:val="651774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679912E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6">
    <w:nsid w:val="6B58593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nsid w:val="6F526AB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nsid w:val="6F8A5545"/>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2"/>
  </w:num>
  <w:num w:numId="4">
    <w:abstractNumId w:val="15"/>
  </w:num>
  <w:num w:numId="5">
    <w:abstractNumId w:val="19"/>
  </w:num>
  <w:num w:numId="6">
    <w:abstractNumId w:val="18"/>
  </w:num>
  <w:num w:numId="7">
    <w:abstractNumId w:val="24"/>
  </w:num>
  <w:num w:numId="8">
    <w:abstractNumId w:val="11"/>
  </w:num>
  <w:num w:numId="9">
    <w:abstractNumId w:val="6"/>
  </w:num>
  <w:num w:numId="10">
    <w:abstractNumId w:val="2"/>
  </w:num>
  <w:num w:numId="11">
    <w:abstractNumId w:val="14"/>
  </w:num>
  <w:num w:numId="12">
    <w:abstractNumId w:val="27"/>
  </w:num>
  <w:num w:numId="13">
    <w:abstractNumId w:val="3"/>
  </w:num>
  <w:num w:numId="14">
    <w:abstractNumId w:val="9"/>
  </w:num>
  <w:num w:numId="15">
    <w:abstractNumId w:val="10"/>
  </w:num>
  <w:num w:numId="16">
    <w:abstractNumId w:val="1"/>
  </w:num>
  <w:num w:numId="17">
    <w:abstractNumId w:val="16"/>
  </w:num>
  <w:num w:numId="18">
    <w:abstractNumId w:val="28"/>
  </w:num>
  <w:num w:numId="19">
    <w:abstractNumId w:val="7"/>
  </w:num>
  <w:num w:numId="20">
    <w:abstractNumId w:val="23"/>
  </w:num>
  <w:num w:numId="21">
    <w:abstractNumId w:val="22"/>
  </w:num>
  <w:num w:numId="22">
    <w:abstractNumId w:val="4"/>
  </w:num>
  <w:num w:numId="23">
    <w:abstractNumId w:val="5"/>
  </w:num>
  <w:num w:numId="24">
    <w:abstractNumId w:val="25"/>
  </w:num>
  <w:num w:numId="25">
    <w:abstractNumId w:val="20"/>
  </w:num>
  <w:num w:numId="26">
    <w:abstractNumId w:val="17"/>
  </w:num>
  <w:num w:numId="27">
    <w:abstractNumId w:val="8"/>
  </w:num>
  <w:num w:numId="28">
    <w:abstractNumId w:val="2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BCF"/>
    <w:rsid w:val="00063B0B"/>
    <w:rsid w:val="00067556"/>
    <w:rsid w:val="000676AE"/>
    <w:rsid w:val="00090668"/>
    <w:rsid w:val="000C0D16"/>
    <w:rsid w:val="000D4406"/>
    <w:rsid w:val="000F47ED"/>
    <w:rsid w:val="000F4B17"/>
    <w:rsid w:val="00111076"/>
    <w:rsid w:val="00130BF6"/>
    <w:rsid w:val="00137768"/>
    <w:rsid w:val="001410D0"/>
    <w:rsid w:val="00152BCF"/>
    <w:rsid w:val="001736B2"/>
    <w:rsid w:val="00196F11"/>
    <w:rsid w:val="001A225E"/>
    <w:rsid w:val="001D7541"/>
    <w:rsid w:val="001E222A"/>
    <w:rsid w:val="001E23CD"/>
    <w:rsid w:val="0020297A"/>
    <w:rsid w:val="00225B28"/>
    <w:rsid w:val="00225B59"/>
    <w:rsid w:val="00256120"/>
    <w:rsid w:val="00261877"/>
    <w:rsid w:val="0026266C"/>
    <w:rsid w:val="002835A8"/>
    <w:rsid w:val="002D26F6"/>
    <w:rsid w:val="002F773D"/>
    <w:rsid w:val="003021DE"/>
    <w:rsid w:val="00314776"/>
    <w:rsid w:val="00316640"/>
    <w:rsid w:val="00330A81"/>
    <w:rsid w:val="00372D24"/>
    <w:rsid w:val="00384A4A"/>
    <w:rsid w:val="00385D08"/>
    <w:rsid w:val="00386B1C"/>
    <w:rsid w:val="003C497E"/>
    <w:rsid w:val="003C5557"/>
    <w:rsid w:val="00403800"/>
    <w:rsid w:val="004417E5"/>
    <w:rsid w:val="0045155F"/>
    <w:rsid w:val="00453ACA"/>
    <w:rsid w:val="00454979"/>
    <w:rsid w:val="00480931"/>
    <w:rsid w:val="00480A1B"/>
    <w:rsid w:val="00483225"/>
    <w:rsid w:val="00491DE8"/>
    <w:rsid w:val="004C10EA"/>
    <w:rsid w:val="004C4CD1"/>
    <w:rsid w:val="004E2597"/>
    <w:rsid w:val="004E7CB9"/>
    <w:rsid w:val="004F2B39"/>
    <w:rsid w:val="00505CF4"/>
    <w:rsid w:val="00512D4D"/>
    <w:rsid w:val="005136B3"/>
    <w:rsid w:val="005157D2"/>
    <w:rsid w:val="005324D5"/>
    <w:rsid w:val="00540055"/>
    <w:rsid w:val="00561657"/>
    <w:rsid w:val="005807C5"/>
    <w:rsid w:val="00593F12"/>
    <w:rsid w:val="005A21CE"/>
    <w:rsid w:val="005C3B2D"/>
    <w:rsid w:val="005C625B"/>
    <w:rsid w:val="005E40D4"/>
    <w:rsid w:val="005F340F"/>
    <w:rsid w:val="00601640"/>
    <w:rsid w:val="006158B9"/>
    <w:rsid w:val="00621504"/>
    <w:rsid w:val="00622C19"/>
    <w:rsid w:val="00623945"/>
    <w:rsid w:val="00667392"/>
    <w:rsid w:val="006B3B06"/>
    <w:rsid w:val="006E1C30"/>
    <w:rsid w:val="006E5222"/>
    <w:rsid w:val="006F23D9"/>
    <w:rsid w:val="007044E1"/>
    <w:rsid w:val="00720BD5"/>
    <w:rsid w:val="007379D0"/>
    <w:rsid w:val="0074302E"/>
    <w:rsid w:val="0075113A"/>
    <w:rsid w:val="00765FD9"/>
    <w:rsid w:val="00783B5A"/>
    <w:rsid w:val="007A3BC7"/>
    <w:rsid w:val="007C7860"/>
    <w:rsid w:val="007D0397"/>
    <w:rsid w:val="007D3F09"/>
    <w:rsid w:val="007E7221"/>
    <w:rsid w:val="007F147F"/>
    <w:rsid w:val="007F4FF8"/>
    <w:rsid w:val="00806EE7"/>
    <w:rsid w:val="00811EE2"/>
    <w:rsid w:val="008145D8"/>
    <w:rsid w:val="008733BC"/>
    <w:rsid w:val="0087539A"/>
    <w:rsid w:val="00876759"/>
    <w:rsid w:val="00887DA8"/>
    <w:rsid w:val="008F4E55"/>
    <w:rsid w:val="00913659"/>
    <w:rsid w:val="00921BC4"/>
    <w:rsid w:val="00934E02"/>
    <w:rsid w:val="0094038D"/>
    <w:rsid w:val="00993142"/>
    <w:rsid w:val="00995B2D"/>
    <w:rsid w:val="009B5F1B"/>
    <w:rsid w:val="009D57E6"/>
    <w:rsid w:val="009D5B81"/>
    <w:rsid w:val="00A161DE"/>
    <w:rsid w:val="00A26E3A"/>
    <w:rsid w:val="00A27A87"/>
    <w:rsid w:val="00A3131B"/>
    <w:rsid w:val="00A318E2"/>
    <w:rsid w:val="00A378A9"/>
    <w:rsid w:val="00A40046"/>
    <w:rsid w:val="00A7132E"/>
    <w:rsid w:val="00A92DB6"/>
    <w:rsid w:val="00AC1ADC"/>
    <w:rsid w:val="00AD238F"/>
    <w:rsid w:val="00AE0C5C"/>
    <w:rsid w:val="00AF5ED4"/>
    <w:rsid w:val="00B13F68"/>
    <w:rsid w:val="00B16A38"/>
    <w:rsid w:val="00B26683"/>
    <w:rsid w:val="00B408AA"/>
    <w:rsid w:val="00B452D7"/>
    <w:rsid w:val="00B63FAA"/>
    <w:rsid w:val="00B70D0A"/>
    <w:rsid w:val="00B815CB"/>
    <w:rsid w:val="00BA55F6"/>
    <w:rsid w:val="00C1653F"/>
    <w:rsid w:val="00C22BC8"/>
    <w:rsid w:val="00C55324"/>
    <w:rsid w:val="00C7525C"/>
    <w:rsid w:val="00C808F1"/>
    <w:rsid w:val="00CA4F7A"/>
    <w:rsid w:val="00CA67EC"/>
    <w:rsid w:val="00D216D4"/>
    <w:rsid w:val="00D658F8"/>
    <w:rsid w:val="00D67149"/>
    <w:rsid w:val="00D73B2C"/>
    <w:rsid w:val="00D9722F"/>
    <w:rsid w:val="00DC2BA3"/>
    <w:rsid w:val="00DC337A"/>
    <w:rsid w:val="00DF67CA"/>
    <w:rsid w:val="00E07E06"/>
    <w:rsid w:val="00E153E7"/>
    <w:rsid w:val="00E41758"/>
    <w:rsid w:val="00E75E97"/>
    <w:rsid w:val="00E942D4"/>
    <w:rsid w:val="00E95863"/>
    <w:rsid w:val="00EF0567"/>
    <w:rsid w:val="00F12191"/>
    <w:rsid w:val="00F24916"/>
    <w:rsid w:val="00F34F4A"/>
    <w:rsid w:val="00F41F0C"/>
    <w:rsid w:val="00F5477F"/>
    <w:rsid w:val="00F92456"/>
    <w:rsid w:val="00FA7DE4"/>
    <w:rsid w:val="00FD3963"/>
    <w:rsid w:val="00FE2624"/>
    <w:rsid w:val="00FF124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3A"/>
    <w:rPr>
      <w:shadow/>
      <w:sz w:val="20"/>
      <w:szCs w:val="20"/>
      <w:lang w:val="cs-CZ"/>
    </w:rPr>
  </w:style>
  <w:style w:type="paragraph" w:styleId="Heading1">
    <w:name w:val="heading 1"/>
    <w:basedOn w:val="Normal"/>
    <w:next w:val="Normal"/>
    <w:link w:val="Heading1Char"/>
    <w:uiPriority w:val="99"/>
    <w:qFormat/>
    <w:rsid w:val="0075113A"/>
    <w:pPr>
      <w:keepNext/>
      <w:outlineLvl w:val="0"/>
    </w:pPr>
    <w:rPr>
      <w:sz w:val="24"/>
      <w:lang w:val="sk-SK"/>
    </w:rPr>
  </w:style>
  <w:style w:type="paragraph" w:styleId="Heading2">
    <w:name w:val="heading 2"/>
    <w:basedOn w:val="Normal"/>
    <w:next w:val="Normal"/>
    <w:link w:val="Heading2Char"/>
    <w:uiPriority w:val="99"/>
    <w:qFormat/>
    <w:rsid w:val="0075113A"/>
    <w:pPr>
      <w:keepNext/>
      <w:jc w:val="both"/>
      <w:outlineLvl w:val="1"/>
    </w:pPr>
    <w:rPr>
      <w:sz w:val="24"/>
      <w:lang w:val="sk-SK"/>
    </w:rPr>
  </w:style>
  <w:style w:type="paragraph" w:styleId="Heading3">
    <w:name w:val="heading 3"/>
    <w:basedOn w:val="Normal"/>
    <w:next w:val="Normal"/>
    <w:link w:val="Heading3Char"/>
    <w:uiPriority w:val="99"/>
    <w:qFormat/>
    <w:rsid w:val="0075113A"/>
    <w:pPr>
      <w:keepNext/>
      <w:outlineLvl w:val="2"/>
    </w:pPr>
    <w:rPr>
      <w:sz w:val="28"/>
      <w:lang w:val="sk-SK"/>
    </w:rPr>
  </w:style>
  <w:style w:type="paragraph" w:styleId="Heading4">
    <w:name w:val="heading 4"/>
    <w:basedOn w:val="Normal"/>
    <w:next w:val="Normal"/>
    <w:link w:val="Heading4Char"/>
    <w:uiPriority w:val="99"/>
    <w:qFormat/>
    <w:rsid w:val="0075113A"/>
    <w:pPr>
      <w:keepNext/>
      <w:outlineLvl w:val="3"/>
    </w:pPr>
    <w:rPr>
      <w:b/>
      <w:sz w:val="24"/>
      <w:lang w:val="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1877"/>
    <w:rPr>
      <w:rFonts w:ascii="Cambria" w:hAnsi="Cambria" w:cs="Times New Roman"/>
      <w:b/>
      <w:bCs/>
      <w:shadow/>
      <w:kern w:val="32"/>
      <w:sz w:val="32"/>
      <w:szCs w:val="32"/>
      <w:lang w:val="cs-CZ"/>
    </w:rPr>
  </w:style>
  <w:style w:type="character" w:customStyle="1" w:styleId="Heading2Char">
    <w:name w:val="Heading 2 Char"/>
    <w:basedOn w:val="DefaultParagraphFont"/>
    <w:link w:val="Heading2"/>
    <w:uiPriority w:val="99"/>
    <w:semiHidden/>
    <w:locked/>
    <w:rsid w:val="00261877"/>
    <w:rPr>
      <w:rFonts w:ascii="Cambria" w:hAnsi="Cambria" w:cs="Times New Roman"/>
      <w:b/>
      <w:bCs/>
      <w:i/>
      <w:iCs/>
      <w:shadow/>
      <w:sz w:val="28"/>
      <w:szCs w:val="28"/>
      <w:lang w:val="cs-CZ"/>
    </w:rPr>
  </w:style>
  <w:style w:type="character" w:customStyle="1" w:styleId="Heading3Char">
    <w:name w:val="Heading 3 Char"/>
    <w:basedOn w:val="DefaultParagraphFont"/>
    <w:link w:val="Heading3"/>
    <w:uiPriority w:val="99"/>
    <w:semiHidden/>
    <w:locked/>
    <w:rsid w:val="00261877"/>
    <w:rPr>
      <w:rFonts w:ascii="Cambria" w:hAnsi="Cambria" w:cs="Times New Roman"/>
      <w:b/>
      <w:bCs/>
      <w:shadow/>
      <w:sz w:val="26"/>
      <w:szCs w:val="26"/>
      <w:lang w:val="cs-CZ"/>
    </w:rPr>
  </w:style>
  <w:style w:type="character" w:customStyle="1" w:styleId="Heading4Char">
    <w:name w:val="Heading 4 Char"/>
    <w:basedOn w:val="DefaultParagraphFont"/>
    <w:link w:val="Heading4"/>
    <w:uiPriority w:val="99"/>
    <w:semiHidden/>
    <w:locked/>
    <w:rsid w:val="00261877"/>
    <w:rPr>
      <w:rFonts w:ascii="Calibri" w:hAnsi="Calibri" w:cs="Times New Roman"/>
      <w:b/>
      <w:bCs/>
      <w:shadow/>
      <w:sz w:val="28"/>
      <w:szCs w:val="28"/>
      <w:lang w:val="cs-CZ"/>
    </w:rPr>
  </w:style>
  <w:style w:type="paragraph" w:styleId="BodyText">
    <w:name w:val="Body Text"/>
    <w:basedOn w:val="Normal"/>
    <w:link w:val="BodyTextChar"/>
    <w:uiPriority w:val="99"/>
    <w:rsid w:val="0075113A"/>
    <w:pPr>
      <w:jc w:val="both"/>
    </w:pPr>
    <w:rPr>
      <w:lang w:val="sk-SK"/>
    </w:rPr>
  </w:style>
  <w:style w:type="character" w:customStyle="1" w:styleId="BodyTextChar">
    <w:name w:val="Body Text Char"/>
    <w:basedOn w:val="DefaultParagraphFont"/>
    <w:link w:val="BodyText"/>
    <w:uiPriority w:val="99"/>
    <w:semiHidden/>
    <w:locked/>
    <w:rsid w:val="00261877"/>
    <w:rPr>
      <w:rFonts w:cs="Times New Roman"/>
      <w:shadow/>
      <w:sz w:val="20"/>
      <w:szCs w:val="20"/>
      <w:lang w:val="cs-CZ"/>
    </w:rPr>
  </w:style>
  <w:style w:type="paragraph" w:styleId="BodyText2">
    <w:name w:val="Body Text 2"/>
    <w:basedOn w:val="Normal"/>
    <w:link w:val="BodyText2Char"/>
    <w:uiPriority w:val="99"/>
    <w:rsid w:val="0075113A"/>
    <w:pPr>
      <w:jc w:val="both"/>
    </w:pPr>
    <w:rPr>
      <w:sz w:val="24"/>
      <w:lang w:val="sk-SK"/>
    </w:rPr>
  </w:style>
  <w:style w:type="character" w:customStyle="1" w:styleId="BodyText2Char">
    <w:name w:val="Body Text 2 Char"/>
    <w:basedOn w:val="DefaultParagraphFont"/>
    <w:link w:val="BodyText2"/>
    <w:uiPriority w:val="99"/>
    <w:semiHidden/>
    <w:locked/>
    <w:rsid w:val="00261877"/>
    <w:rPr>
      <w:rFonts w:cs="Times New Roman"/>
      <w:shadow/>
      <w:sz w:val="20"/>
      <w:szCs w:val="20"/>
      <w:lang w:val="cs-CZ"/>
    </w:rPr>
  </w:style>
  <w:style w:type="paragraph" w:styleId="DocumentMap">
    <w:name w:val="Document Map"/>
    <w:basedOn w:val="Normal"/>
    <w:link w:val="DocumentMapChar"/>
    <w:uiPriority w:val="99"/>
    <w:semiHidden/>
    <w:rsid w:val="007511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61877"/>
    <w:rPr>
      <w:rFonts w:cs="Times New Roman"/>
      <w:shadow/>
      <w:sz w:val="2"/>
      <w:lang w:val="cs-CZ"/>
    </w:rPr>
  </w:style>
  <w:style w:type="paragraph" w:styleId="Title">
    <w:name w:val="Title"/>
    <w:basedOn w:val="Normal"/>
    <w:link w:val="TitleChar"/>
    <w:uiPriority w:val="99"/>
    <w:qFormat/>
    <w:rsid w:val="0075113A"/>
    <w:pPr>
      <w:jc w:val="center"/>
    </w:pPr>
    <w:rPr>
      <w:sz w:val="24"/>
      <w:lang w:val="sk-SK"/>
    </w:rPr>
  </w:style>
  <w:style w:type="character" w:customStyle="1" w:styleId="TitleChar">
    <w:name w:val="Title Char"/>
    <w:basedOn w:val="DefaultParagraphFont"/>
    <w:link w:val="Title"/>
    <w:uiPriority w:val="99"/>
    <w:locked/>
    <w:rsid w:val="00261877"/>
    <w:rPr>
      <w:rFonts w:ascii="Cambria" w:hAnsi="Cambria" w:cs="Times New Roman"/>
      <w:b/>
      <w:bCs/>
      <w:shadow/>
      <w:kern w:val="28"/>
      <w:sz w:val="32"/>
      <w:szCs w:val="32"/>
      <w:lang w:val="cs-CZ"/>
    </w:rPr>
  </w:style>
  <w:style w:type="paragraph" w:styleId="BodyText3">
    <w:name w:val="Body Text 3"/>
    <w:basedOn w:val="Normal"/>
    <w:link w:val="BodyText3Char"/>
    <w:uiPriority w:val="99"/>
    <w:rsid w:val="0075113A"/>
    <w:pPr>
      <w:jc w:val="both"/>
    </w:pPr>
    <w:rPr>
      <w:sz w:val="28"/>
      <w:lang w:val="sk-SK"/>
    </w:rPr>
  </w:style>
  <w:style w:type="character" w:customStyle="1" w:styleId="BodyText3Char">
    <w:name w:val="Body Text 3 Char"/>
    <w:basedOn w:val="DefaultParagraphFont"/>
    <w:link w:val="BodyText3"/>
    <w:uiPriority w:val="99"/>
    <w:semiHidden/>
    <w:locked/>
    <w:rsid w:val="00261877"/>
    <w:rPr>
      <w:rFonts w:cs="Times New Roman"/>
      <w:shadow/>
      <w:sz w:val="16"/>
      <w:szCs w:val="16"/>
      <w:lang w:val="cs-CZ"/>
    </w:rPr>
  </w:style>
  <w:style w:type="paragraph" w:styleId="Header">
    <w:name w:val="header"/>
    <w:basedOn w:val="Normal"/>
    <w:link w:val="HeaderChar"/>
    <w:uiPriority w:val="99"/>
    <w:rsid w:val="0075113A"/>
    <w:pPr>
      <w:tabs>
        <w:tab w:val="center" w:pos="4536"/>
        <w:tab w:val="right" w:pos="9072"/>
      </w:tabs>
    </w:pPr>
  </w:style>
  <w:style w:type="character" w:customStyle="1" w:styleId="HeaderChar">
    <w:name w:val="Header Char"/>
    <w:basedOn w:val="DefaultParagraphFont"/>
    <w:link w:val="Header"/>
    <w:uiPriority w:val="99"/>
    <w:semiHidden/>
    <w:locked/>
    <w:rsid w:val="00261877"/>
    <w:rPr>
      <w:rFonts w:cs="Times New Roman"/>
      <w:shadow/>
      <w:sz w:val="20"/>
      <w:szCs w:val="20"/>
      <w:lang w:val="cs-CZ"/>
    </w:rPr>
  </w:style>
  <w:style w:type="paragraph" w:styleId="Footer">
    <w:name w:val="footer"/>
    <w:basedOn w:val="Normal"/>
    <w:link w:val="FooterChar"/>
    <w:uiPriority w:val="99"/>
    <w:rsid w:val="0075113A"/>
    <w:pPr>
      <w:tabs>
        <w:tab w:val="center" w:pos="4536"/>
        <w:tab w:val="right" w:pos="9072"/>
      </w:tabs>
    </w:pPr>
  </w:style>
  <w:style w:type="character" w:customStyle="1" w:styleId="FooterChar">
    <w:name w:val="Footer Char"/>
    <w:basedOn w:val="DefaultParagraphFont"/>
    <w:link w:val="Footer"/>
    <w:uiPriority w:val="99"/>
    <w:locked/>
    <w:rsid w:val="0094038D"/>
    <w:rPr>
      <w:rFonts w:cs="Times New Roman"/>
      <w:shadow/>
      <w:lang w:val="cs-CZ"/>
    </w:rPr>
  </w:style>
  <w:style w:type="character" w:styleId="PageNumber">
    <w:name w:val="page number"/>
    <w:basedOn w:val="DefaultParagraphFont"/>
    <w:uiPriority w:val="99"/>
    <w:rsid w:val="0075113A"/>
    <w:rPr>
      <w:rFonts w:cs="Times New Roman"/>
    </w:rPr>
  </w:style>
  <w:style w:type="paragraph" w:styleId="BalloonText">
    <w:name w:val="Balloon Text"/>
    <w:basedOn w:val="Normal"/>
    <w:link w:val="BalloonTextChar"/>
    <w:uiPriority w:val="99"/>
    <w:semiHidden/>
    <w:rsid w:val="00720B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877"/>
    <w:rPr>
      <w:rFonts w:cs="Times New Roman"/>
      <w:shadow/>
      <w:sz w:val="2"/>
      <w:lang w:val="cs-CZ"/>
    </w:rPr>
  </w:style>
  <w:style w:type="character" w:styleId="Hyperlink">
    <w:name w:val="Hyperlink"/>
    <w:basedOn w:val="DefaultParagraphFont"/>
    <w:uiPriority w:val="99"/>
    <w:rsid w:val="005E40D4"/>
    <w:rPr>
      <w:rFonts w:cs="Times New Roman"/>
      <w:color w:val="0000FF"/>
      <w:u w:val="single"/>
    </w:rPr>
  </w:style>
  <w:style w:type="character" w:customStyle="1" w:styleId="hps">
    <w:name w:val="hps"/>
    <w:basedOn w:val="DefaultParagraphFont"/>
    <w:uiPriority w:val="99"/>
    <w:rsid w:val="00480931"/>
    <w:rPr>
      <w:rFonts w:cs="Times New Roman"/>
    </w:rPr>
  </w:style>
  <w:style w:type="character" w:styleId="CommentReference">
    <w:name w:val="annotation reference"/>
    <w:basedOn w:val="DefaultParagraphFont"/>
    <w:uiPriority w:val="99"/>
    <w:semiHidden/>
    <w:rsid w:val="006E5222"/>
    <w:rPr>
      <w:rFonts w:cs="Times New Roman"/>
      <w:sz w:val="16"/>
      <w:szCs w:val="16"/>
    </w:rPr>
  </w:style>
  <w:style w:type="paragraph" w:styleId="CommentText">
    <w:name w:val="annotation text"/>
    <w:basedOn w:val="Normal"/>
    <w:link w:val="CommentTextChar"/>
    <w:uiPriority w:val="99"/>
    <w:semiHidden/>
    <w:rsid w:val="006E5222"/>
  </w:style>
  <w:style w:type="character" w:customStyle="1" w:styleId="CommentTextChar">
    <w:name w:val="Comment Text Char"/>
    <w:basedOn w:val="DefaultParagraphFont"/>
    <w:link w:val="CommentText"/>
    <w:uiPriority w:val="99"/>
    <w:semiHidden/>
    <w:locked/>
    <w:rsid w:val="004C4CD1"/>
    <w:rPr>
      <w:rFonts w:cs="Times New Roman"/>
      <w:shadow/>
      <w:sz w:val="20"/>
      <w:szCs w:val="20"/>
      <w:lang w:val="cs-CZ"/>
    </w:rPr>
  </w:style>
  <w:style w:type="paragraph" w:styleId="CommentSubject">
    <w:name w:val="annotation subject"/>
    <w:basedOn w:val="CommentText"/>
    <w:next w:val="CommentText"/>
    <w:link w:val="CommentSubjectChar"/>
    <w:uiPriority w:val="99"/>
    <w:semiHidden/>
    <w:rsid w:val="006E5222"/>
    <w:rPr>
      <w:b/>
      <w:bCs/>
    </w:rPr>
  </w:style>
  <w:style w:type="character" w:customStyle="1" w:styleId="CommentSubjectChar">
    <w:name w:val="Comment Subject Char"/>
    <w:basedOn w:val="CommentTextChar"/>
    <w:link w:val="CommentSubject"/>
    <w:uiPriority w:val="99"/>
    <w:semiHidden/>
    <w:locked/>
    <w:rsid w:val="004C4CD1"/>
    <w:rPr>
      <w:b/>
      <w:bCs/>
    </w:rPr>
  </w:style>
  <w:style w:type="character" w:customStyle="1" w:styleId="FontStyle28">
    <w:name w:val="Font Style28"/>
    <w:basedOn w:val="DefaultParagraphFont"/>
    <w:uiPriority w:val="99"/>
    <w:rsid w:val="000D4406"/>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310915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1741</Words>
  <Characters>9928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Bratislava, 21st August 2000</dc:title>
  <dc:subject/>
  <dc:creator>Bánsky Stanislav</dc:creator>
  <cp:keywords/>
  <dc:description/>
  <cp:lastModifiedBy>Zdenka Killingerova</cp:lastModifiedBy>
  <cp:revision>5</cp:revision>
  <cp:lastPrinted>2014-10-20T07:56:00Z</cp:lastPrinted>
  <dcterms:created xsi:type="dcterms:W3CDTF">2015-07-09T08:56:00Z</dcterms:created>
  <dcterms:modified xsi:type="dcterms:W3CDTF">2015-07-14T13:50:00Z</dcterms:modified>
</cp:coreProperties>
</file>