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6BABD" w14:textId="77777777" w:rsidR="003F6358" w:rsidRPr="003F71D2" w:rsidRDefault="003F6358" w:rsidP="003F71D2">
      <w:pPr>
        <w:pStyle w:val="Default"/>
        <w:rPr>
          <w:b/>
          <w:bCs/>
          <w:sz w:val="22"/>
          <w:szCs w:val="22"/>
          <w:lang w:val="sk-SK"/>
        </w:rPr>
      </w:pPr>
    </w:p>
    <w:p w14:paraId="3966CB2A" w14:textId="77777777" w:rsidR="003F6358" w:rsidRPr="003F71D2" w:rsidRDefault="00DB3564" w:rsidP="003F71D2">
      <w:pPr>
        <w:pStyle w:val="Default"/>
        <w:jc w:val="center"/>
        <w:rPr>
          <w:b/>
          <w:bCs/>
          <w:sz w:val="22"/>
          <w:szCs w:val="22"/>
          <w:lang w:val="sk-SK"/>
        </w:rPr>
      </w:pPr>
      <w:r w:rsidRPr="003F71D2">
        <w:rPr>
          <w:b/>
          <w:bCs/>
          <w:sz w:val="22"/>
          <w:szCs w:val="22"/>
          <w:lang w:val="sk-SK"/>
        </w:rPr>
        <w:t>SÚHRN CHARAKTERISTICKÝCH VLASTNOSTÍ LIEKU</w:t>
      </w:r>
    </w:p>
    <w:p w14:paraId="378CD051" w14:textId="77777777" w:rsidR="00C72AD1" w:rsidRPr="003F71D2" w:rsidRDefault="00C72AD1" w:rsidP="003F71D2">
      <w:pPr>
        <w:pStyle w:val="Default"/>
        <w:rPr>
          <w:sz w:val="22"/>
          <w:szCs w:val="22"/>
          <w:lang w:val="sk-SK"/>
        </w:rPr>
      </w:pPr>
    </w:p>
    <w:p w14:paraId="302086E6" w14:textId="77777777" w:rsidR="003F6358" w:rsidRPr="003F71D2" w:rsidRDefault="003F6358" w:rsidP="003F71D2">
      <w:pPr>
        <w:pStyle w:val="Default"/>
        <w:rPr>
          <w:b/>
          <w:bCs/>
          <w:sz w:val="22"/>
          <w:szCs w:val="22"/>
          <w:lang w:val="sk-SK"/>
        </w:rPr>
      </w:pPr>
    </w:p>
    <w:p w14:paraId="6AE3E65E" w14:textId="5158D7DF" w:rsidR="00464751" w:rsidRPr="003F71D2" w:rsidRDefault="00DB3564" w:rsidP="003F71D2">
      <w:pPr>
        <w:pStyle w:val="Default"/>
        <w:rPr>
          <w:sz w:val="22"/>
          <w:szCs w:val="22"/>
          <w:lang w:val="sk-SK"/>
        </w:rPr>
      </w:pPr>
      <w:r w:rsidRPr="003F71D2">
        <w:rPr>
          <w:b/>
          <w:bCs/>
          <w:sz w:val="22"/>
          <w:szCs w:val="22"/>
          <w:lang w:val="sk-SK"/>
        </w:rPr>
        <w:t>1.</w:t>
      </w:r>
      <w:r w:rsidRPr="003F71D2">
        <w:rPr>
          <w:b/>
          <w:bCs/>
          <w:sz w:val="22"/>
          <w:szCs w:val="22"/>
          <w:lang w:val="sk-SK"/>
        </w:rPr>
        <w:tab/>
        <w:t>NÁZOV LIEKU</w:t>
      </w:r>
    </w:p>
    <w:p w14:paraId="4409828F" w14:textId="77777777" w:rsidR="00464751" w:rsidRPr="003F71D2" w:rsidRDefault="00464751" w:rsidP="003F71D2">
      <w:pPr>
        <w:pStyle w:val="Default"/>
        <w:rPr>
          <w:sz w:val="22"/>
          <w:szCs w:val="22"/>
          <w:lang w:val="sk-SK"/>
        </w:rPr>
      </w:pPr>
    </w:p>
    <w:p w14:paraId="3BE27CB2" w14:textId="0163ADA2" w:rsidR="00464751" w:rsidRPr="003F71D2" w:rsidRDefault="00DB3564" w:rsidP="003F71D2">
      <w:pPr>
        <w:pStyle w:val="Default"/>
        <w:rPr>
          <w:sz w:val="22"/>
          <w:szCs w:val="22"/>
          <w:lang w:val="sk-SK"/>
        </w:rPr>
      </w:pPr>
      <w:r w:rsidRPr="003F71D2">
        <w:rPr>
          <w:sz w:val="22"/>
          <w:szCs w:val="22"/>
          <w:lang w:val="sk-SK"/>
        </w:rPr>
        <w:t>Zomikos 4 mg/5 ml infúzny koncentrát</w:t>
      </w:r>
    </w:p>
    <w:p w14:paraId="7AD67CD8" w14:textId="77777777" w:rsidR="00C72AD1" w:rsidRPr="003F71D2" w:rsidRDefault="00C72AD1" w:rsidP="003F71D2">
      <w:pPr>
        <w:pStyle w:val="Default"/>
        <w:rPr>
          <w:sz w:val="22"/>
          <w:szCs w:val="22"/>
          <w:lang w:val="sk-SK"/>
        </w:rPr>
      </w:pPr>
    </w:p>
    <w:p w14:paraId="118075EA" w14:textId="77777777" w:rsidR="00D8482C" w:rsidRPr="003F71D2" w:rsidRDefault="00D8482C" w:rsidP="003F71D2">
      <w:pPr>
        <w:pStyle w:val="Default"/>
        <w:rPr>
          <w:b/>
          <w:bCs/>
          <w:sz w:val="22"/>
          <w:szCs w:val="22"/>
          <w:lang w:val="sk-SK"/>
        </w:rPr>
      </w:pPr>
    </w:p>
    <w:p w14:paraId="083846D6" w14:textId="585E5E47" w:rsidR="00464751" w:rsidRPr="003F71D2" w:rsidRDefault="00DB3564" w:rsidP="003F71D2">
      <w:pPr>
        <w:pStyle w:val="Default"/>
        <w:rPr>
          <w:sz w:val="22"/>
          <w:szCs w:val="22"/>
          <w:lang w:val="sk-SK"/>
        </w:rPr>
      </w:pPr>
      <w:r w:rsidRPr="003F71D2">
        <w:rPr>
          <w:b/>
          <w:bCs/>
          <w:sz w:val="22"/>
          <w:szCs w:val="22"/>
          <w:lang w:val="sk-SK"/>
        </w:rPr>
        <w:t>2.</w:t>
      </w:r>
      <w:r w:rsidRPr="003F71D2">
        <w:rPr>
          <w:b/>
          <w:bCs/>
          <w:sz w:val="22"/>
          <w:szCs w:val="22"/>
          <w:lang w:val="sk-SK"/>
        </w:rPr>
        <w:tab/>
        <w:t xml:space="preserve">KVALITATÍVNE A KVANTITATÍVNE ZLOŽENIE </w:t>
      </w:r>
    </w:p>
    <w:p w14:paraId="72023563" w14:textId="77777777" w:rsidR="00464751" w:rsidRPr="003F71D2" w:rsidRDefault="00464751" w:rsidP="003F71D2">
      <w:pPr>
        <w:pStyle w:val="Default"/>
        <w:rPr>
          <w:sz w:val="22"/>
          <w:szCs w:val="22"/>
          <w:lang w:val="sk-SK"/>
        </w:rPr>
      </w:pPr>
    </w:p>
    <w:p w14:paraId="59C71944" w14:textId="3397C699" w:rsidR="0043242E" w:rsidRPr="003F71D2" w:rsidRDefault="00DB3564" w:rsidP="003F71D2">
      <w:pPr>
        <w:pStyle w:val="Default"/>
        <w:rPr>
          <w:sz w:val="22"/>
          <w:szCs w:val="22"/>
          <w:lang w:val="sk-SK"/>
        </w:rPr>
      </w:pPr>
      <w:r w:rsidRPr="003F71D2">
        <w:rPr>
          <w:sz w:val="22"/>
          <w:szCs w:val="22"/>
          <w:lang w:val="sk-SK"/>
        </w:rPr>
        <w:t>Jedna 5 ml injekčná liekovka koncentrátu obsahuje 4 mg kyseliny zoledrónovej</w:t>
      </w:r>
      <w:r w:rsidR="00E57384">
        <w:rPr>
          <w:sz w:val="22"/>
          <w:szCs w:val="22"/>
          <w:lang w:val="sk-SK"/>
        </w:rPr>
        <w:t xml:space="preserve">, čo zodpovedá 4,264 mg monohydrátu kyseliny zoledrónovej. </w:t>
      </w:r>
    </w:p>
    <w:p w14:paraId="7F0BF171" w14:textId="0E7213C2" w:rsidR="00464751" w:rsidRPr="003F71D2" w:rsidRDefault="00DB3564" w:rsidP="003F71D2">
      <w:pPr>
        <w:pStyle w:val="Default"/>
        <w:rPr>
          <w:sz w:val="22"/>
          <w:szCs w:val="22"/>
          <w:lang w:val="sk-SK"/>
        </w:rPr>
      </w:pPr>
      <w:r w:rsidRPr="003F71D2">
        <w:rPr>
          <w:sz w:val="22"/>
          <w:szCs w:val="22"/>
          <w:lang w:val="sk-SK"/>
        </w:rPr>
        <w:t>Jeden ml koncentrátu obsahuje 0,8 mg kyseliny zoledrónovej (</w:t>
      </w:r>
      <w:r w:rsidR="00E57384">
        <w:rPr>
          <w:sz w:val="22"/>
          <w:szCs w:val="22"/>
          <w:lang w:val="sk-SK"/>
        </w:rPr>
        <w:t>ako monohydrát</w:t>
      </w:r>
      <w:r w:rsidRPr="003F71D2">
        <w:rPr>
          <w:sz w:val="22"/>
          <w:szCs w:val="22"/>
          <w:lang w:val="sk-SK"/>
        </w:rPr>
        <w:t xml:space="preserve">). </w:t>
      </w:r>
    </w:p>
    <w:p w14:paraId="083A7703" w14:textId="77777777" w:rsidR="00464751" w:rsidRPr="003F71D2" w:rsidRDefault="00464751" w:rsidP="003F71D2">
      <w:pPr>
        <w:pStyle w:val="Default"/>
        <w:rPr>
          <w:sz w:val="22"/>
          <w:szCs w:val="22"/>
          <w:lang w:val="sk-SK"/>
        </w:rPr>
      </w:pPr>
    </w:p>
    <w:p w14:paraId="45F4646A" w14:textId="77777777" w:rsidR="00464751" w:rsidRPr="003F71D2" w:rsidRDefault="00DB3564" w:rsidP="003F71D2">
      <w:pPr>
        <w:pStyle w:val="Default"/>
        <w:rPr>
          <w:sz w:val="22"/>
          <w:szCs w:val="22"/>
          <w:lang w:val="sk-SK"/>
        </w:rPr>
      </w:pPr>
      <w:r w:rsidRPr="003F71D2">
        <w:rPr>
          <w:sz w:val="22"/>
          <w:szCs w:val="22"/>
          <w:lang w:val="sk-SK"/>
        </w:rPr>
        <w:t xml:space="preserve">Úplný zoznam pomocných látok, pozri časť 6.1. </w:t>
      </w:r>
    </w:p>
    <w:p w14:paraId="4BBD046F" w14:textId="77777777" w:rsidR="00C72AD1" w:rsidRPr="003F71D2" w:rsidRDefault="00C72AD1" w:rsidP="003F71D2">
      <w:pPr>
        <w:pStyle w:val="Default"/>
        <w:rPr>
          <w:sz w:val="22"/>
          <w:szCs w:val="22"/>
          <w:lang w:val="sk-SK"/>
        </w:rPr>
      </w:pPr>
    </w:p>
    <w:p w14:paraId="2D5FEC91" w14:textId="77777777" w:rsidR="00464751" w:rsidRPr="003F71D2" w:rsidRDefault="00464751" w:rsidP="003F71D2">
      <w:pPr>
        <w:pStyle w:val="Default"/>
        <w:rPr>
          <w:b/>
          <w:bCs/>
          <w:sz w:val="22"/>
          <w:szCs w:val="22"/>
          <w:lang w:val="sk-SK"/>
        </w:rPr>
      </w:pPr>
    </w:p>
    <w:p w14:paraId="54035323" w14:textId="3753A295" w:rsidR="00464751" w:rsidRPr="003F71D2" w:rsidRDefault="00DB3564" w:rsidP="003F71D2">
      <w:pPr>
        <w:pStyle w:val="Default"/>
        <w:rPr>
          <w:sz w:val="22"/>
          <w:szCs w:val="22"/>
          <w:lang w:val="sk-SK"/>
        </w:rPr>
      </w:pPr>
      <w:r w:rsidRPr="003F71D2">
        <w:rPr>
          <w:b/>
          <w:bCs/>
          <w:sz w:val="22"/>
          <w:szCs w:val="22"/>
          <w:lang w:val="sk-SK"/>
        </w:rPr>
        <w:t>3.</w:t>
      </w:r>
      <w:r w:rsidRPr="003F71D2">
        <w:rPr>
          <w:b/>
          <w:bCs/>
          <w:sz w:val="22"/>
          <w:szCs w:val="22"/>
          <w:lang w:val="sk-SK"/>
        </w:rPr>
        <w:tab/>
        <w:t xml:space="preserve">LIEKOVÁ FORMA </w:t>
      </w:r>
    </w:p>
    <w:p w14:paraId="1E99451A" w14:textId="77777777" w:rsidR="0043242E" w:rsidRPr="003F71D2" w:rsidRDefault="0043242E" w:rsidP="003F71D2">
      <w:pPr>
        <w:pStyle w:val="Default"/>
        <w:rPr>
          <w:sz w:val="22"/>
          <w:szCs w:val="22"/>
          <w:lang w:val="sk-SK"/>
        </w:rPr>
      </w:pPr>
    </w:p>
    <w:p w14:paraId="78FCB2AF" w14:textId="77777777" w:rsidR="0043242E" w:rsidRPr="003F71D2" w:rsidRDefault="00DB3564" w:rsidP="003F71D2">
      <w:pPr>
        <w:pStyle w:val="Default"/>
        <w:rPr>
          <w:sz w:val="22"/>
          <w:szCs w:val="22"/>
          <w:lang w:val="sk-SK"/>
        </w:rPr>
      </w:pPr>
      <w:r w:rsidRPr="003F71D2">
        <w:rPr>
          <w:sz w:val="22"/>
          <w:szCs w:val="22"/>
          <w:lang w:val="sk-SK"/>
        </w:rPr>
        <w:t>Infúzny koncentrát.</w:t>
      </w:r>
    </w:p>
    <w:p w14:paraId="115FE547" w14:textId="77777777" w:rsidR="00464751" w:rsidRPr="003F71D2" w:rsidRDefault="00DB3564" w:rsidP="003F71D2">
      <w:pPr>
        <w:pStyle w:val="Default"/>
        <w:rPr>
          <w:sz w:val="22"/>
          <w:szCs w:val="22"/>
          <w:lang w:val="sk-SK"/>
        </w:rPr>
      </w:pPr>
      <w:r w:rsidRPr="003F71D2">
        <w:rPr>
          <w:sz w:val="22"/>
          <w:szCs w:val="22"/>
          <w:lang w:val="sk-SK"/>
        </w:rPr>
        <w:t xml:space="preserve">Číry a bezfarebný roztok. </w:t>
      </w:r>
    </w:p>
    <w:p w14:paraId="26EB9874" w14:textId="77777777" w:rsidR="00C72AD1" w:rsidRPr="003F71D2" w:rsidRDefault="00C72AD1" w:rsidP="003F71D2">
      <w:pPr>
        <w:pStyle w:val="Default"/>
        <w:rPr>
          <w:sz w:val="22"/>
          <w:szCs w:val="22"/>
          <w:lang w:val="sk-SK"/>
        </w:rPr>
      </w:pPr>
    </w:p>
    <w:p w14:paraId="374474CE" w14:textId="77777777" w:rsidR="00464751" w:rsidRPr="003F71D2" w:rsidRDefault="00464751" w:rsidP="003F71D2">
      <w:pPr>
        <w:pStyle w:val="Default"/>
        <w:rPr>
          <w:b/>
          <w:bCs/>
          <w:sz w:val="22"/>
          <w:szCs w:val="22"/>
          <w:lang w:val="sk-SK"/>
        </w:rPr>
      </w:pPr>
    </w:p>
    <w:p w14:paraId="5841D46F" w14:textId="496CA5C2" w:rsidR="00464751" w:rsidRPr="003F71D2" w:rsidRDefault="00DB3564" w:rsidP="003F71D2">
      <w:pPr>
        <w:pStyle w:val="Default"/>
        <w:rPr>
          <w:sz w:val="22"/>
          <w:szCs w:val="22"/>
          <w:lang w:val="sk-SK"/>
        </w:rPr>
      </w:pPr>
      <w:r w:rsidRPr="003F71D2">
        <w:rPr>
          <w:b/>
          <w:bCs/>
          <w:sz w:val="22"/>
          <w:szCs w:val="22"/>
          <w:lang w:val="sk-SK"/>
        </w:rPr>
        <w:t>4.</w:t>
      </w:r>
      <w:r w:rsidRPr="003F71D2">
        <w:rPr>
          <w:b/>
          <w:bCs/>
          <w:sz w:val="22"/>
          <w:szCs w:val="22"/>
          <w:lang w:val="sk-SK"/>
        </w:rPr>
        <w:tab/>
        <w:t xml:space="preserve">KLINICKÉ ÚDAJE </w:t>
      </w:r>
    </w:p>
    <w:p w14:paraId="707F78BE" w14:textId="77777777" w:rsidR="0043242E" w:rsidRPr="003F71D2" w:rsidRDefault="0043242E" w:rsidP="003F71D2">
      <w:pPr>
        <w:pStyle w:val="Default"/>
        <w:rPr>
          <w:b/>
          <w:bCs/>
          <w:sz w:val="22"/>
          <w:szCs w:val="22"/>
          <w:lang w:val="sk-SK"/>
        </w:rPr>
      </w:pPr>
    </w:p>
    <w:p w14:paraId="654809BB" w14:textId="681FEABA" w:rsidR="00E84B93" w:rsidRPr="003F71D2" w:rsidRDefault="00DB3564" w:rsidP="003F71D2">
      <w:pPr>
        <w:pStyle w:val="Default"/>
        <w:rPr>
          <w:sz w:val="22"/>
          <w:szCs w:val="22"/>
          <w:lang w:val="sk-SK"/>
        </w:rPr>
      </w:pPr>
      <w:r w:rsidRPr="003F71D2">
        <w:rPr>
          <w:b/>
          <w:bCs/>
          <w:sz w:val="22"/>
          <w:szCs w:val="22"/>
          <w:lang w:val="sk-SK"/>
        </w:rPr>
        <w:t>4.1</w:t>
      </w:r>
      <w:r w:rsidRPr="003F71D2">
        <w:rPr>
          <w:b/>
          <w:bCs/>
          <w:sz w:val="22"/>
          <w:szCs w:val="22"/>
          <w:lang w:val="sk-SK"/>
        </w:rPr>
        <w:tab/>
        <w:t xml:space="preserve">Terapeutické indikácie </w:t>
      </w:r>
      <w:r w:rsidRPr="003F71D2">
        <w:rPr>
          <w:sz w:val="22"/>
          <w:szCs w:val="22"/>
          <w:lang w:val="sk-SK"/>
        </w:rPr>
        <w:t xml:space="preserve"> </w:t>
      </w:r>
    </w:p>
    <w:p w14:paraId="17AA3CC1" w14:textId="77777777" w:rsidR="00E84B93" w:rsidRPr="003F71D2" w:rsidRDefault="00E84B93" w:rsidP="003F71D2">
      <w:pPr>
        <w:pStyle w:val="Default"/>
        <w:rPr>
          <w:sz w:val="22"/>
          <w:szCs w:val="22"/>
          <w:lang w:val="sk-SK"/>
        </w:rPr>
      </w:pPr>
    </w:p>
    <w:p w14:paraId="78E96837" w14:textId="28D68BBE" w:rsidR="00E84B93" w:rsidRPr="003F71D2" w:rsidRDefault="00DB3564" w:rsidP="003F71D2">
      <w:pPr>
        <w:pStyle w:val="Default"/>
        <w:rPr>
          <w:sz w:val="22"/>
          <w:szCs w:val="22"/>
          <w:lang w:val="sk-SK"/>
        </w:rPr>
      </w:pPr>
      <w:r w:rsidRPr="003F71D2">
        <w:rPr>
          <w:sz w:val="22"/>
          <w:szCs w:val="22"/>
          <w:lang w:val="sk-SK"/>
        </w:rPr>
        <w:t>Prevencia príhod súvisiacich so skeletom (patologické zlomeniny, kompresia miechy, rádioterapia alebo chirurgick</w:t>
      </w:r>
      <w:r w:rsidR="00BD3DC6" w:rsidRPr="003F71D2">
        <w:rPr>
          <w:sz w:val="22"/>
          <w:szCs w:val="22"/>
          <w:lang w:val="sk-SK"/>
        </w:rPr>
        <w:t>é zásahy do</w:t>
      </w:r>
      <w:r w:rsidRPr="003F71D2">
        <w:rPr>
          <w:sz w:val="22"/>
          <w:szCs w:val="22"/>
          <w:lang w:val="sk-SK"/>
        </w:rPr>
        <w:t xml:space="preserve"> kosti, alebo hyperkalciémia vyvolaná nádorom) u dospelých pacientov s postihnutím kostí pri pokročilých malignitách. </w:t>
      </w:r>
    </w:p>
    <w:p w14:paraId="2D4FF759" w14:textId="77777777" w:rsidR="00464751" w:rsidRPr="003F71D2" w:rsidRDefault="00464751" w:rsidP="003F71D2">
      <w:pPr>
        <w:pStyle w:val="Default"/>
        <w:rPr>
          <w:sz w:val="22"/>
          <w:szCs w:val="22"/>
          <w:lang w:val="sk-SK"/>
        </w:rPr>
      </w:pPr>
    </w:p>
    <w:p w14:paraId="6FD0E46D" w14:textId="2B7CC6F3" w:rsidR="00E84B93" w:rsidRPr="003F71D2" w:rsidRDefault="00DB3564" w:rsidP="003F71D2">
      <w:pPr>
        <w:pStyle w:val="Default"/>
        <w:rPr>
          <w:sz w:val="22"/>
          <w:szCs w:val="22"/>
          <w:lang w:val="sk-SK"/>
        </w:rPr>
      </w:pPr>
      <w:r w:rsidRPr="003F71D2">
        <w:rPr>
          <w:sz w:val="22"/>
          <w:szCs w:val="22"/>
          <w:lang w:val="sk-SK"/>
        </w:rPr>
        <w:t xml:space="preserve">Liečba dospelých pacientov s hyperkalciémiou vyvolanou nádorom (TIH). </w:t>
      </w:r>
    </w:p>
    <w:p w14:paraId="3BD8144C" w14:textId="77777777" w:rsidR="00464751" w:rsidRPr="003F71D2" w:rsidRDefault="00464751" w:rsidP="003F71D2">
      <w:pPr>
        <w:pStyle w:val="Default"/>
        <w:rPr>
          <w:sz w:val="22"/>
          <w:szCs w:val="22"/>
          <w:lang w:val="sk-SK"/>
        </w:rPr>
      </w:pPr>
    </w:p>
    <w:p w14:paraId="6B8F7442" w14:textId="6CE928E6" w:rsidR="00464751" w:rsidRPr="003F71D2" w:rsidRDefault="00DB3564" w:rsidP="003F71D2">
      <w:pPr>
        <w:pStyle w:val="Default"/>
        <w:rPr>
          <w:sz w:val="22"/>
          <w:szCs w:val="22"/>
          <w:lang w:val="sk-SK"/>
        </w:rPr>
      </w:pPr>
      <w:r w:rsidRPr="003F71D2">
        <w:rPr>
          <w:b/>
          <w:bCs/>
          <w:sz w:val="22"/>
          <w:szCs w:val="22"/>
          <w:lang w:val="sk-SK"/>
        </w:rPr>
        <w:t>4.2</w:t>
      </w:r>
      <w:r w:rsidRPr="003F71D2">
        <w:rPr>
          <w:b/>
          <w:bCs/>
          <w:sz w:val="22"/>
          <w:szCs w:val="22"/>
          <w:lang w:val="sk-SK"/>
        </w:rPr>
        <w:tab/>
        <w:t xml:space="preserve">Dávkovanie a spôsob podávania </w:t>
      </w:r>
    </w:p>
    <w:p w14:paraId="796C0135" w14:textId="77777777" w:rsidR="0043242E" w:rsidRPr="003F71D2" w:rsidRDefault="0043242E" w:rsidP="003F71D2">
      <w:pPr>
        <w:pStyle w:val="Default"/>
        <w:rPr>
          <w:sz w:val="22"/>
          <w:szCs w:val="22"/>
          <w:lang w:val="sk-SK"/>
        </w:rPr>
      </w:pPr>
    </w:p>
    <w:p w14:paraId="77062C66" w14:textId="77777777" w:rsidR="00BD3DC6" w:rsidRPr="003F71D2" w:rsidRDefault="00DB3564" w:rsidP="003F71D2">
      <w:pPr>
        <w:pStyle w:val="Default"/>
        <w:rPr>
          <w:sz w:val="22"/>
          <w:szCs w:val="22"/>
          <w:lang w:val="sk-SK"/>
        </w:rPr>
      </w:pPr>
      <w:r w:rsidRPr="003F71D2">
        <w:rPr>
          <w:sz w:val="22"/>
          <w:szCs w:val="22"/>
          <w:lang w:val="sk-SK"/>
        </w:rPr>
        <w:t>Zomikos smú predpisovať a podávať pacientom len zdravotnícki pracovníci, ktorí majú skúsenosti s intravenóznym podávaním bisfosfonátov</w:t>
      </w:r>
      <w:r w:rsidR="00BD3DC6" w:rsidRPr="003F71D2">
        <w:rPr>
          <w:sz w:val="22"/>
          <w:szCs w:val="22"/>
          <w:lang w:val="sk-SK"/>
        </w:rPr>
        <w:t>.</w:t>
      </w:r>
    </w:p>
    <w:p w14:paraId="5E7436F9" w14:textId="44D3A3F1" w:rsidR="000F4377" w:rsidRPr="003F71D2" w:rsidRDefault="000F4377" w:rsidP="003F71D2">
      <w:pPr>
        <w:pStyle w:val="Default"/>
        <w:rPr>
          <w:sz w:val="22"/>
          <w:szCs w:val="22"/>
          <w:u w:val="single"/>
          <w:lang w:val="sk-SK"/>
        </w:rPr>
      </w:pPr>
      <w:r w:rsidRPr="003F71D2">
        <w:rPr>
          <w:sz w:val="22"/>
          <w:szCs w:val="22"/>
          <w:u w:val="single"/>
          <w:lang w:val="sk-SK"/>
        </w:rPr>
        <w:t xml:space="preserve">Pacienti liečení Zomikosom majú dostať písomnú informáciu a kartu na pripomenutie pre pacienta. </w:t>
      </w:r>
    </w:p>
    <w:p w14:paraId="2B6DE54B" w14:textId="77777777" w:rsidR="0043242E" w:rsidRPr="003F71D2" w:rsidRDefault="0043242E" w:rsidP="003F71D2">
      <w:pPr>
        <w:pStyle w:val="Default"/>
        <w:rPr>
          <w:sz w:val="22"/>
          <w:szCs w:val="22"/>
          <w:u w:val="single"/>
          <w:lang w:val="sk-SK"/>
        </w:rPr>
      </w:pPr>
    </w:p>
    <w:p w14:paraId="32024B3C" w14:textId="77777777" w:rsidR="00464751" w:rsidRPr="003F71D2" w:rsidRDefault="00DB3564" w:rsidP="003F71D2">
      <w:pPr>
        <w:pStyle w:val="Default"/>
        <w:rPr>
          <w:b/>
          <w:sz w:val="22"/>
          <w:szCs w:val="22"/>
          <w:u w:val="single"/>
          <w:lang w:val="sk-SK"/>
        </w:rPr>
      </w:pPr>
      <w:r w:rsidRPr="003F71D2">
        <w:rPr>
          <w:b/>
          <w:sz w:val="22"/>
          <w:szCs w:val="22"/>
          <w:u w:val="single"/>
          <w:lang w:val="sk-SK"/>
        </w:rPr>
        <w:t xml:space="preserve">Dávkovanie </w:t>
      </w:r>
    </w:p>
    <w:p w14:paraId="1D0D003C" w14:textId="77777777" w:rsidR="00464751" w:rsidRPr="003F71D2" w:rsidRDefault="00DB3564" w:rsidP="003F71D2">
      <w:pPr>
        <w:pStyle w:val="Default"/>
        <w:rPr>
          <w:sz w:val="22"/>
          <w:szCs w:val="22"/>
          <w:u w:val="single"/>
          <w:lang w:val="sk-SK"/>
        </w:rPr>
      </w:pPr>
      <w:r w:rsidRPr="003F71D2">
        <w:rPr>
          <w:iCs/>
          <w:sz w:val="22"/>
          <w:szCs w:val="22"/>
          <w:u w:val="single"/>
          <w:lang w:val="sk-SK"/>
        </w:rPr>
        <w:t xml:space="preserve">Prevencia príhod súvisiacich so skeletom u pacientov s postihnutím kostí pri pokročilých malignitách </w:t>
      </w:r>
    </w:p>
    <w:p w14:paraId="16CEC38F" w14:textId="576D219F" w:rsidR="00464751" w:rsidRPr="003F71D2" w:rsidRDefault="00DB3564" w:rsidP="003F71D2">
      <w:pPr>
        <w:pStyle w:val="Default"/>
        <w:rPr>
          <w:sz w:val="22"/>
          <w:szCs w:val="22"/>
          <w:lang w:val="sk-SK"/>
        </w:rPr>
      </w:pPr>
      <w:r w:rsidRPr="003F71D2">
        <w:rPr>
          <w:i/>
          <w:iCs/>
          <w:sz w:val="22"/>
          <w:szCs w:val="22"/>
          <w:lang w:val="sk-SK"/>
        </w:rPr>
        <w:t xml:space="preserve">Dospelí a starší pacienti </w:t>
      </w:r>
    </w:p>
    <w:p w14:paraId="1530FC8D" w14:textId="77777777" w:rsidR="00464751" w:rsidRPr="003F71D2" w:rsidRDefault="00DB3564" w:rsidP="003F71D2">
      <w:pPr>
        <w:pStyle w:val="Default"/>
        <w:rPr>
          <w:sz w:val="22"/>
          <w:szCs w:val="22"/>
          <w:lang w:val="sk-SK"/>
        </w:rPr>
      </w:pPr>
      <w:r w:rsidRPr="003F71D2">
        <w:rPr>
          <w:sz w:val="22"/>
          <w:szCs w:val="22"/>
          <w:lang w:val="sk-SK"/>
        </w:rPr>
        <w:t xml:space="preserve">Odporúčaná dávka pri prevencii príhod súvisiacich so skeletom u pacientov s postihnutím kostí pri pokročilých malignitách je 4 mg kyseliny zoledrónovej každé 3 až 4 týždne. </w:t>
      </w:r>
    </w:p>
    <w:p w14:paraId="13555829" w14:textId="77777777" w:rsidR="00464751" w:rsidRPr="003F71D2" w:rsidRDefault="00DB3564" w:rsidP="003F71D2">
      <w:pPr>
        <w:pStyle w:val="Default"/>
        <w:rPr>
          <w:sz w:val="22"/>
          <w:szCs w:val="22"/>
          <w:lang w:val="sk-SK"/>
        </w:rPr>
      </w:pPr>
      <w:r w:rsidRPr="003F71D2">
        <w:rPr>
          <w:sz w:val="22"/>
          <w:szCs w:val="22"/>
          <w:lang w:val="sk-SK"/>
        </w:rPr>
        <w:t xml:space="preserve">Pacientom sa má perorálne podávať aj doplnok 500 mg vápnika a 400 IU vitamínu D denne. </w:t>
      </w:r>
    </w:p>
    <w:p w14:paraId="4C23D371" w14:textId="77777777" w:rsidR="00464751" w:rsidRPr="003F71D2" w:rsidRDefault="00DB3564" w:rsidP="003F71D2">
      <w:pPr>
        <w:pStyle w:val="Default"/>
        <w:rPr>
          <w:sz w:val="22"/>
          <w:szCs w:val="22"/>
          <w:lang w:val="sk-SK"/>
        </w:rPr>
      </w:pPr>
      <w:r w:rsidRPr="003F71D2">
        <w:rPr>
          <w:sz w:val="22"/>
          <w:szCs w:val="22"/>
          <w:lang w:val="sk-SK"/>
        </w:rPr>
        <w:t xml:space="preserve">Pri rozhodovaní o liečbe na prevenciu príhod súvisiacich so skeletom u pacientov s metastázami v kostiach sa má vziať do úvahy, že účinok liečby sa prejaví za 2-3 mesiace. </w:t>
      </w:r>
    </w:p>
    <w:p w14:paraId="157378E2" w14:textId="77777777" w:rsidR="0043242E" w:rsidRPr="003F71D2" w:rsidRDefault="0043242E" w:rsidP="003F71D2">
      <w:pPr>
        <w:pStyle w:val="Default"/>
        <w:rPr>
          <w:i/>
          <w:iCs/>
          <w:sz w:val="22"/>
          <w:szCs w:val="22"/>
          <w:lang w:val="sk-SK"/>
        </w:rPr>
      </w:pPr>
    </w:p>
    <w:p w14:paraId="09F13FFC" w14:textId="77777777" w:rsidR="00464751" w:rsidRPr="003F71D2" w:rsidRDefault="00DB3564" w:rsidP="003F71D2">
      <w:pPr>
        <w:pStyle w:val="Default"/>
        <w:rPr>
          <w:sz w:val="22"/>
          <w:szCs w:val="22"/>
          <w:u w:val="single"/>
          <w:lang w:val="sk-SK"/>
        </w:rPr>
      </w:pPr>
      <w:r w:rsidRPr="003F71D2">
        <w:rPr>
          <w:iCs/>
          <w:sz w:val="22"/>
          <w:szCs w:val="22"/>
          <w:u w:val="single"/>
          <w:lang w:val="sk-SK"/>
        </w:rPr>
        <w:t xml:space="preserve">Liečba TIH </w:t>
      </w:r>
    </w:p>
    <w:p w14:paraId="07305DC6" w14:textId="77777777" w:rsidR="00464751" w:rsidRPr="003F71D2" w:rsidRDefault="00DB3564" w:rsidP="003F71D2">
      <w:pPr>
        <w:pStyle w:val="Default"/>
        <w:rPr>
          <w:sz w:val="22"/>
          <w:szCs w:val="22"/>
          <w:lang w:val="sk-SK"/>
        </w:rPr>
      </w:pPr>
      <w:r w:rsidRPr="003F71D2">
        <w:rPr>
          <w:i/>
          <w:iCs/>
          <w:sz w:val="22"/>
          <w:szCs w:val="22"/>
          <w:lang w:val="sk-SK"/>
        </w:rPr>
        <w:t xml:space="preserve">Dospelí a starší pacienti </w:t>
      </w:r>
    </w:p>
    <w:p w14:paraId="658A2362" w14:textId="77777777" w:rsidR="00464751" w:rsidRPr="003F71D2" w:rsidRDefault="00DB3564" w:rsidP="003F71D2">
      <w:pPr>
        <w:pStyle w:val="Default"/>
        <w:rPr>
          <w:sz w:val="22"/>
          <w:szCs w:val="22"/>
          <w:lang w:val="sk-SK"/>
        </w:rPr>
      </w:pPr>
      <w:r w:rsidRPr="003F71D2">
        <w:rPr>
          <w:sz w:val="22"/>
          <w:szCs w:val="22"/>
          <w:lang w:val="sk-SK"/>
        </w:rPr>
        <w:t xml:space="preserve">Odporúčaná dávka pri hyperkalciémii (vápnik v sére korigovaný podľa albumínu ≥ 12,0 mg/dl alebo 3,0 mmol/l) je jednorazová dávka 4 mg kyseliny zoledrónovej. </w:t>
      </w:r>
    </w:p>
    <w:p w14:paraId="7F7C581D" w14:textId="77777777" w:rsidR="00A64DE1" w:rsidRPr="003F71D2" w:rsidRDefault="00A64DE1" w:rsidP="003F71D2">
      <w:pPr>
        <w:pStyle w:val="Default"/>
        <w:rPr>
          <w:i/>
          <w:iCs/>
          <w:sz w:val="22"/>
          <w:szCs w:val="22"/>
          <w:lang w:val="sk-SK"/>
        </w:rPr>
      </w:pPr>
    </w:p>
    <w:p w14:paraId="604D57DB" w14:textId="25DB11F8" w:rsidR="00464751" w:rsidRPr="003F71D2" w:rsidRDefault="00DB3564" w:rsidP="003F71D2">
      <w:pPr>
        <w:pStyle w:val="Default"/>
        <w:rPr>
          <w:sz w:val="22"/>
          <w:szCs w:val="22"/>
          <w:u w:val="single"/>
          <w:lang w:val="sk-SK"/>
        </w:rPr>
      </w:pPr>
      <w:r w:rsidRPr="003F71D2">
        <w:rPr>
          <w:iCs/>
          <w:sz w:val="22"/>
          <w:szCs w:val="22"/>
          <w:u w:val="single"/>
          <w:lang w:val="sk-SK"/>
        </w:rPr>
        <w:t>P</w:t>
      </w:r>
      <w:r w:rsidR="00112A45" w:rsidRPr="003F71D2">
        <w:rPr>
          <w:iCs/>
          <w:sz w:val="22"/>
          <w:szCs w:val="22"/>
          <w:u w:val="single"/>
          <w:lang w:val="sk-SK"/>
        </w:rPr>
        <w:t>orucha</w:t>
      </w:r>
      <w:r w:rsidRPr="003F71D2">
        <w:rPr>
          <w:iCs/>
          <w:sz w:val="22"/>
          <w:szCs w:val="22"/>
          <w:u w:val="single"/>
          <w:lang w:val="sk-SK"/>
        </w:rPr>
        <w:t xml:space="preserve"> funkcie obličiek </w:t>
      </w:r>
    </w:p>
    <w:p w14:paraId="12304833" w14:textId="77777777" w:rsidR="00464751" w:rsidRPr="003F71D2" w:rsidRDefault="00DB3564" w:rsidP="003F71D2">
      <w:pPr>
        <w:pStyle w:val="Default"/>
        <w:rPr>
          <w:sz w:val="22"/>
          <w:szCs w:val="22"/>
          <w:lang w:val="sk-SK"/>
        </w:rPr>
      </w:pPr>
      <w:r w:rsidRPr="003F71D2">
        <w:rPr>
          <w:i/>
          <w:iCs/>
          <w:sz w:val="22"/>
          <w:szCs w:val="22"/>
          <w:lang w:val="sk-SK"/>
        </w:rPr>
        <w:t xml:space="preserve">TIH: </w:t>
      </w:r>
    </w:p>
    <w:p w14:paraId="63ED716F" w14:textId="47D2EA7A" w:rsidR="00323324" w:rsidRPr="003F71D2" w:rsidRDefault="00DB3564" w:rsidP="003F71D2">
      <w:pPr>
        <w:pStyle w:val="Default"/>
        <w:rPr>
          <w:sz w:val="22"/>
          <w:szCs w:val="22"/>
          <w:lang w:val="sk-SK"/>
        </w:rPr>
      </w:pPr>
      <w:r w:rsidRPr="003F71D2">
        <w:rPr>
          <w:sz w:val="22"/>
          <w:szCs w:val="22"/>
          <w:lang w:val="sk-SK"/>
        </w:rPr>
        <w:t xml:space="preserve">O liečbe Zomikosom u pacientov s TIH, ktorí majú aj </w:t>
      </w:r>
      <w:r w:rsidR="00B8045C" w:rsidRPr="003F71D2">
        <w:rPr>
          <w:sz w:val="22"/>
          <w:szCs w:val="22"/>
          <w:lang w:val="sk-SK"/>
        </w:rPr>
        <w:t>záva</w:t>
      </w:r>
      <w:r w:rsidR="00C05AEA" w:rsidRPr="003F71D2">
        <w:rPr>
          <w:sz w:val="22"/>
          <w:szCs w:val="22"/>
          <w:lang w:val="sk-SK"/>
        </w:rPr>
        <w:t>žnú</w:t>
      </w:r>
      <w:r w:rsidRPr="003F71D2">
        <w:rPr>
          <w:sz w:val="22"/>
          <w:szCs w:val="22"/>
          <w:lang w:val="sk-SK"/>
        </w:rPr>
        <w:t xml:space="preserve"> po</w:t>
      </w:r>
      <w:r w:rsidR="00C05AEA" w:rsidRPr="003F71D2">
        <w:rPr>
          <w:sz w:val="22"/>
          <w:szCs w:val="22"/>
          <w:lang w:val="sk-SK"/>
        </w:rPr>
        <w:t>ruchu</w:t>
      </w:r>
      <w:r w:rsidRPr="003F71D2">
        <w:rPr>
          <w:sz w:val="22"/>
          <w:szCs w:val="22"/>
          <w:lang w:val="sk-SK"/>
        </w:rPr>
        <w:t xml:space="preserve"> funkcie obličiek, sa m</w:t>
      </w:r>
      <w:r w:rsidR="00C05AEA" w:rsidRPr="003F71D2">
        <w:rPr>
          <w:sz w:val="22"/>
          <w:szCs w:val="22"/>
          <w:lang w:val="sk-SK"/>
        </w:rPr>
        <w:t>usí</w:t>
      </w:r>
      <w:r w:rsidRPr="003F71D2">
        <w:rPr>
          <w:sz w:val="22"/>
          <w:szCs w:val="22"/>
          <w:lang w:val="sk-SK"/>
        </w:rPr>
        <w:t xml:space="preserve"> uvažovať len po vyhodnotení rizík a prospešnosti liečby. Z klinických skúšaní boli vylúčení pacienti s kreatinínom v sére &gt; 400 μmol/l alebo &gt; 4,5 mg/dl. Nie je potrebné upraviť dávku u pacientov s TIH s kreatinínom v sére &lt; 400 μmol/l alebo &lt; 4,5 mg/dl (pozri časť 4.4). </w:t>
      </w:r>
    </w:p>
    <w:p w14:paraId="1C690E57" w14:textId="77777777" w:rsidR="00305BD5" w:rsidRPr="003F71D2" w:rsidRDefault="00305BD5" w:rsidP="00C63330">
      <w:pPr>
        <w:pStyle w:val="Default"/>
        <w:rPr>
          <w:lang w:val="sk-SK"/>
        </w:rPr>
      </w:pPr>
    </w:p>
    <w:p w14:paraId="0557D076" w14:textId="77777777" w:rsidR="00A60156" w:rsidRPr="003F71D2" w:rsidRDefault="00DB3564" w:rsidP="003F71D2">
      <w:pPr>
        <w:pStyle w:val="Default"/>
        <w:rPr>
          <w:sz w:val="22"/>
          <w:szCs w:val="22"/>
          <w:lang w:val="sk-SK"/>
        </w:rPr>
      </w:pPr>
      <w:r w:rsidRPr="003F71D2">
        <w:rPr>
          <w:i/>
          <w:iCs/>
          <w:sz w:val="22"/>
          <w:szCs w:val="22"/>
          <w:lang w:val="sk-SK"/>
        </w:rPr>
        <w:t xml:space="preserve">Prevencia príhod súvisiacich so skeletom u pacientov s postihnutím kostí pri pokročilých malignitách: </w:t>
      </w:r>
    </w:p>
    <w:p w14:paraId="14E502D5" w14:textId="1E479DC3" w:rsidR="00A60156" w:rsidRPr="003F71D2" w:rsidRDefault="00DB3564" w:rsidP="003F71D2">
      <w:pPr>
        <w:pStyle w:val="Default"/>
        <w:rPr>
          <w:sz w:val="22"/>
          <w:szCs w:val="22"/>
          <w:lang w:val="sk-SK"/>
        </w:rPr>
      </w:pPr>
      <w:r w:rsidRPr="003F71D2">
        <w:rPr>
          <w:sz w:val="22"/>
          <w:szCs w:val="22"/>
          <w:lang w:val="sk-SK"/>
        </w:rPr>
        <w:t xml:space="preserve">Pri začatí liečby Zomikosom u pacientov s mnohopočetným myelómom alebo metastatickými léziami kostí pri solídnych nádoroch sa majú stanoviť kreatinín v sére a CLcr. </w:t>
      </w:r>
      <w:r w:rsidR="00E57384" w:rsidRPr="003F71D2">
        <w:rPr>
          <w:sz w:val="22"/>
          <w:szCs w:val="22"/>
          <w:lang w:val="sk-SK"/>
        </w:rPr>
        <w:t xml:space="preserve">CLcr </w:t>
      </w:r>
      <w:r w:rsidRPr="003F71D2">
        <w:rPr>
          <w:sz w:val="22"/>
          <w:szCs w:val="22"/>
          <w:lang w:val="sk-SK"/>
        </w:rPr>
        <w:t xml:space="preserve">sa vypočíta zo sérového kreatinínu pomocou Cockcroftovho-Gaultovho vzorca. Použitie Zomikosu sa neodporúča u pacientov, ktorí majú pred začatím liečby </w:t>
      </w:r>
      <w:r w:rsidR="00C05AEA" w:rsidRPr="003F71D2">
        <w:rPr>
          <w:sz w:val="22"/>
          <w:szCs w:val="22"/>
          <w:lang w:val="sk-SK"/>
        </w:rPr>
        <w:t>závažnú</w:t>
      </w:r>
      <w:r w:rsidRPr="003F71D2">
        <w:rPr>
          <w:sz w:val="22"/>
          <w:szCs w:val="22"/>
          <w:lang w:val="sk-SK"/>
        </w:rPr>
        <w:t xml:space="preserve"> po</w:t>
      </w:r>
      <w:r w:rsidR="00C05AEA" w:rsidRPr="003F71D2">
        <w:rPr>
          <w:sz w:val="22"/>
          <w:szCs w:val="22"/>
          <w:lang w:val="sk-SK"/>
        </w:rPr>
        <w:t>ruchu</w:t>
      </w:r>
      <w:r w:rsidRPr="003F71D2">
        <w:rPr>
          <w:sz w:val="22"/>
          <w:szCs w:val="22"/>
          <w:lang w:val="sk-SK"/>
        </w:rPr>
        <w:t xml:space="preserve"> funkcie obličiek, definované u tejto skupiny pacientov ako CLcr &lt; 30 ml/min. Z klinických skúšaní Zomikosu boli vylúčení pacienti s kreatinínom v sére &gt; 265 μmol/l alebo &gt; 3,0 mg/dl. </w:t>
      </w:r>
    </w:p>
    <w:p w14:paraId="10ACCBEB" w14:textId="3E031829" w:rsidR="00A60156" w:rsidRPr="003F71D2" w:rsidRDefault="00DB3564" w:rsidP="003F71D2">
      <w:pPr>
        <w:pStyle w:val="Default"/>
        <w:rPr>
          <w:sz w:val="22"/>
          <w:szCs w:val="22"/>
          <w:lang w:val="sk-SK"/>
        </w:rPr>
      </w:pPr>
      <w:r w:rsidRPr="003F71D2">
        <w:rPr>
          <w:sz w:val="22"/>
          <w:szCs w:val="22"/>
          <w:lang w:val="sk-SK"/>
        </w:rPr>
        <w:t xml:space="preserve">U pacientov s metastázami v kostiach, ktorí majú pred začatím liečby mierne až stredne </w:t>
      </w:r>
      <w:r w:rsidR="00CC254A" w:rsidRPr="003F71D2">
        <w:rPr>
          <w:sz w:val="22"/>
          <w:szCs w:val="22"/>
          <w:lang w:val="sk-SK"/>
        </w:rPr>
        <w:t>závažnú</w:t>
      </w:r>
      <w:r w:rsidRPr="003F71D2">
        <w:rPr>
          <w:sz w:val="22"/>
          <w:szCs w:val="22"/>
          <w:lang w:val="sk-SK"/>
        </w:rPr>
        <w:t xml:space="preserve"> </w:t>
      </w:r>
      <w:r w:rsidR="00CC254A" w:rsidRPr="003F71D2">
        <w:rPr>
          <w:sz w:val="22"/>
          <w:szCs w:val="22"/>
          <w:lang w:val="sk-SK"/>
        </w:rPr>
        <w:t>poruchu</w:t>
      </w:r>
      <w:r w:rsidR="00B8045C" w:rsidRPr="003F71D2">
        <w:rPr>
          <w:sz w:val="22"/>
          <w:szCs w:val="22"/>
          <w:lang w:val="sk-SK"/>
        </w:rPr>
        <w:t xml:space="preserve"> </w:t>
      </w:r>
      <w:r w:rsidRPr="003F71D2">
        <w:rPr>
          <w:sz w:val="22"/>
          <w:szCs w:val="22"/>
          <w:lang w:val="sk-SK"/>
        </w:rPr>
        <w:t xml:space="preserve">funkcie obličiek, definované u tejto skupiny pacientov ako CLcr 30–60 ml/min, sa odporúča nasledujúca dávka Zomikosu(pozri aj časť 4.4): </w:t>
      </w:r>
    </w:p>
    <w:p w14:paraId="5017A3ED" w14:textId="77777777" w:rsidR="00A60156" w:rsidRPr="003F71D2" w:rsidRDefault="00A60156" w:rsidP="003F71D2">
      <w:pPr>
        <w:pStyle w:val="Default"/>
        <w:rPr>
          <w:sz w:val="22"/>
          <w:szCs w:val="22"/>
          <w:lang w:val="sk-SK"/>
        </w:rPr>
      </w:pPr>
    </w:p>
    <w:tbl>
      <w:tblPr>
        <w:tblW w:w="0" w:type="auto"/>
        <w:tblBorders>
          <w:top w:val="nil"/>
          <w:left w:val="nil"/>
          <w:bottom w:val="nil"/>
          <w:right w:val="nil"/>
        </w:tblBorders>
        <w:tblLook w:val="0000" w:firstRow="0" w:lastRow="0" w:firstColumn="0" w:lastColumn="0" w:noHBand="0" w:noVBand="0"/>
      </w:tblPr>
      <w:tblGrid>
        <w:gridCol w:w="4159"/>
        <w:gridCol w:w="3853"/>
      </w:tblGrid>
      <w:tr w:rsidR="00A60156" w:rsidRPr="003F71D2" w14:paraId="08A354D3" w14:textId="77777777">
        <w:trPr>
          <w:trHeight w:val="196"/>
        </w:trPr>
        <w:tc>
          <w:tcPr>
            <w:tcW w:w="0" w:type="auto"/>
          </w:tcPr>
          <w:p w14:paraId="35F8A5B9" w14:textId="77777777" w:rsidR="00A60156" w:rsidRPr="00C63330" w:rsidRDefault="00DB3564" w:rsidP="003F71D2">
            <w:pPr>
              <w:pStyle w:val="Default"/>
              <w:rPr>
                <w:sz w:val="22"/>
                <w:szCs w:val="22"/>
                <w:u w:val="single"/>
                <w:lang w:val="sk-SK"/>
              </w:rPr>
            </w:pPr>
            <w:r w:rsidRPr="00C63330">
              <w:rPr>
                <w:b/>
                <w:bCs/>
                <w:sz w:val="22"/>
                <w:szCs w:val="22"/>
                <w:u w:val="single"/>
                <w:lang w:val="sk-SK"/>
              </w:rPr>
              <w:t xml:space="preserve">Východiskový klírens kreatinínu (ml/min) </w:t>
            </w:r>
          </w:p>
        </w:tc>
        <w:tc>
          <w:tcPr>
            <w:tcW w:w="0" w:type="auto"/>
          </w:tcPr>
          <w:p w14:paraId="1EFA6FE5" w14:textId="7821CA65" w:rsidR="00A60156" w:rsidRPr="00C63330" w:rsidRDefault="00E57384" w:rsidP="003F71D2">
            <w:pPr>
              <w:pStyle w:val="Default"/>
              <w:rPr>
                <w:sz w:val="22"/>
                <w:szCs w:val="22"/>
                <w:u w:val="single"/>
                <w:lang w:val="sk-SK"/>
              </w:rPr>
            </w:pPr>
            <w:r w:rsidRPr="00225179">
              <w:rPr>
                <w:b/>
                <w:bCs/>
                <w:sz w:val="22"/>
                <w:szCs w:val="22"/>
                <w:lang w:val="sk-SK"/>
              </w:rPr>
              <w:t xml:space="preserve">             </w:t>
            </w:r>
            <w:r w:rsidR="00DB3564" w:rsidRPr="00C63330">
              <w:rPr>
                <w:b/>
                <w:bCs/>
                <w:sz w:val="22"/>
                <w:szCs w:val="22"/>
                <w:u w:val="single"/>
                <w:lang w:val="sk-SK"/>
              </w:rPr>
              <w:t xml:space="preserve">Odporúčaná dávka Zomikosu* </w:t>
            </w:r>
          </w:p>
        </w:tc>
      </w:tr>
      <w:tr w:rsidR="00496277" w:rsidRPr="003F71D2" w14:paraId="6678A24F" w14:textId="77777777">
        <w:trPr>
          <w:trHeight w:val="196"/>
        </w:trPr>
        <w:tc>
          <w:tcPr>
            <w:tcW w:w="0" w:type="auto"/>
          </w:tcPr>
          <w:p w14:paraId="7CF9D1B4" w14:textId="77777777" w:rsidR="00496277" w:rsidRPr="00C63330" w:rsidRDefault="00496277" w:rsidP="003F71D2">
            <w:pPr>
              <w:pStyle w:val="Default"/>
              <w:rPr>
                <w:b/>
                <w:bCs/>
                <w:sz w:val="22"/>
                <w:szCs w:val="22"/>
                <w:u w:val="single"/>
                <w:lang w:val="sk-SK"/>
              </w:rPr>
            </w:pPr>
          </w:p>
        </w:tc>
        <w:tc>
          <w:tcPr>
            <w:tcW w:w="0" w:type="auto"/>
          </w:tcPr>
          <w:p w14:paraId="16EEE94B" w14:textId="77777777" w:rsidR="00496277" w:rsidRPr="00C63330" w:rsidRDefault="00496277" w:rsidP="003F71D2">
            <w:pPr>
              <w:pStyle w:val="Default"/>
              <w:rPr>
                <w:b/>
                <w:bCs/>
                <w:sz w:val="22"/>
                <w:szCs w:val="22"/>
                <w:u w:val="single"/>
                <w:lang w:val="sk-SK"/>
              </w:rPr>
            </w:pPr>
          </w:p>
        </w:tc>
      </w:tr>
      <w:tr w:rsidR="00A60156" w:rsidRPr="003F71D2" w14:paraId="49105247" w14:textId="77777777">
        <w:trPr>
          <w:trHeight w:val="200"/>
        </w:trPr>
        <w:tc>
          <w:tcPr>
            <w:tcW w:w="0" w:type="auto"/>
          </w:tcPr>
          <w:p w14:paraId="3CF79627" w14:textId="211AC08D" w:rsidR="00A60156" w:rsidRPr="003F71D2" w:rsidRDefault="00DB3564" w:rsidP="00C63330">
            <w:pPr>
              <w:pStyle w:val="Default"/>
              <w:jc w:val="center"/>
              <w:rPr>
                <w:sz w:val="22"/>
                <w:szCs w:val="22"/>
                <w:lang w:val="sk-SK"/>
              </w:rPr>
            </w:pPr>
            <w:r w:rsidRPr="003F71D2">
              <w:rPr>
                <w:sz w:val="22"/>
                <w:szCs w:val="22"/>
                <w:lang w:val="sk-SK"/>
              </w:rPr>
              <w:t>&gt; 60</w:t>
            </w:r>
          </w:p>
        </w:tc>
        <w:tc>
          <w:tcPr>
            <w:tcW w:w="0" w:type="auto"/>
          </w:tcPr>
          <w:p w14:paraId="01482DC3" w14:textId="40A708FA" w:rsidR="00A60156" w:rsidRPr="003F71D2" w:rsidRDefault="00DB3564" w:rsidP="00C63330">
            <w:pPr>
              <w:pStyle w:val="Default"/>
              <w:jc w:val="center"/>
              <w:rPr>
                <w:sz w:val="22"/>
                <w:szCs w:val="22"/>
                <w:lang w:val="sk-SK"/>
              </w:rPr>
            </w:pPr>
            <w:r w:rsidRPr="003F71D2">
              <w:rPr>
                <w:sz w:val="22"/>
                <w:szCs w:val="22"/>
                <w:lang w:val="sk-SK"/>
              </w:rPr>
              <w:t>4,0 mg</w:t>
            </w:r>
          </w:p>
        </w:tc>
      </w:tr>
      <w:tr w:rsidR="00A60156" w:rsidRPr="003F71D2" w14:paraId="23B2DD7A" w14:textId="77777777">
        <w:trPr>
          <w:trHeight w:val="200"/>
        </w:trPr>
        <w:tc>
          <w:tcPr>
            <w:tcW w:w="0" w:type="auto"/>
          </w:tcPr>
          <w:p w14:paraId="12314FBB" w14:textId="1A59B765" w:rsidR="00A60156" w:rsidRPr="003F71D2" w:rsidRDefault="00DB3564" w:rsidP="00C63330">
            <w:pPr>
              <w:pStyle w:val="Default"/>
              <w:jc w:val="center"/>
              <w:rPr>
                <w:sz w:val="22"/>
                <w:szCs w:val="22"/>
                <w:lang w:val="sk-SK"/>
              </w:rPr>
            </w:pPr>
            <w:r w:rsidRPr="003F71D2">
              <w:rPr>
                <w:sz w:val="22"/>
                <w:szCs w:val="22"/>
                <w:lang w:val="sk-SK"/>
              </w:rPr>
              <w:t>50–60</w:t>
            </w:r>
          </w:p>
        </w:tc>
        <w:tc>
          <w:tcPr>
            <w:tcW w:w="0" w:type="auto"/>
          </w:tcPr>
          <w:p w14:paraId="08CC6106" w14:textId="63103DAD" w:rsidR="00A60156" w:rsidRPr="003F71D2" w:rsidRDefault="00DB3564" w:rsidP="00C63330">
            <w:pPr>
              <w:pStyle w:val="Default"/>
              <w:jc w:val="center"/>
              <w:rPr>
                <w:sz w:val="22"/>
                <w:szCs w:val="22"/>
                <w:lang w:val="sk-SK"/>
              </w:rPr>
            </w:pPr>
            <w:r w:rsidRPr="003F71D2">
              <w:rPr>
                <w:sz w:val="22"/>
                <w:szCs w:val="22"/>
                <w:lang w:val="sk-SK"/>
              </w:rPr>
              <w:t>3,5 mg*</w:t>
            </w:r>
          </w:p>
        </w:tc>
      </w:tr>
      <w:tr w:rsidR="00A60156" w:rsidRPr="003F71D2" w14:paraId="38F72F55" w14:textId="77777777">
        <w:trPr>
          <w:trHeight w:val="200"/>
        </w:trPr>
        <w:tc>
          <w:tcPr>
            <w:tcW w:w="0" w:type="auto"/>
          </w:tcPr>
          <w:p w14:paraId="1FE750F0" w14:textId="7EDD4CD1" w:rsidR="00A60156" w:rsidRPr="003F71D2" w:rsidRDefault="00DB3564" w:rsidP="00C63330">
            <w:pPr>
              <w:pStyle w:val="Default"/>
              <w:jc w:val="center"/>
              <w:rPr>
                <w:sz w:val="22"/>
                <w:szCs w:val="22"/>
                <w:lang w:val="sk-SK"/>
              </w:rPr>
            </w:pPr>
            <w:r w:rsidRPr="003F71D2">
              <w:rPr>
                <w:sz w:val="22"/>
                <w:szCs w:val="22"/>
                <w:lang w:val="sk-SK"/>
              </w:rPr>
              <w:t>40–49</w:t>
            </w:r>
          </w:p>
        </w:tc>
        <w:tc>
          <w:tcPr>
            <w:tcW w:w="0" w:type="auto"/>
          </w:tcPr>
          <w:p w14:paraId="0818C2D6" w14:textId="011B1468" w:rsidR="00A60156" w:rsidRPr="003F71D2" w:rsidRDefault="00DB3564" w:rsidP="00C63330">
            <w:pPr>
              <w:pStyle w:val="Default"/>
              <w:jc w:val="center"/>
              <w:rPr>
                <w:sz w:val="22"/>
                <w:szCs w:val="22"/>
                <w:lang w:val="sk-SK"/>
              </w:rPr>
            </w:pPr>
            <w:r w:rsidRPr="003F71D2">
              <w:rPr>
                <w:sz w:val="22"/>
                <w:szCs w:val="22"/>
                <w:lang w:val="sk-SK"/>
              </w:rPr>
              <w:t>3,3 mg*</w:t>
            </w:r>
          </w:p>
        </w:tc>
      </w:tr>
      <w:tr w:rsidR="00A60156" w:rsidRPr="003F71D2" w14:paraId="1C5ACCC9" w14:textId="77777777">
        <w:trPr>
          <w:trHeight w:val="200"/>
        </w:trPr>
        <w:tc>
          <w:tcPr>
            <w:tcW w:w="0" w:type="auto"/>
          </w:tcPr>
          <w:p w14:paraId="7DDFB46E" w14:textId="0AD8F7CC" w:rsidR="00A60156" w:rsidRPr="003F71D2" w:rsidRDefault="00DB3564" w:rsidP="00C63330">
            <w:pPr>
              <w:pStyle w:val="Default"/>
              <w:jc w:val="center"/>
              <w:rPr>
                <w:sz w:val="22"/>
                <w:szCs w:val="22"/>
                <w:lang w:val="sk-SK"/>
              </w:rPr>
            </w:pPr>
            <w:r w:rsidRPr="003F71D2">
              <w:rPr>
                <w:sz w:val="22"/>
                <w:szCs w:val="22"/>
                <w:lang w:val="sk-SK"/>
              </w:rPr>
              <w:t>30–39</w:t>
            </w:r>
          </w:p>
        </w:tc>
        <w:tc>
          <w:tcPr>
            <w:tcW w:w="0" w:type="auto"/>
          </w:tcPr>
          <w:p w14:paraId="0A19D707" w14:textId="06EA853E" w:rsidR="00A60156" w:rsidRPr="003F71D2" w:rsidRDefault="00DB3564" w:rsidP="00C63330">
            <w:pPr>
              <w:pStyle w:val="Default"/>
              <w:jc w:val="center"/>
              <w:rPr>
                <w:sz w:val="22"/>
                <w:szCs w:val="22"/>
                <w:lang w:val="sk-SK"/>
              </w:rPr>
            </w:pPr>
            <w:r w:rsidRPr="003F71D2">
              <w:rPr>
                <w:sz w:val="22"/>
                <w:szCs w:val="22"/>
                <w:lang w:val="sk-SK"/>
              </w:rPr>
              <w:t>3,0 mg*</w:t>
            </w:r>
          </w:p>
        </w:tc>
      </w:tr>
    </w:tbl>
    <w:p w14:paraId="626EF90F" w14:textId="77777777" w:rsidR="00A60156" w:rsidRPr="003F71D2" w:rsidRDefault="00A60156" w:rsidP="003F71D2">
      <w:pPr>
        <w:pStyle w:val="Default"/>
        <w:rPr>
          <w:color w:val="auto"/>
          <w:sz w:val="22"/>
          <w:szCs w:val="22"/>
          <w:lang w:val="sk-SK"/>
        </w:rPr>
      </w:pPr>
    </w:p>
    <w:p w14:paraId="56559D93" w14:textId="17C2B131" w:rsidR="00496277" w:rsidRPr="003F71D2" w:rsidRDefault="00DB3564" w:rsidP="003F71D2">
      <w:pPr>
        <w:pStyle w:val="Default"/>
        <w:rPr>
          <w:sz w:val="22"/>
          <w:szCs w:val="22"/>
          <w:lang w:val="sk-SK"/>
        </w:rPr>
      </w:pPr>
      <w:r w:rsidRPr="003F71D2">
        <w:rPr>
          <w:b/>
          <w:bCs/>
          <w:sz w:val="22"/>
          <w:szCs w:val="22"/>
          <w:lang w:val="sk-SK"/>
        </w:rPr>
        <w:t>*</w:t>
      </w:r>
      <w:r w:rsidRPr="003F71D2">
        <w:rPr>
          <w:sz w:val="22"/>
          <w:szCs w:val="22"/>
          <w:lang w:val="sk-SK"/>
        </w:rPr>
        <w:t>Dávky sa vypočítali za predpokladu cieľovej AUC 0,66 (mg</w:t>
      </w:r>
      <w:r w:rsidR="00100356" w:rsidRPr="003F71D2">
        <w:rPr>
          <w:sz w:val="22"/>
          <w:szCs w:val="22"/>
          <w:lang w:val="sk-SK"/>
        </w:rPr>
        <w:t>.</w:t>
      </w:r>
      <w:r w:rsidRPr="003F71D2">
        <w:rPr>
          <w:sz w:val="22"/>
          <w:szCs w:val="22"/>
          <w:lang w:val="sk-SK"/>
        </w:rPr>
        <w:t xml:space="preserve">hod/l) (CLcr=75 ml/min). </w:t>
      </w:r>
    </w:p>
    <w:p w14:paraId="2D8AE42C" w14:textId="77777777" w:rsidR="00496277" w:rsidRPr="003F71D2" w:rsidRDefault="00496277" w:rsidP="003F71D2">
      <w:pPr>
        <w:pStyle w:val="Default"/>
        <w:rPr>
          <w:sz w:val="22"/>
          <w:szCs w:val="22"/>
          <w:lang w:val="sk-SK"/>
        </w:rPr>
      </w:pPr>
    </w:p>
    <w:p w14:paraId="67A40F90" w14:textId="77777777" w:rsidR="00323324" w:rsidRDefault="00DB3564" w:rsidP="003F71D2">
      <w:pPr>
        <w:pStyle w:val="Default"/>
        <w:rPr>
          <w:sz w:val="22"/>
          <w:szCs w:val="22"/>
          <w:lang w:val="sk-SK"/>
        </w:rPr>
      </w:pPr>
      <w:r w:rsidRPr="003F71D2">
        <w:rPr>
          <w:sz w:val="22"/>
          <w:szCs w:val="22"/>
          <w:lang w:val="sk-SK"/>
        </w:rPr>
        <w:t>Očakáva sa, že zníženými dávkami sa u pacientov s po</w:t>
      </w:r>
      <w:r w:rsidR="00B8045C" w:rsidRPr="003F71D2">
        <w:rPr>
          <w:sz w:val="22"/>
          <w:szCs w:val="22"/>
          <w:lang w:val="sk-SK"/>
        </w:rPr>
        <w:t>ruchou</w:t>
      </w:r>
      <w:r w:rsidRPr="003F71D2">
        <w:rPr>
          <w:sz w:val="22"/>
          <w:szCs w:val="22"/>
          <w:lang w:val="sk-SK"/>
        </w:rPr>
        <w:t xml:space="preserve"> funkcie obličiek dosiahne rovnaká AUC, aká sa pozoruje u pacientov s klírensom kreatinínu 75 ml/min.</w:t>
      </w:r>
    </w:p>
    <w:p w14:paraId="446048AC" w14:textId="272593CE" w:rsidR="00A60156" w:rsidRPr="003F71D2" w:rsidRDefault="00DB3564" w:rsidP="003F71D2">
      <w:pPr>
        <w:pStyle w:val="Default"/>
        <w:rPr>
          <w:sz w:val="22"/>
          <w:szCs w:val="22"/>
          <w:lang w:val="sk-SK"/>
        </w:rPr>
      </w:pPr>
      <w:r w:rsidRPr="003F71D2">
        <w:rPr>
          <w:sz w:val="22"/>
          <w:szCs w:val="22"/>
          <w:lang w:val="sk-SK"/>
        </w:rPr>
        <w:t xml:space="preserve"> </w:t>
      </w:r>
    </w:p>
    <w:p w14:paraId="3CD0BC69" w14:textId="60883693" w:rsidR="00A60156" w:rsidRPr="003F71D2" w:rsidRDefault="00DB3564" w:rsidP="003F71D2">
      <w:pPr>
        <w:pStyle w:val="Default"/>
        <w:rPr>
          <w:sz w:val="22"/>
          <w:szCs w:val="22"/>
          <w:lang w:val="sk-SK"/>
        </w:rPr>
      </w:pPr>
      <w:r w:rsidRPr="003F71D2">
        <w:rPr>
          <w:sz w:val="22"/>
          <w:szCs w:val="22"/>
          <w:lang w:val="sk-SK"/>
        </w:rPr>
        <w:t>Po začatí liečby sa má stanoviť kreatinín v sére pred každou dávkou Zomikosu a liek sa ne</w:t>
      </w:r>
      <w:r w:rsidR="003647B2" w:rsidRPr="003F71D2">
        <w:rPr>
          <w:sz w:val="22"/>
          <w:szCs w:val="22"/>
          <w:lang w:val="sk-SK"/>
        </w:rPr>
        <w:t>smie</w:t>
      </w:r>
      <w:r w:rsidRPr="003F71D2">
        <w:rPr>
          <w:sz w:val="22"/>
          <w:szCs w:val="22"/>
          <w:lang w:val="sk-SK"/>
        </w:rPr>
        <w:t xml:space="preserve"> podať, ak sa zhoršila funkcia obličiek. V klinických skúšaniach sa zhoršenie funkcie obličiek definovalo ako: </w:t>
      </w:r>
    </w:p>
    <w:p w14:paraId="2ED8DE63" w14:textId="3C7C0281" w:rsidR="00A60156" w:rsidRPr="003F71D2" w:rsidRDefault="00DB3564" w:rsidP="003F71D2">
      <w:pPr>
        <w:pStyle w:val="Default"/>
        <w:numPr>
          <w:ilvl w:val="0"/>
          <w:numId w:val="3"/>
        </w:numPr>
        <w:rPr>
          <w:sz w:val="22"/>
          <w:szCs w:val="22"/>
          <w:lang w:val="sk-SK"/>
        </w:rPr>
      </w:pPr>
      <w:r w:rsidRPr="003F71D2">
        <w:rPr>
          <w:sz w:val="22"/>
          <w:szCs w:val="22"/>
          <w:lang w:val="sk-SK"/>
        </w:rPr>
        <w:t>-</w:t>
      </w:r>
      <w:r w:rsidR="00323324">
        <w:rPr>
          <w:sz w:val="22"/>
          <w:szCs w:val="22"/>
          <w:lang w:val="sk-SK"/>
        </w:rPr>
        <w:t xml:space="preserve">    </w:t>
      </w:r>
      <w:r w:rsidRPr="003F71D2">
        <w:rPr>
          <w:sz w:val="22"/>
          <w:szCs w:val="22"/>
          <w:lang w:val="sk-SK"/>
        </w:rPr>
        <w:t xml:space="preserve">Zvýšenie o 0,5 mg/dl alebo 44 μmol/l u pacientov s normálnou východiskovou hodnotou kreatinínu v sére (&lt; 1,4 mg/dl alebo &lt; 124 μmol/l); </w:t>
      </w:r>
    </w:p>
    <w:p w14:paraId="50D8586D" w14:textId="6BC24E07" w:rsidR="00A60156" w:rsidRPr="003F71D2" w:rsidRDefault="00DB3564" w:rsidP="003F71D2">
      <w:pPr>
        <w:pStyle w:val="Default"/>
        <w:numPr>
          <w:ilvl w:val="0"/>
          <w:numId w:val="3"/>
        </w:numPr>
        <w:rPr>
          <w:sz w:val="22"/>
          <w:szCs w:val="22"/>
          <w:lang w:val="sk-SK"/>
        </w:rPr>
      </w:pPr>
      <w:r w:rsidRPr="003F71D2">
        <w:rPr>
          <w:sz w:val="22"/>
          <w:szCs w:val="22"/>
          <w:lang w:val="sk-SK"/>
        </w:rPr>
        <w:t xml:space="preserve">- </w:t>
      </w:r>
      <w:r w:rsidR="00323324">
        <w:rPr>
          <w:sz w:val="22"/>
          <w:szCs w:val="22"/>
          <w:lang w:val="sk-SK"/>
        </w:rPr>
        <w:t xml:space="preserve">   </w:t>
      </w:r>
      <w:r w:rsidRPr="003F71D2">
        <w:rPr>
          <w:sz w:val="22"/>
          <w:szCs w:val="22"/>
          <w:lang w:val="sk-SK"/>
        </w:rPr>
        <w:t xml:space="preserve">Zvýšenie o 1,0 mg/dl alebo 88 μmol/l u pacientov s abnormálnou východiskovou hodnotou kreatinínu (&gt; 1,4 mg/dl alebo &gt; 124 μmol/l). </w:t>
      </w:r>
    </w:p>
    <w:p w14:paraId="16C52CFC" w14:textId="77777777" w:rsidR="00A60156" w:rsidRPr="003F71D2" w:rsidRDefault="00A60156" w:rsidP="003F71D2">
      <w:pPr>
        <w:pStyle w:val="Default"/>
        <w:rPr>
          <w:sz w:val="22"/>
          <w:szCs w:val="22"/>
          <w:lang w:val="sk-SK"/>
        </w:rPr>
      </w:pPr>
    </w:p>
    <w:p w14:paraId="14FB5E77" w14:textId="7C78DF55" w:rsidR="001F5967" w:rsidRPr="003F71D2" w:rsidRDefault="00DB3564" w:rsidP="003F71D2">
      <w:pPr>
        <w:pStyle w:val="Default"/>
        <w:rPr>
          <w:sz w:val="22"/>
          <w:szCs w:val="22"/>
          <w:lang w:val="sk-SK"/>
        </w:rPr>
      </w:pPr>
      <w:r w:rsidRPr="003F71D2">
        <w:rPr>
          <w:sz w:val="22"/>
          <w:szCs w:val="22"/>
          <w:lang w:val="sk-SK"/>
        </w:rPr>
        <w:t xml:space="preserve">V klinických skúšaniach sa pokračovalo v liečbe Zomikosom, len ak sa hladina kreatinínu vrátila do rozmedzia 10 % nad východiskovou hodnotou (pozri časť 4.4). V liečbe Zomikosom sa má pokračovať s rovnakou dávkou, aká sa podávala pred prerušením liečby. </w:t>
      </w:r>
    </w:p>
    <w:p w14:paraId="1AA5D272" w14:textId="77777777" w:rsidR="00C27390" w:rsidRPr="003F71D2" w:rsidRDefault="00C27390" w:rsidP="00C63330">
      <w:pPr>
        <w:pStyle w:val="Default"/>
        <w:rPr>
          <w:lang w:val="sk-SK"/>
        </w:rPr>
      </w:pPr>
    </w:p>
    <w:p w14:paraId="66870EC4" w14:textId="77777777" w:rsidR="00A60156" w:rsidRPr="003F71D2" w:rsidRDefault="00D84ABC" w:rsidP="003F71D2">
      <w:pPr>
        <w:pStyle w:val="Default"/>
        <w:rPr>
          <w:sz w:val="22"/>
          <w:szCs w:val="22"/>
          <w:lang w:val="sk-SK"/>
        </w:rPr>
      </w:pPr>
      <w:r w:rsidRPr="003F71D2">
        <w:rPr>
          <w:i/>
          <w:iCs/>
          <w:sz w:val="22"/>
          <w:szCs w:val="22"/>
          <w:lang w:val="sk-SK"/>
        </w:rPr>
        <w:t>Pediatrická populácia</w:t>
      </w:r>
    </w:p>
    <w:p w14:paraId="69CFF5E7" w14:textId="49E2C0EC" w:rsidR="00A60156" w:rsidRPr="003F71D2" w:rsidRDefault="00DB3564" w:rsidP="003F71D2">
      <w:pPr>
        <w:pStyle w:val="Default"/>
        <w:rPr>
          <w:sz w:val="22"/>
          <w:szCs w:val="22"/>
          <w:lang w:val="sk-SK"/>
        </w:rPr>
      </w:pPr>
      <w:r w:rsidRPr="003F71D2">
        <w:rPr>
          <w:sz w:val="22"/>
          <w:szCs w:val="22"/>
          <w:lang w:val="sk-SK"/>
        </w:rPr>
        <w:t xml:space="preserve">Bezpečnosť a účinnosť kyseliny zoledrónovej u detí vo veku 1 rok až 17 rokov neboli doteraz stanovené. V súčasnosti sú dostupné údaje opísané v časti 5.1, ale neumožňujú uviesť odporúčania na dávkovanie. </w:t>
      </w:r>
    </w:p>
    <w:p w14:paraId="6A197EE6" w14:textId="77777777" w:rsidR="00A60156" w:rsidRPr="003F71D2" w:rsidRDefault="00A60156" w:rsidP="003F71D2">
      <w:pPr>
        <w:pStyle w:val="Default"/>
        <w:rPr>
          <w:sz w:val="22"/>
          <w:szCs w:val="22"/>
          <w:lang w:val="sk-SK"/>
        </w:rPr>
      </w:pPr>
    </w:p>
    <w:p w14:paraId="6F26318B" w14:textId="77777777" w:rsidR="00A60156" w:rsidRPr="00C63330" w:rsidRDefault="00DB3564" w:rsidP="003F71D2">
      <w:pPr>
        <w:pStyle w:val="Default"/>
        <w:rPr>
          <w:b/>
          <w:sz w:val="22"/>
          <w:szCs w:val="22"/>
          <w:u w:val="single"/>
          <w:lang w:val="sk-SK"/>
        </w:rPr>
      </w:pPr>
      <w:r w:rsidRPr="00C63330">
        <w:rPr>
          <w:b/>
          <w:sz w:val="22"/>
          <w:szCs w:val="22"/>
          <w:u w:val="single"/>
          <w:lang w:val="sk-SK"/>
        </w:rPr>
        <w:t>Spôsob pod</w:t>
      </w:r>
      <w:r w:rsidR="00D84ABC" w:rsidRPr="00C63330">
        <w:rPr>
          <w:b/>
          <w:sz w:val="22"/>
          <w:szCs w:val="22"/>
          <w:u w:val="single"/>
          <w:lang w:val="sk-SK"/>
        </w:rPr>
        <w:t>áv</w:t>
      </w:r>
      <w:r w:rsidRPr="00C63330">
        <w:rPr>
          <w:b/>
          <w:sz w:val="22"/>
          <w:szCs w:val="22"/>
          <w:u w:val="single"/>
          <w:lang w:val="sk-SK"/>
        </w:rPr>
        <w:t xml:space="preserve">ania </w:t>
      </w:r>
    </w:p>
    <w:p w14:paraId="7D5BD816" w14:textId="77777777" w:rsidR="00A60156" w:rsidRPr="003F71D2" w:rsidRDefault="00DB3564" w:rsidP="003F71D2">
      <w:pPr>
        <w:pStyle w:val="Default"/>
        <w:rPr>
          <w:sz w:val="22"/>
          <w:szCs w:val="22"/>
          <w:lang w:val="sk-SK"/>
        </w:rPr>
      </w:pPr>
      <w:r w:rsidRPr="003F71D2">
        <w:rPr>
          <w:sz w:val="22"/>
          <w:szCs w:val="22"/>
          <w:lang w:val="sk-SK"/>
        </w:rPr>
        <w:t xml:space="preserve">Intravenózne použitie. </w:t>
      </w:r>
    </w:p>
    <w:p w14:paraId="477DCF35" w14:textId="77777777" w:rsidR="007B2241" w:rsidRPr="003F71D2" w:rsidRDefault="007B2241" w:rsidP="003F71D2">
      <w:pPr>
        <w:pStyle w:val="Default"/>
        <w:rPr>
          <w:sz w:val="22"/>
          <w:szCs w:val="22"/>
          <w:lang w:val="sk-SK"/>
        </w:rPr>
      </w:pPr>
    </w:p>
    <w:p w14:paraId="6ECDEC4D" w14:textId="1B0FEB83" w:rsidR="00225179" w:rsidRDefault="00DB3564" w:rsidP="003F71D2">
      <w:pPr>
        <w:pStyle w:val="Default"/>
        <w:rPr>
          <w:sz w:val="22"/>
          <w:szCs w:val="22"/>
          <w:lang w:val="sk-SK"/>
        </w:rPr>
      </w:pPr>
      <w:r w:rsidRPr="003F71D2">
        <w:rPr>
          <w:sz w:val="22"/>
          <w:szCs w:val="22"/>
          <w:lang w:val="sk-SK"/>
        </w:rPr>
        <w:t xml:space="preserve">Zomikos 4 mg </w:t>
      </w:r>
      <w:r w:rsidR="001F5967">
        <w:rPr>
          <w:sz w:val="22"/>
          <w:szCs w:val="22"/>
          <w:lang w:val="sk-SK"/>
        </w:rPr>
        <w:t>prášok a rozpúšťadlo</w:t>
      </w:r>
      <w:r w:rsidR="001F5967" w:rsidRPr="003F71D2">
        <w:rPr>
          <w:sz w:val="22"/>
          <w:szCs w:val="22"/>
          <w:lang w:val="sk-SK"/>
        </w:rPr>
        <w:t xml:space="preserve"> </w:t>
      </w:r>
      <w:r w:rsidRPr="003F71D2">
        <w:rPr>
          <w:sz w:val="22"/>
          <w:szCs w:val="22"/>
          <w:lang w:val="sk-SK"/>
        </w:rPr>
        <w:t xml:space="preserve">na infúzny roztok, </w:t>
      </w:r>
      <w:r w:rsidR="001F5967">
        <w:rPr>
          <w:sz w:val="22"/>
          <w:szCs w:val="22"/>
          <w:lang w:val="sk-SK"/>
        </w:rPr>
        <w:t xml:space="preserve">rekonštituovaný a ďalej </w:t>
      </w:r>
      <w:r w:rsidRPr="003F71D2">
        <w:rPr>
          <w:sz w:val="22"/>
          <w:szCs w:val="22"/>
          <w:lang w:val="sk-SK"/>
        </w:rPr>
        <w:t xml:space="preserve">zriedený v 100 ml (pozri časť 6.6), sa má podať ako jednorazová intravenózna infúzia trvajúca nie menej ako 15 minút. </w:t>
      </w:r>
    </w:p>
    <w:p w14:paraId="72D417FB" w14:textId="77777777" w:rsidR="004F0232" w:rsidRDefault="004F0232" w:rsidP="003F71D2">
      <w:pPr>
        <w:pStyle w:val="Default"/>
        <w:rPr>
          <w:sz w:val="22"/>
          <w:szCs w:val="22"/>
          <w:lang w:val="sk-SK"/>
        </w:rPr>
      </w:pPr>
    </w:p>
    <w:p w14:paraId="4B58462C" w14:textId="28A576DE" w:rsidR="001F5967" w:rsidRPr="003F71D2" w:rsidRDefault="001F5967" w:rsidP="003F71D2">
      <w:pPr>
        <w:pStyle w:val="Default"/>
        <w:rPr>
          <w:sz w:val="22"/>
          <w:szCs w:val="22"/>
          <w:lang w:val="sk-SK"/>
        </w:rPr>
      </w:pPr>
      <w:r w:rsidRPr="003F71D2">
        <w:rPr>
          <w:sz w:val="22"/>
          <w:szCs w:val="22"/>
          <w:lang w:val="sk-SK"/>
        </w:rPr>
        <w:lastRenderedPageBreak/>
        <w:t xml:space="preserve">U pacientov s ľahkou až stredne závažnou poruchou funkcie obličiek sa odporúčajú znížené dávky Zomikosu (pozri časť „Dávkovanie” vyššie a časť </w:t>
      </w:r>
      <w:r>
        <w:rPr>
          <w:sz w:val="22"/>
          <w:szCs w:val="22"/>
          <w:lang w:val="sk-SK"/>
        </w:rPr>
        <w:t>4.4</w:t>
      </w:r>
      <w:r w:rsidRPr="003F71D2">
        <w:rPr>
          <w:sz w:val="22"/>
          <w:szCs w:val="22"/>
          <w:lang w:val="sk-SK"/>
        </w:rPr>
        <w:t xml:space="preserve">). </w:t>
      </w:r>
    </w:p>
    <w:p w14:paraId="7F2F0FCC" w14:textId="77777777" w:rsidR="00FD37D5" w:rsidRPr="003F71D2" w:rsidRDefault="00FD37D5" w:rsidP="003F71D2">
      <w:pPr>
        <w:pStyle w:val="Default"/>
        <w:rPr>
          <w:sz w:val="22"/>
          <w:szCs w:val="22"/>
          <w:lang w:val="sk-SK"/>
        </w:rPr>
      </w:pPr>
    </w:p>
    <w:p w14:paraId="44616FE7" w14:textId="4F67DE0E" w:rsidR="001F5967" w:rsidRDefault="001F5967" w:rsidP="001F5967">
      <w:pPr>
        <w:pStyle w:val="Default"/>
        <w:rPr>
          <w:sz w:val="22"/>
          <w:szCs w:val="22"/>
          <w:u w:val="single"/>
          <w:lang w:val="sk-SK"/>
        </w:rPr>
      </w:pPr>
      <w:r w:rsidRPr="003F71D2">
        <w:rPr>
          <w:sz w:val="22"/>
          <w:szCs w:val="22"/>
          <w:u w:val="single"/>
          <w:lang w:val="sk-SK"/>
        </w:rPr>
        <w:t xml:space="preserve">Pokyny na prípravu znížených dávok Zomikosu </w:t>
      </w:r>
    </w:p>
    <w:p w14:paraId="5EBEA9A2" w14:textId="77777777" w:rsidR="00225179" w:rsidRPr="003F71D2" w:rsidRDefault="00225179" w:rsidP="001F5967">
      <w:pPr>
        <w:pStyle w:val="Default"/>
        <w:rPr>
          <w:sz w:val="22"/>
          <w:szCs w:val="22"/>
          <w:u w:val="single"/>
          <w:lang w:val="sk-SK"/>
        </w:rPr>
      </w:pPr>
    </w:p>
    <w:p w14:paraId="690ED4CC" w14:textId="22880BE2" w:rsidR="001F5967" w:rsidRPr="003F71D2" w:rsidRDefault="001F5967" w:rsidP="001F5967">
      <w:pPr>
        <w:pStyle w:val="Default"/>
        <w:rPr>
          <w:sz w:val="22"/>
          <w:szCs w:val="22"/>
          <w:lang w:val="sk-SK"/>
        </w:rPr>
      </w:pPr>
      <w:r w:rsidRPr="003F71D2">
        <w:rPr>
          <w:sz w:val="22"/>
          <w:szCs w:val="22"/>
          <w:lang w:val="sk-SK"/>
        </w:rPr>
        <w:t xml:space="preserve">Podľa potreby odoberte príslušný objem </w:t>
      </w:r>
      <w:r w:rsidR="00225179">
        <w:rPr>
          <w:sz w:val="22"/>
          <w:szCs w:val="22"/>
          <w:lang w:val="sk-SK"/>
        </w:rPr>
        <w:t xml:space="preserve">rekonštituovaného </w:t>
      </w:r>
      <w:r w:rsidRPr="003F71D2">
        <w:rPr>
          <w:sz w:val="22"/>
          <w:szCs w:val="22"/>
          <w:lang w:val="sk-SK"/>
        </w:rPr>
        <w:t>koncentrátu</w:t>
      </w:r>
      <w:r w:rsidR="00225179">
        <w:rPr>
          <w:sz w:val="22"/>
          <w:szCs w:val="22"/>
          <w:lang w:val="sk-SK"/>
        </w:rPr>
        <w:t xml:space="preserve"> (4 mg/5 ml):</w:t>
      </w:r>
    </w:p>
    <w:p w14:paraId="790674D1" w14:textId="77777777" w:rsidR="001F5967" w:rsidRPr="003F71D2" w:rsidRDefault="001F5967" w:rsidP="001F5967">
      <w:pPr>
        <w:pStyle w:val="Default"/>
        <w:numPr>
          <w:ilvl w:val="1"/>
          <w:numId w:val="4"/>
        </w:numPr>
        <w:rPr>
          <w:sz w:val="22"/>
          <w:szCs w:val="22"/>
          <w:lang w:val="sk-SK"/>
        </w:rPr>
      </w:pPr>
      <w:r w:rsidRPr="003F71D2">
        <w:rPr>
          <w:sz w:val="22"/>
          <w:szCs w:val="22"/>
          <w:lang w:val="sk-SK"/>
        </w:rPr>
        <w:t xml:space="preserve">- 4,4 ml na dávku 3,5 mg </w:t>
      </w:r>
    </w:p>
    <w:p w14:paraId="07BC668C" w14:textId="77777777" w:rsidR="001F5967" w:rsidRPr="003F71D2" w:rsidRDefault="001F5967" w:rsidP="001F5967">
      <w:pPr>
        <w:pStyle w:val="Default"/>
        <w:numPr>
          <w:ilvl w:val="1"/>
          <w:numId w:val="4"/>
        </w:numPr>
        <w:rPr>
          <w:sz w:val="22"/>
          <w:szCs w:val="22"/>
          <w:lang w:val="sk-SK"/>
        </w:rPr>
      </w:pPr>
      <w:r w:rsidRPr="003F71D2">
        <w:rPr>
          <w:sz w:val="22"/>
          <w:szCs w:val="22"/>
          <w:lang w:val="sk-SK"/>
        </w:rPr>
        <w:t xml:space="preserve">- 4,1 ml na dávku 3,3 mg </w:t>
      </w:r>
    </w:p>
    <w:p w14:paraId="7C642673" w14:textId="7CB24D42" w:rsidR="001F5967" w:rsidRPr="00225179" w:rsidRDefault="001F5967" w:rsidP="00C63330">
      <w:pPr>
        <w:pStyle w:val="Default"/>
        <w:numPr>
          <w:ilvl w:val="1"/>
          <w:numId w:val="4"/>
        </w:numPr>
        <w:rPr>
          <w:sz w:val="22"/>
          <w:szCs w:val="22"/>
          <w:lang w:val="sk-SK"/>
        </w:rPr>
      </w:pPr>
      <w:r w:rsidRPr="003F71D2">
        <w:rPr>
          <w:sz w:val="22"/>
          <w:szCs w:val="22"/>
          <w:lang w:val="sk-SK"/>
        </w:rPr>
        <w:t xml:space="preserve">- 3,8 ml na dávku 3,0 mg </w:t>
      </w:r>
    </w:p>
    <w:p w14:paraId="09A88C8F" w14:textId="77777777" w:rsidR="001F5967" w:rsidRDefault="001F5967" w:rsidP="003F71D2">
      <w:pPr>
        <w:pStyle w:val="Default"/>
        <w:rPr>
          <w:sz w:val="22"/>
          <w:szCs w:val="22"/>
          <w:lang w:val="sk-SK"/>
        </w:rPr>
      </w:pPr>
    </w:p>
    <w:p w14:paraId="4F41AAA3" w14:textId="0DF312D9" w:rsidR="00225179" w:rsidRPr="003F71D2" w:rsidRDefault="00225179" w:rsidP="00225179">
      <w:pPr>
        <w:pStyle w:val="Default"/>
        <w:rPr>
          <w:sz w:val="22"/>
          <w:szCs w:val="22"/>
          <w:lang w:val="sk-SK"/>
        </w:rPr>
      </w:pPr>
      <w:r w:rsidRPr="003F71D2">
        <w:rPr>
          <w:sz w:val="22"/>
          <w:szCs w:val="22"/>
          <w:u w:val="single"/>
          <w:lang w:val="sk-SK"/>
        </w:rPr>
        <w:t>Údaje o</w:t>
      </w:r>
      <w:r>
        <w:rPr>
          <w:sz w:val="22"/>
          <w:szCs w:val="22"/>
          <w:u w:val="single"/>
          <w:lang w:val="sk-SK"/>
        </w:rPr>
        <w:t xml:space="preserve"> rekonštituovaní a </w:t>
      </w:r>
      <w:r w:rsidRPr="003F71D2">
        <w:rPr>
          <w:sz w:val="22"/>
          <w:szCs w:val="22"/>
          <w:u w:val="single"/>
          <w:lang w:val="sk-SK"/>
        </w:rPr>
        <w:t xml:space="preserve">riedení </w:t>
      </w:r>
      <w:r>
        <w:rPr>
          <w:sz w:val="22"/>
          <w:szCs w:val="22"/>
          <w:u w:val="single"/>
          <w:lang w:val="sk-SK"/>
        </w:rPr>
        <w:t>tohto lieku</w:t>
      </w:r>
      <w:r w:rsidRPr="003F71D2">
        <w:rPr>
          <w:sz w:val="22"/>
          <w:szCs w:val="22"/>
          <w:u w:val="single"/>
          <w:lang w:val="sk-SK"/>
        </w:rPr>
        <w:t xml:space="preserve"> pred použitím</w:t>
      </w:r>
      <w:r>
        <w:rPr>
          <w:sz w:val="22"/>
          <w:szCs w:val="22"/>
          <w:u w:val="single"/>
          <w:lang w:val="sk-SK"/>
        </w:rPr>
        <w:t>,</w:t>
      </w:r>
      <w:r w:rsidRPr="003F71D2">
        <w:rPr>
          <w:sz w:val="22"/>
          <w:szCs w:val="22"/>
          <w:u w:val="single"/>
          <w:lang w:val="sk-SK"/>
        </w:rPr>
        <w:t xml:space="preserve"> pozri časť 6.6.</w:t>
      </w:r>
      <w:r w:rsidRPr="003F71D2">
        <w:rPr>
          <w:sz w:val="22"/>
          <w:szCs w:val="22"/>
          <w:lang w:val="sk-SK"/>
        </w:rPr>
        <w:t xml:space="preserve"> Odobraté množstvo rekonštituovaného roztoku sa musí zriediť 100 ml sterilného 0,9 % m/V roztoku chloridu sodného alebo 5 % m/V roztoku glukózy. Dávka sa musí podať ako jednorazová intravenózna infúzia trvajúca nie menej ako 15 minút. </w:t>
      </w:r>
    </w:p>
    <w:p w14:paraId="0378E04D" w14:textId="77777777" w:rsidR="00225179" w:rsidRDefault="00225179" w:rsidP="003F71D2">
      <w:pPr>
        <w:pStyle w:val="Default"/>
        <w:rPr>
          <w:sz w:val="22"/>
          <w:szCs w:val="22"/>
          <w:lang w:val="sk-SK"/>
        </w:rPr>
      </w:pPr>
    </w:p>
    <w:p w14:paraId="3C25E53E" w14:textId="4CCAC8E5" w:rsidR="00FD37D5" w:rsidRPr="003F71D2" w:rsidRDefault="00DB3564" w:rsidP="003F71D2">
      <w:pPr>
        <w:pStyle w:val="Default"/>
        <w:rPr>
          <w:sz w:val="22"/>
          <w:szCs w:val="22"/>
          <w:lang w:val="sk-SK"/>
        </w:rPr>
      </w:pPr>
      <w:r w:rsidRPr="003F71D2">
        <w:rPr>
          <w:sz w:val="22"/>
          <w:szCs w:val="22"/>
          <w:lang w:val="sk-SK"/>
        </w:rPr>
        <w:t xml:space="preserve">Rekonštituovaný roztok Zomikosu sa nesmie miešať s infúznymi roztokmi obsahujúcimi vápnik alebo iné dvojmocné katióny, napr. </w:t>
      </w:r>
      <w:r w:rsidR="00225179">
        <w:rPr>
          <w:sz w:val="22"/>
          <w:szCs w:val="22"/>
          <w:lang w:val="sk-SK"/>
        </w:rPr>
        <w:t xml:space="preserve">s </w:t>
      </w:r>
      <w:r w:rsidRPr="003F71D2">
        <w:rPr>
          <w:sz w:val="22"/>
          <w:szCs w:val="22"/>
          <w:lang w:val="sk-SK"/>
        </w:rPr>
        <w:t xml:space="preserve">Ringerovým roztokom s laktátom, a má sa podať ako jednorazový intravenózny roztok osobitnou infúznou súpravou. </w:t>
      </w:r>
    </w:p>
    <w:p w14:paraId="5F3B0998" w14:textId="77777777" w:rsidR="00932556" w:rsidRPr="003F71D2" w:rsidRDefault="00932556" w:rsidP="003F71D2">
      <w:pPr>
        <w:pStyle w:val="Default"/>
        <w:rPr>
          <w:sz w:val="22"/>
          <w:szCs w:val="22"/>
          <w:lang w:val="sk-SK"/>
        </w:rPr>
      </w:pPr>
    </w:p>
    <w:p w14:paraId="76EBE90D" w14:textId="77777777" w:rsidR="00E769E7" w:rsidRPr="003F71D2" w:rsidRDefault="00DB3564" w:rsidP="003F71D2">
      <w:pPr>
        <w:pStyle w:val="Default"/>
        <w:rPr>
          <w:sz w:val="22"/>
          <w:szCs w:val="22"/>
          <w:lang w:val="sk-SK"/>
        </w:rPr>
      </w:pPr>
      <w:r w:rsidRPr="003F71D2">
        <w:rPr>
          <w:sz w:val="22"/>
          <w:szCs w:val="22"/>
          <w:lang w:val="sk-SK"/>
        </w:rPr>
        <w:t xml:space="preserve">Pacienti musia byť trvale dostatočne hydratovaní pred podaním Zomikosu a po ňom. </w:t>
      </w:r>
    </w:p>
    <w:p w14:paraId="535899F2" w14:textId="77777777" w:rsidR="00005919" w:rsidRPr="003F71D2" w:rsidRDefault="00005919" w:rsidP="003F71D2">
      <w:pPr>
        <w:pStyle w:val="Default"/>
        <w:rPr>
          <w:color w:val="auto"/>
          <w:sz w:val="22"/>
          <w:szCs w:val="22"/>
          <w:lang w:val="sk-SK"/>
        </w:rPr>
      </w:pPr>
    </w:p>
    <w:p w14:paraId="0916CD6E" w14:textId="1E911156" w:rsidR="00E769E7" w:rsidRPr="003F71D2" w:rsidRDefault="00DB3564" w:rsidP="003F71D2">
      <w:pPr>
        <w:pStyle w:val="Default"/>
        <w:rPr>
          <w:b/>
          <w:bCs/>
          <w:sz w:val="22"/>
          <w:szCs w:val="22"/>
          <w:lang w:val="sk-SK"/>
        </w:rPr>
      </w:pPr>
      <w:r w:rsidRPr="003F71D2">
        <w:rPr>
          <w:b/>
          <w:bCs/>
          <w:sz w:val="22"/>
          <w:szCs w:val="22"/>
          <w:lang w:val="sk-SK"/>
        </w:rPr>
        <w:t>4.3</w:t>
      </w:r>
      <w:r w:rsidRPr="003F71D2">
        <w:rPr>
          <w:b/>
          <w:bCs/>
          <w:sz w:val="22"/>
          <w:szCs w:val="22"/>
          <w:lang w:val="sk-SK"/>
        </w:rPr>
        <w:tab/>
        <w:t xml:space="preserve">Kontraindikácie </w:t>
      </w:r>
    </w:p>
    <w:p w14:paraId="4AD3B9BF" w14:textId="77777777" w:rsidR="00E769E7" w:rsidRPr="003F71D2" w:rsidRDefault="00E769E7" w:rsidP="003F71D2">
      <w:pPr>
        <w:pStyle w:val="Default"/>
        <w:rPr>
          <w:sz w:val="22"/>
          <w:szCs w:val="22"/>
          <w:lang w:val="sk-SK"/>
        </w:rPr>
      </w:pPr>
    </w:p>
    <w:p w14:paraId="3789A47C" w14:textId="77777777" w:rsidR="00E31B19" w:rsidRPr="003F71D2" w:rsidRDefault="00DB3564" w:rsidP="003F71D2">
      <w:pPr>
        <w:pStyle w:val="Default"/>
        <w:numPr>
          <w:ilvl w:val="0"/>
          <w:numId w:val="6"/>
        </w:numPr>
        <w:rPr>
          <w:sz w:val="22"/>
          <w:szCs w:val="22"/>
          <w:lang w:val="sk-SK"/>
        </w:rPr>
      </w:pPr>
      <w:r w:rsidRPr="003F71D2">
        <w:rPr>
          <w:sz w:val="22"/>
          <w:szCs w:val="22"/>
          <w:lang w:val="sk-SK"/>
        </w:rPr>
        <w:t>Precitlivenosť na liečivo, iné bisfosfonáty alebo na ktorúkoľvek z pomocných látok  </w:t>
      </w:r>
      <w:r w:rsidR="00E31B19" w:rsidRPr="003F71D2">
        <w:rPr>
          <w:sz w:val="22"/>
          <w:szCs w:val="22"/>
          <w:lang w:val="sk-SK"/>
        </w:rPr>
        <w:t xml:space="preserve">uvedených </w:t>
      </w:r>
    </w:p>
    <w:p w14:paraId="1E1CACA6" w14:textId="5142E3DD" w:rsidR="00255579" w:rsidRPr="003F71D2" w:rsidRDefault="00E31B19" w:rsidP="003F71D2">
      <w:pPr>
        <w:pStyle w:val="Default"/>
        <w:ind w:left="567" w:firstLine="142"/>
        <w:rPr>
          <w:sz w:val="22"/>
          <w:szCs w:val="22"/>
          <w:lang w:val="sk-SK"/>
        </w:rPr>
      </w:pPr>
      <w:r w:rsidRPr="003F71D2">
        <w:rPr>
          <w:sz w:val="22"/>
          <w:szCs w:val="22"/>
          <w:lang w:val="sk-SK"/>
        </w:rPr>
        <w:t>v časti 6.1</w:t>
      </w:r>
      <w:r w:rsidR="00DB3564" w:rsidRPr="003F71D2">
        <w:rPr>
          <w:sz w:val="22"/>
          <w:szCs w:val="22"/>
          <w:lang w:val="sk-SK"/>
        </w:rPr>
        <w:t xml:space="preserve"> </w:t>
      </w:r>
    </w:p>
    <w:p w14:paraId="361364A1" w14:textId="0E2C823C" w:rsidR="00E769E7" w:rsidRPr="003F71D2" w:rsidRDefault="00DB3564" w:rsidP="003F71D2">
      <w:pPr>
        <w:pStyle w:val="Default"/>
        <w:numPr>
          <w:ilvl w:val="0"/>
          <w:numId w:val="6"/>
        </w:numPr>
        <w:rPr>
          <w:sz w:val="22"/>
          <w:szCs w:val="22"/>
          <w:lang w:val="sk-SK"/>
        </w:rPr>
      </w:pPr>
      <w:r w:rsidRPr="003F71D2">
        <w:rPr>
          <w:sz w:val="22"/>
          <w:szCs w:val="22"/>
          <w:lang w:val="sk-SK"/>
        </w:rPr>
        <w:t xml:space="preserve">Dojčenie (pozri časť 4.6) </w:t>
      </w:r>
    </w:p>
    <w:p w14:paraId="21083860" w14:textId="77777777" w:rsidR="00E769E7" w:rsidRPr="003F71D2" w:rsidRDefault="00E769E7" w:rsidP="003F71D2">
      <w:pPr>
        <w:pStyle w:val="Default"/>
        <w:rPr>
          <w:sz w:val="22"/>
          <w:szCs w:val="22"/>
          <w:lang w:val="sk-SK"/>
        </w:rPr>
      </w:pPr>
    </w:p>
    <w:p w14:paraId="53678414" w14:textId="3E52D69A" w:rsidR="00E769E7" w:rsidRDefault="00DB3564" w:rsidP="00C63330">
      <w:pPr>
        <w:spacing w:after="0" w:line="240" w:lineRule="auto"/>
        <w:rPr>
          <w:rFonts w:ascii="Times New Roman" w:hAnsi="Times New Roman" w:cs="Times New Roman"/>
          <w:b/>
          <w:lang w:val="sk-SK"/>
        </w:rPr>
      </w:pPr>
      <w:r w:rsidRPr="003F71D2">
        <w:rPr>
          <w:rFonts w:ascii="Times New Roman" w:hAnsi="Times New Roman" w:cs="Times New Roman"/>
          <w:b/>
          <w:lang w:val="sk-SK"/>
        </w:rPr>
        <w:t>4.4</w:t>
      </w:r>
      <w:r w:rsidRPr="003F71D2">
        <w:rPr>
          <w:rFonts w:ascii="Times New Roman" w:hAnsi="Times New Roman" w:cs="Times New Roman"/>
          <w:b/>
          <w:lang w:val="sk-SK"/>
        </w:rPr>
        <w:tab/>
        <w:t>Osobitné upozornenia a opatrenia pri používaní</w:t>
      </w:r>
    </w:p>
    <w:p w14:paraId="008AFF84" w14:textId="77777777" w:rsidR="00812726" w:rsidRPr="003F71D2" w:rsidRDefault="00812726" w:rsidP="00C63330">
      <w:pPr>
        <w:spacing w:after="0" w:line="240" w:lineRule="auto"/>
        <w:rPr>
          <w:rFonts w:ascii="Times New Roman" w:hAnsi="Times New Roman" w:cs="Times New Roman"/>
          <w:b/>
          <w:lang w:val="sk-SK"/>
        </w:rPr>
      </w:pPr>
    </w:p>
    <w:p w14:paraId="4542DEDD" w14:textId="77777777" w:rsidR="00E769E7" w:rsidRPr="003F71D2" w:rsidRDefault="00DB3564" w:rsidP="00C63330">
      <w:pPr>
        <w:spacing w:after="0" w:line="240" w:lineRule="auto"/>
        <w:rPr>
          <w:rFonts w:ascii="Times New Roman" w:hAnsi="Times New Roman" w:cs="Times New Roman"/>
          <w:u w:val="single"/>
          <w:lang w:val="sk-SK"/>
        </w:rPr>
      </w:pPr>
      <w:r w:rsidRPr="003F71D2">
        <w:rPr>
          <w:rFonts w:ascii="Times New Roman" w:hAnsi="Times New Roman" w:cs="Times New Roman"/>
          <w:u w:val="single"/>
          <w:lang w:val="sk-SK"/>
        </w:rPr>
        <w:t>Všeobecné</w:t>
      </w:r>
    </w:p>
    <w:p w14:paraId="316C97D5" w14:textId="77777777" w:rsidR="00E769E7"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Pred podaním Zomikosu je nutné pacientov vyšetriť, aby sa overilo, či sú dostatočne hydratovaní.</w:t>
      </w:r>
    </w:p>
    <w:p w14:paraId="2E098E29" w14:textId="5C8CEF51" w:rsidR="00E769E7"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 xml:space="preserve">U pacientov s rizikom zlyhania srdca </w:t>
      </w:r>
      <w:r w:rsidR="00255579" w:rsidRPr="003F71D2">
        <w:rPr>
          <w:rFonts w:ascii="Times New Roman" w:hAnsi="Times New Roman" w:cs="Times New Roman"/>
          <w:lang w:val="sk-SK"/>
        </w:rPr>
        <w:t>sa má predísť nadmernej</w:t>
      </w:r>
      <w:r w:rsidRPr="003F71D2">
        <w:rPr>
          <w:rFonts w:ascii="Times New Roman" w:hAnsi="Times New Roman" w:cs="Times New Roman"/>
          <w:lang w:val="sk-SK"/>
        </w:rPr>
        <w:t xml:space="preserve"> hydratácii.</w:t>
      </w:r>
    </w:p>
    <w:p w14:paraId="7BBF3853" w14:textId="77777777" w:rsidR="00812726" w:rsidRPr="003F71D2" w:rsidRDefault="00812726" w:rsidP="00C63330">
      <w:pPr>
        <w:spacing w:after="0" w:line="240" w:lineRule="auto"/>
        <w:rPr>
          <w:rFonts w:ascii="Times New Roman" w:hAnsi="Times New Roman" w:cs="Times New Roman"/>
          <w:lang w:val="sk-SK"/>
        </w:rPr>
      </w:pPr>
    </w:p>
    <w:p w14:paraId="3F9F952F" w14:textId="2E7D6A6C" w:rsidR="00E769E7"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 xml:space="preserve">Po začatí liečby Zomikosom sa majú starostlivo sledovať </w:t>
      </w:r>
      <w:r w:rsidR="00255579" w:rsidRPr="003F71D2">
        <w:rPr>
          <w:rFonts w:ascii="Times New Roman" w:hAnsi="Times New Roman" w:cs="Times New Roman"/>
          <w:lang w:val="sk-SK"/>
        </w:rPr>
        <w:t>štandardné</w:t>
      </w:r>
      <w:r w:rsidRPr="003F71D2">
        <w:rPr>
          <w:rFonts w:ascii="Times New Roman" w:hAnsi="Times New Roman" w:cs="Times New Roman"/>
          <w:lang w:val="sk-SK"/>
        </w:rPr>
        <w:t xml:space="preserve"> metabolické parametre súvisiace s hyperkalciémiou, ako sú hladiny vápnika, fosfátu a horčíka v sére. Ak </w:t>
      </w:r>
      <w:r w:rsidR="00255579" w:rsidRPr="003F71D2">
        <w:rPr>
          <w:rFonts w:ascii="Times New Roman" w:hAnsi="Times New Roman" w:cs="Times New Roman"/>
          <w:lang w:val="sk-SK"/>
        </w:rPr>
        <w:t>sa vyskytne</w:t>
      </w:r>
      <w:r w:rsidRPr="003F71D2">
        <w:rPr>
          <w:rFonts w:ascii="Times New Roman" w:hAnsi="Times New Roman" w:cs="Times New Roman"/>
          <w:lang w:val="sk-SK"/>
        </w:rPr>
        <w:t xml:space="preserve"> hypokalciémia, hypofosfatémia alebo hypomagneziémia, môže byť potrebná krátkodobá suplementárna liečba. </w:t>
      </w:r>
      <w:r w:rsidR="00255579" w:rsidRPr="003F71D2">
        <w:rPr>
          <w:rFonts w:ascii="Times New Roman" w:hAnsi="Times New Roman" w:cs="Times New Roman"/>
          <w:lang w:val="sk-SK"/>
        </w:rPr>
        <w:t>P</w:t>
      </w:r>
      <w:r w:rsidRPr="003F71D2">
        <w:rPr>
          <w:rFonts w:ascii="Times New Roman" w:hAnsi="Times New Roman" w:cs="Times New Roman"/>
          <w:lang w:val="sk-SK"/>
        </w:rPr>
        <w:t>acienti s</w:t>
      </w:r>
      <w:r w:rsidR="00255579" w:rsidRPr="003F71D2">
        <w:rPr>
          <w:rFonts w:ascii="Times New Roman" w:hAnsi="Times New Roman" w:cs="Times New Roman"/>
          <w:lang w:val="sk-SK"/>
        </w:rPr>
        <w:t xml:space="preserve"> neliečenou </w:t>
      </w:r>
      <w:r w:rsidRPr="003F71D2">
        <w:rPr>
          <w:rFonts w:ascii="Times New Roman" w:hAnsi="Times New Roman" w:cs="Times New Roman"/>
          <w:lang w:val="sk-SK"/>
        </w:rPr>
        <w:t>hyperkalciémiou mávajú spravidla určitý stupeň poruchy funkcie obličiek, preto sa má zvážiť starostlivé sledovanie funkcie obličiek.</w:t>
      </w:r>
    </w:p>
    <w:p w14:paraId="682B0131" w14:textId="77777777" w:rsidR="00E769E7"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Zomikos obsahuje rovnaké liečivo, aké sa nachádza v lieku Aclasta (kyselina zoledrónová). Pacienti, ktorí sa liečia Zomikosom, sa nemajú súčasne liečiť aj Aclastou alebo akýmkoľvek iným bisfosfonátom, pretože kombinované účinky týchto látok nie sú známe.</w:t>
      </w:r>
    </w:p>
    <w:p w14:paraId="4FB3E4F5" w14:textId="77777777" w:rsidR="00812726" w:rsidRPr="003F71D2" w:rsidRDefault="00812726" w:rsidP="00C63330">
      <w:pPr>
        <w:spacing w:after="0" w:line="240" w:lineRule="auto"/>
        <w:rPr>
          <w:rFonts w:ascii="Times New Roman" w:hAnsi="Times New Roman" w:cs="Times New Roman"/>
          <w:lang w:val="sk-SK"/>
        </w:rPr>
      </w:pPr>
    </w:p>
    <w:p w14:paraId="54D99BD4" w14:textId="77777777" w:rsidR="00577D24" w:rsidRPr="003F71D2" w:rsidRDefault="00DB3564" w:rsidP="00812726">
      <w:pPr>
        <w:pStyle w:val="Default"/>
        <w:rPr>
          <w:sz w:val="22"/>
          <w:szCs w:val="22"/>
          <w:u w:val="single"/>
          <w:lang w:val="sk-SK"/>
        </w:rPr>
      </w:pPr>
      <w:r w:rsidRPr="003F71D2">
        <w:rPr>
          <w:sz w:val="22"/>
          <w:szCs w:val="22"/>
          <w:u w:val="single"/>
          <w:lang w:val="sk-SK"/>
        </w:rPr>
        <w:t xml:space="preserve">Insuficiencia obličiek </w:t>
      </w:r>
    </w:p>
    <w:p w14:paraId="3B3BE47D" w14:textId="77777777" w:rsidR="00577D24" w:rsidRPr="003F71D2" w:rsidRDefault="00DB3564">
      <w:pPr>
        <w:pStyle w:val="Default"/>
        <w:rPr>
          <w:sz w:val="22"/>
          <w:szCs w:val="22"/>
          <w:lang w:val="sk-SK"/>
        </w:rPr>
      </w:pPr>
      <w:r w:rsidRPr="003F71D2">
        <w:rPr>
          <w:sz w:val="22"/>
          <w:szCs w:val="22"/>
          <w:lang w:val="sk-SK"/>
        </w:rPr>
        <w:t xml:space="preserve">Stav pacientov s TIH a preukázaným zhoršením funkcie obličiek je nutné patrične zhodnotiť a zvážiť, či prípadná prospešnosť liečby Zomikosom je väčšia ako jej možné riziko. </w:t>
      </w:r>
    </w:p>
    <w:p w14:paraId="03B96C66" w14:textId="77777777" w:rsidR="00577D24" w:rsidRPr="003F71D2" w:rsidRDefault="00577D24" w:rsidP="003F71D2">
      <w:pPr>
        <w:pStyle w:val="Default"/>
        <w:rPr>
          <w:sz w:val="22"/>
          <w:szCs w:val="22"/>
          <w:lang w:val="sk-SK"/>
        </w:rPr>
      </w:pPr>
    </w:p>
    <w:p w14:paraId="7B80487D" w14:textId="77777777" w:rsidR="00577D24" w:rsidRPr="003F71D2" w:rsidRDefault="00DB3564" w:rsidP="003F71D2">
      <w:pPr>
        <w:pStyle w:val="Default"/>
        <w:rPr>
          <w:sz w:val="22"/>
          <w:szCs w:val="22"/>
          <w:lang w:val="sk-SK"/>
        </w:rPr>
      </w:pPr>
      <w:r w:rsidRPr="003F71D2">
        <w:rPr>
          <w:sz w:val="22"/>
          <w:szCs w:val="22"/>
          <w:lang w:val="sk-SK"/>
        </w:rPr>
        <w:t xml:space="preserve">Pri rozhodovaní o tom, či pacientom s metastázami v kostiach podať preventívnu liečbu proti príhodám súvisiacim so skeletom, treba vziať do úvahy, že účinok liečby nastupuje za 2–3 mesiace. </w:t>
      </w:r>
    </w:p>
    <w:p w14:paraId="0369CF89" w14:textId="77777777" w:rsidR="00577D24" w:rsidRPr="003F71D2" w:rsidRDefault="00577D24" w:rsidP="003F71D2">
      <w:pPr>
        <w:pStyle w:val="Default"/>
        <w:rPr>
          <w:sz w:val="22"/>
          <w:szCs w:val="22"/>
          <w:lang w:val="sk-SK"/>
        </w:rPr>
      </w:pPr>
    </w:p>
    <w:p w14:paraId="0D4B7272" w14:textId="3A6D4BF2" w:rsidR="00577D24" w:rsidRPr="003F71D2" w:rsidRDefault="00225179" w:rsidP="003F71D2">
      <w:pPr>
        <w:pStyle w:val="Default"/>
        <w:rPr>
          <w:sz w:val="22"/>
          <w:szCs w:val="22"/>
          <w:lang w:val="sk-SK"/>
        </w:rPr>
      </w:pPr>
      <w:r>
        <w:rPr>
          <w:sz w:val="22"/>
          <w:szCs w:val="22"/>
          <w:lang w:val="sk-SK"/>
        </w:rPr>
        <w:t>Pri</w:t>
      </w:r>
      <w:r w:rsidR="00DB3564" w:rsidRPr="003F71D2">
        <w:rPr>
          <w:sz w:val="22"/>
          <w:szCs w:val="22"/>
          <w:lang w:val="sk-SK"/>
        </w:rPr>
        <w:t xml:space="preserve"> kyselin</w:t>
      </w:r>
      <w:r w:rsidR="00DA5ABE" w:rsidRPr="003F71D2">
        <w:rPr>
          <w:sz w:val="22"/>
          <w:szCs w:val="22"/>
          <w:lang w:val="sk-SK"/>
        </w:rPr>
        <w:t>e</w:t>
      </w:r>
      <w:r w:rsidR="00DB3564" w:rsidRPr="003F71D2">
        <w:rPr>
          <w:sz w:val="22"/>
          <w:szCs w:val="22"/>
          <w:lang w:val="sk-SK"/>
        </w:rPr>
        <w:t xml:space="preserve"> zoledrónovej sa zaznamenali poruchy funkcie obličiek. Medzi faktory, ktoré môžu zvýšiť </w:t>
      </w:r>
      <w:r w:rsidR="00DA5ABE" w:rsidRPr="003F71D2">
        <w:rPr>
          <w:sz w:val="22"/>
          <w:szCs w:val="22"/>
          <w:lang w:val="sk-SK"/>
        </w:rPr>
        <w:t>potenciál</w:t>
      </w:r>
      <w:r w:rsidR="00DB3564" w:rsidRPr="003F71D2">
        <w:rPr>
          <w:sz w:val="22"/>
          <w:szCs w:val="22"/>
          <w:lang w:val="sk-SK"/>
        </w:rPr>
        <w:t xml:space="preserve"> zhoršenia funkcie obličiek, patrí dehydratácia, už existujúce po</w:t>
      </w:r>
      <w:r w:rsidR="00B8045C" w:rsidRPr="003F71D2">
        <w:rPr>
          <w:sz w:val="22"/>
          <w:szCs w:val="22"/>
          <w:lang w:val="sk-SK"/>
        </w:rPr>
        <w:t>rucha</w:t>
      </w:r>
      <w:r w:rsidR="00DB3564" w:rsidRPr="003F71D2">
        <w:rPr>
          <w:sz w:val="22"/>
          <w:szCs w:val="22"/>
          <w:lang w:val="sk-SK"/>
        </w:rPr>
        <w:t xml:space="preserve"> funkcie obličiek, viaceré liečebné cykly Zomikosu a iných bisfosfonátov, ako aj použitie iných nefrotoxických liekov. Hoci sa </w:t>
      </w:r>
      <w:r w:rsidR="00DB3564" w:rsidRPr="003F71D2">
        <w:rPr>
          <w:sz w:val="22"/>
          <w:szCs w:val="22"/>
          <w:lang w:val="sk-SK"/>
        </w:rPr>
        <w:lastRenderedPageBreak/>
        <w:t>podaním kyseliny zoledrónovej v dávke 4 mg počas 15 minút toto riziko zníži, zhoršenie funkcie obličiek sa napriek tomu môže vyskytnúť. Zhoršenie funkcie obličiek, progresia do zlyhania obličiek a dialýzy boli hlásené u pacientov po začiatočnej dávke alebo jednor</w:t>
      </w:r>
      <w:r w:rsidR="00110402" w:rsidRPr="003F71D2">
        <w:rPr>
          <w:sz w:val="22"/>
          <w:szCs w:val="22"/>
          <w:lang w:val="sk-SK"/>
        </w:rPr>
        <w:t>a</w:t>
      </w:r>
      <w:r w:rsidR="00DB3564" w:rsidRPr="003F71D2">
        <w:rPr>
          <w:sz w:val="22"/>
          <w:szCs w:val="22"/>
          <w:lang w:val="sk-SK"/>
        </w:rPr>
        <w:t xml:space="preserve">zovej dávke 4 mg kyseliny zoledrónovej. K zvýšeniu kreatinínu v sére dochádza aj u niektorých pacientov pri chronickom podávaní Zomikosu v odporúčaných dávkach na prevenciu príhod súvisiacich so skeletom, aj keď zriedkavejšie. </w:t>
      </w:r>
    </w:p>
    <w:p w14:paraId="22723152" w14:textId="77777777" w:rsidR="00577D24" w:rsidRPr="003F71D2" w:rsidRDefault="00577D24" w:rsidP="003F71D2">
      <w:pPr>
        <w:pStyle w:val="Default"/>
        <w:rPr>
          <w:sz w:val="22"/>
          <w:szCs w:val="22"/>
          <w:lang w:val="sk-SK"/>
        </w:rPr>
      </w:pPr>
    </w:p>
    <w:p w14:paraId="11DAC938" w14:textId="383B3820" w:rsidR="00577D24" w:rsidRPr="003F71D2" w:rsidRDefault="00DB3564" w:rsidP="003F71D2">
      <w:pPr>
        <w:pStyle w:val="Default"/>
        <w:rPr>
          <w:sz w:val="22"/>
          <w:szCs w:val="22"/>
          <w:lang w:val="sk-SK"/>
        </w:rPr>
      </w:pPr>
      <w:r w:rsidRPr="003F71D2">
        <w:rPr>
          <w:sz w:val="22"/>
          <w:szCs w:val="22"/>
          <w:lang w:val="sk-SK"/>
        </w:rPr>
        <w:t xml:space="preserve">Hladiny kreatinínu v sére pacientov sa majú stanoviť pred každou dávkou Zomikosu. Pri začatí liečby pacientom s metastázami v kostiach s miernym až stredne </w:t>
      </w:r>
      <w:r w:rsidR="00B8045C" w:rsidRPr="003F71D2">
        <w:rPr>
          <w:sz w:val="22"/>
          <w:szCs w:val="22"/>
          <w:lang w:val="sk-SK"/>
        </w:rPr>
        <w:t xml:space="preserve">závažnou </w:t>
      </w:r>
      <w:r w:rsidRPr="003F71D2">
        <w:rPr>
          <w:sz w:val="22"/>
          <w:szCs w:val="22"/>
          <w:lang w:val="sk-SK"/>
        </w:rPr>
        <w:t>po</w:t>
      </w:r>
      <w:r w:rsidR="00B8045C" w:rsidRPr="003F71D2">
        <w:rPr>
          <w:sz w:val="22"/>
          <w:szCs w:val="22"/>
          <w:lang w:val="sk-SK"/>
        </w:rPr>
        <w:t>ruchou</w:t>
      </w:r>
      <w:r w:rsidRPr="003F71D2">
        <w:rPr>
          <w:sz w:val="22"/>
          <w:szCs w:val="22"/>
          <w:lang w:val="sk-SK"/>
        </w:rPr>
        <w:t xml:space="preserve"> funkcie obličiek sa odporúčajú nižšie dávky kyseliny zoledrónovej. Pacientom, u ktorých sa dokáže zhoršenie funkcie obličiek počas liečby, sa Zomikos ne</w:t>
      </w:r>
      <w:r w:rsidR="003647B2" w:rsidRPr="003F71D2">
        <w:rPr>
          <w:sz w:val="22"/>
          <w:szCs w:val="22"/>
          <w:lang w:val="sk-SK"/>
        </w:rPr>
        <w:t>smie</w:t>
      </w:r>
      <w:r w:rsidRPr="003F71D2">
        <w:rPr>
          <w:sz w:val="22"/>
          <w:szCs w:val="22"/>
          <w:lang w:val="sk-SK"/>
        </w:rPr>
        <w:t xml:space="preserve"> podať. Zomikos sa má znovu podať len vtedy, keď sa ich kreatinín v sére vráti do rozmedzia 10 % nad východiskovou hodnotou. Liečba Zomikosom sa má znovu začať s rovnakou dávkou, aká sa podávala pred prerušením liečby. </w:t>
      </w:r>
    </w:p>
    <w:p w14:paraId="11662630" w14:textId="77777777" w:rsidR="00CD703A" w:rsidRPr="003F71D2" w:rsidRDefault="00CD703A" w:rsidP="003F71D2">
      <w:pPr>
        <w:pStyle w:val="Default"/>
        <w:rPr>
          <w:sz w:val="22"/>
          <w:szCs w:val="22"/>
          <w:lang w:val="sk-SK"/>
        </w:rPr>
      </w:pPr>
    </w:p>
    <w:p w14:paraId="16D3C5CC" w14:textId="3469C096" w:rsidR="00CD703A" w:rsidRPr="003F71D2" w:rsidRDefault="00DB3564" w:rsidP="003F71D2">
      <w:pPr>
        <w:pStyle w:val="Default"/>
        <w:rPr>
          <w:sz w:val="22"/>
          <w:szCs w:val="22"/>
          <w:lang w:val="sk-SK"/>
        </w:rPr>
      </w:pPr>
      <w:r w:rsidRPr="003F71D2">
        <w:rPr>
          <w:sz w:val="22"/>
          <w:szCs w:val="22"/>
          <w:lang w:val="sk-SK"/>
        </w:rPr>
        <w:t>Vzhľadom na prípadný účinok kyseliny zoledrónovej na funkciu obličiek, nedostatok klinických údajov o bezpečnosti u pacientov s</w:t>
      </w:r>
      <w:r w:rsidR="00B8045C" w:rsidRPr="003F71D2">
        <w:rPr>
          <w:sz w:val="22"/>
          <w:szCs w:val="22"/>
          <w:lang w:val="sk-SK"/>
        </w:rPr>
        <w:t>o</w:t>
      </w:r>
      <w:r w:rsidRPr="003F71D2">
        <w:rPr>
          <w:sz w:val="22"/>
          <w:szCs w:val="22"/>
          <w:lang w:val="sk-SK"/>
        </w:rPr>
        <w:t xml:space="preserve"> </w:t>
      </w:r>
      <w:r w:rsidR="00B8045C" w:rsidRPr="003F71D2">
        <w:rPr>
          <w:sz w:val="22"/>
          <w:szCs w:val="22"/>
          <w:lang w:val="sk-SK"/>
        </w:rPr>
        <w:t>závažnou</w:t>
      </w:r>
      <w:r w:rsidRPr="003F71D2">
        <w:rPr>
          <w:sz w:val="22"/>
          <w:szCs w:val="22"/>
          <w:lang w:val="sk-SK"/>
        </w:rPr>
        <w:t xml:space="preserve"> po</w:t>
      </w:r>
      <w:r w:rsidR="00B8045C" w:rsidRPr="003F71D2">
        <w:rPr>
          <w:sz w:val="22"/>
          <w:szCs w:val="22"/>
          <w:lang w:val="sk-SK"/>
        </w:rPr>
        <w:t>ruchou</w:t>
      </w:r>
      <w:r w:rsidRPr="003F71D2">
        <w:rPr>
          <w:sz w:val="22"/>
          <w:szCs w:val="22"/>
          <w:lang w:val="sk-SK"/>
        </w:rPr>
        <w:t xml:space="preserve"> funkcie obličiek na začiatku liečby (v klinických skúšaniach definované ako kreatinín v sére </w:t>
      </w:r>
      <w:r w:rsidRPr="003F71D2">
        <w:rPr>
          <w:spacing w:val="-1"/>
          <w:sz w:val="22"/>
          <w:szCs w:val="22"/>
          <w:lang w:val="sk-SK"/>
        </w:rPr>
        <w:t>≥</w:t>
      </w:r>
      <w:r w:rsidRPr="003F71D2">
        <w:rPr>
          <w:sz w:val="22"/>
          <w:szCs w:val="22"/>
          <w:lang w:val="sk-SK"/>
        </w:rPr>
        <w:t xml:space="preserve"> 400 </w:t>
      </w:r>
      <w:r w:rsidRPr="003F71D2">
        <w:rPr>
          <w:spacing w:val="-1"/>
          <w:sz w:val="22"/>
          <w:szCs w:val="22"/>
          <w:lang w:val="sk-SK"/>
        </w:rPr>
        <w:t>µ</w:t>
      </w:r>
      <w:r w:rsidRPr="003F71D2">
        <w:rPr>
          <w:sz w:val="22"/>
          <w:szCs w:val="22"/>
          <w:lang w:val="sk-SK"/>
        </w:rPr>
        <w:t xml:space="preserve">mol/l alebo </w:t>
      </w:r>
      <w:r w:rsidRPr="003F71D2">
        <w:rPr>
          <w:spacing w:val="-1"/>
          <w:sz w:val="22"/>
          <w:szCs w:val="22"/>
          <w:lang w:val="sk-SK"/>
        </w:rPr>
        <w:t>≥</w:t>
      </w:r>
      <w:r w:rsidRPr="003F71D2">
        <w:rPr>
          <w:sz w:val="22"/>
          <w:szCs w:val="22"/>
          <w:lang w:val="sk-SK"/>
        </w:rPr>
        <w:t xml:space="preserve"> 4,5 mg/dl u pacientov s</w:t>
      </w:r>
    </w:p>
    <w:p w14:paraId="5557EC17" w14:textId="47D8493E" w:rsidR="00CD703A" w:rsidRPr="003F71D2" w:rsidRDefault="00DB3564" w:rsidP="003F71D2">
      <w:pPr>
        <w:pStyle w:val="Default"/>
        <w:rPr>
          <w:sz w:val="22"/>
          <w:szCs w:val="22"/>
          <w:lang w:val="sk-SK"/>
        </w:rPr>
      </w:pPr>
      <w:r w:rsidRPr="003F71D2">
        <w:rPr>
          <w:sz w:val="22"/>
          <w:szCs w:val="22"/>
          <w:lang w:val="sk-SK"/>
        </w:rPr>
        <w:t xml:space="preserve">TIH a </w:t>
      </w:r>
      <w:r w:rsidRPr="003F71D2">
        <w:rPr>
          <w:spacing w:val="-1"/>
          <w:sz w:val="22"/>
          <w:szCs w:val="22"/>
          <w:lang w:val="sk-SK"/>
        </w:rPr>
        <w:t xml:space="preserve">≥ </w:t>
      </w:r>
      <w:r w:rsidRPr="003F71D2">
        <w:rPr>
          <w:sz w:val="22"/>
          <w:szCs w:val="22"/>
          <w:lang w:val="sk-SK"/>
        </w:rPr>
        <w:t xml:space="preserve">265 </w:t>
      </w:r>
      <w:r w:rsidRPr="003F71D2">
        <w:rPr>
          <w:spacing w:val="-1"/>
          <w:sz w:val="22"/>
          <w:szCs w:val="22"/>
          <w:lang w:val="sk-SK"/>
        </w:rPr>
        <w:t>µ</w:t>
      </w:r>
      <w:r w:rsidRPr="003F71D2">
        <w:rPr>
          <w:sz w:val="22"/>
          <w:szCs w:val="22"/>
          <w:lang w:val="sk-SK"/>
        </w:rPr>
        <w:t xml:space="preserve">mol/l alebo </w:t>
      </w:r>
      <w:r w:rsidRPr="003F71D2">
        <w:rPr>
          <w:spacing w:val="-1"/>
          <w:sz w:val="22"/>
          <w:szCs w:val="22"/>
          <w:lang w:val="sk-SK"/>
        </w:rPr>
        <w:t>≥</w:t>
      </w:r>
      <w:r w:rsidRPr="003F71D2">
        <w:rPr>
          <w:sz w:val="22"/>
          <w:szCs w:val="22"/>
          <w:lang w:val="sk-SK"/>
        </w:rPr>
        <w:t xml:space="preserve"> 3,0 mg/dl u pacientov s rakovinou a metastázami v kostiach) a len obmedzené farmakokinetické údaje u pacientov s</w:t>
      </w:r>
      <w:r w:rsidR="00B8045C" w:rsidRPr="003F71D2">
        <w:rPr>
          <w:sz w:val="22"/>
          <w:szCs w:val="22"/>
          <w:lang w:val="sk-SK"/>
        </w:rPr>
        <w:t>o</w:t>
      </w:r>
      <w:r w:rsidRPr="003F71D2">
        <w:rPr>
          <w:sz w:val="22"/>
          <w:szCs w:val="22"/>
          <w:lang w:val="sk-SK"/>
        </w:rPr>
        <w:t xml:space="preserve"> </w:t>
      </w:r>
      <w:r w:rsidR="00B8045C" w:rsidRPr="003F71D2">
        <w:rPr>
          <w:sz w:val="22"/>
          <w:szCs w:val="22"/>
          <w:lang w:val="sk-SK"/>
        </w:rPr>
        <w:t>závažnou</w:t>
      </w:r>
      <w:r w:rsidRPr="003F71D2">
        <w:rPr>
          <w:sz w:val="22"/>
          <w:szCs w:val="22"/>
          <w:lang w:val="sk-SK"/>
        </w:rPr>
        <w:t xml:space="preserve"> po</w:t>
      </w:r>
      <w:r w:rsidR="00B8045C" w:rsidRPr="003F71D2">
        <w:rPr>
          <w:sz w:val="22"/>
          <w:szCs w:val="22"/>
          <w:lang w:val="sk-SK"/>
        </w:rPr>
        <w:t>ruchou</w:t>
      </w:r>
      <w:r w:rsidRPr="003F71D2">
        <w:rPr>
          <w:sz w:val="22"/>
          <w:szCs w:val="22"/>
          <w:lang w:val="sk-SK"/>
        </w:rPr>
        <w:t xml:space="preserve"> funkcie obličiek na začiatku liečby (klírens kreatinínu </w:t>
      </w:r>
      <w:r w:rsidRPr="003F71D2">
        <w:rPr>
          <w:spacing w:val="-1"/>
          <w:sz w:val="22"/>
          <w:szCs w:val="22"/>
          <w:lang w:val="sk-SK"/>
        </w:rPr>
        <w:t>&lt;</w:t>
      </w:r>
      <w:r w:rsidRPr="003F71D2">
        <w:rPr>
          <w:sz w:val="22"/>
          <w:szCs w:val="22"/>
          <w:lang w:val="sk-SK"/>
        </w:rPr>
        <w:t xml:space="preserve"> 30 ml/min), použitie Zomikosu u pacientov s</w:t>
      </w:r>
      <w:r w:rsidR="00B8045C" w:rsidRPr="003F71D2">
        <w:rPr>
          <w:sz w:val="22"/>
          <w:szCs w:val="22"/>
          <w:lang w:val="sk-SK"/>
        </w:rPr>
        <w:t>o</w:t>
      </w:r>
      <w:r w:rsidRPr="003F71D2">
        <w:rPr>
          <w:sz w:val="22"/>
          <w:szCs w:val="22"/>
          <w:lang w:val="sk-SK"/>
        </w:rPr>
        <w:t xml:space="preserve"> </w:t>
      </w:r>
      <w:r w:rsidR="00B8045C" w:rsidRPr="003F71D2">
        <w:rPr>
          <w:sz w:val="22"/>
          <w:szCs w:val="22"/>
          <w:lang w:val="sk-SK"/>
        </w:rPr>
        <w:t>závažnou</w:t>
      </w:r>
      <w:r w:rsidRPr="003F71D2">
        <w:rPr>
          <w:sz w:val="22"/>
          <w:szCs w:val="22"/>
          <w:lang w:val="sk-SK"/>
        </w:rPr>
        <w:t xml:space="preserve"> po</w:t>
      </w:r>
      <w:r w:rsidR="00B8045C" w:rsidRPr="003F71D2">
        <w:rPr>
          <w:sz w:val="22"/>
          <w:szCs w:val="22"/>
          <w:lang w:val="sk-SK"/>
        </w:rPr>
        <w:t>ruchou</w:t>
      </w:r>
      <w:r w:rsidRPr="003F71D2">
        <w:rPr>
          <w:sz w:val="22"/>
          <w:szCs w:val="22"/>
          <w:lang w:val="sk-SK"/>
        </w:rPr>
        <w:t xml:space="preserve"> funkcie obličiek sa neodporúča.</w:t>
      </w:r>
    </w:p>
    <w:p w14:paraId="2909050D" w14:textId="77777777" w:rsidR="00C27390" w:rsidRPr="003F71D2" w:rsidRDefault="00C27390" w:rsidP="003F71D2">
      <w:pPr>
        <w:pStyle w:val="Default"/>
        <w:rPr>
          <w:sz w:val="22"/>
          <w:szCs w:val="22"/>
          <w:lang w:val="sk-SK"/>
        </w:rPr>
      </w:pPr>
    </w:p>
    <w:p w14:paraId="5A137D44" w14:textId="77777777" w:rsidR="00E84B93" w:rsidRPr="003F71D2" w:rsidRDefault="00DB3564" w:rsidP="003F71D2">
      <w:pPr>
        <w:spacing w:after="0" w:line="240" w:lineRule="auto"/>
        <w:rPr>
          <w:rFonts w:ascii="Times New Roman" w:hAnsi="Times New Roman" w:cs="Times New Roman"/>
          <w:u w:val="single"/>
          <w:lang w:val="sk-SK"/>
        </w:rPr>
      </w:pPr>
      <w:r w:rsidRPr="003F71D2">
        <w:rPr>
          <w:rFonts w:ascii="Times New Roman" w:hAnsi="Times New Roman" w:cs="Times New Roman"/>
          <w:u w:val="single"/>
          <w:lang w:val="sk-SK"/>
        </w:rPr>
        <w:t>Insuficiencia pečene</w:t>
      </w:r>
    </w:p>
    <w:p w14:paraId="38B986B9" w14:textId="77777777" w:rsidR="00FC79C4"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Pretože sú dostupné len obmedzené klinické údaje o pacientoch so závažnou insuficienciou pečene, nemožno dať žiadne osobitné odporúčania pre túto skupinu pacientov.</w:t>
      </w:r>
    </w:p>
    <w:p w14:paraId="677755C4" w14:textId="0867CD03" w:rsidR="00BE2B33" w:rsidRDefault="00BE2B33" w:rsidP="003F71D2">
      <w:pPr>
        <w:pStyle w:val="Default"/>
        <w:rPr>
          <w:sz w:val="22"/>
          <w:szCs w:val="22"/>
          <w:u w:val="single"/>
        </w:rPr>
      </w:pPr>
      <w:r w:rsidRPr="00BE2B33">
        <w:rPr>
          <w:sz w:val="22"/>
          <w:szCs w:val="22"/>
          <w:u w:val="single"/>
        </w:rPr>
        <w:t>Osteonekróza</w:t>
      </w:r>
    </w:p>
    <w:p w14:paraId="436371CE" w14:textId="77777777" w:rsidR="00812726" w:rsidRDefault="00812726" w:rsidP="003F71D2">
      <w:pPr>
        <w:pStyle w:val="Default"/>
        <w:rPr>
          <w:sz w:val="22"/>
          <w:szCs w:val="22"/>
          <w:u w:val="single"/>
          <w:lang w:val="sk-SK"/>
        </w:rPr>
      </w:pPr>
    </w:p>
    <w:p w14:paraId="40724C10" w14:textId="3B953DF9" w:rsidR="00FC79C4" w:rsidRPr="003F71D2" w:rsidRDefault="00DB3564" w:rsidP="003F71D2">
      <w:pPr>
        <w:pStyle w:val="Default"/>
        <w:rPr>
          <w:sz w:val="22"/>
          <w:szCs w:val="22"/>
          <w:u w:val="single"/>
          <w:lang w:val="sk-SK"/>
        </w:rPr>
      </w:pPr>
      <w:r w:rsidRPr="003F71D2">
        <w:rPr>
          <w:sz w:val="22"/>
          <w:szCs w:val="22"/>
          <w:u w:val="single"/>
          <w:lang w:val="sk-SK"/>
        </w:rPr>
        <w:t xml:space="preserve">Osteonekróza čeľuste </w:t>
      </w:r>
    </w:p>
    <w:p w14:paraId="7BDCC804" w14:textId="0E0747A0"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Osteonekróza čeľuste (ONJ) sa zaznamenala menej často v klinických skúšaniach </w:t>
      </w:r>
      <w:r w:rsidR="00225179">
        <w:rPr>
          <w:rFonts w:ascii="Times New Roman" w:hAnsi="Times New Roman" w:cs="Times New Roman"/>
          <w:color w:val="000000"/>
          <w:lang w:val="sk-SK"/>
        </w:rPr>
        <w:t xml:space="preserve">u </w:t>
      </w:r>
      <w:r w:rsidRPr="003F71D2">
        <w:rPr>
          <w:rFonts w:ascii="Times New Roman" w:hAnsi="Times New Roman" w:cs="Times New Roman"/>
          <w:color w:val="000000"/>
          <w:lang w:val="sk-SK"/>
        </w:rPr>
        <w:t xml:space="preserve">pacientov užívajúcich kyselinu zoledrónovú. </w:t>
      </w:r>
      <w:r w:rsidR="00F21B9D">
        <w:rPr>
          <w:rFonts w:ascii="Times New Roman" w:hAnsi="Times New Roman" w:cs="Times New Roman"/>
          <w:color w:val="000000"/>
          <w:lang w:val="sk-SK"/>
        </w:rPr>
        <w:t>Skúsenosti po uvedení lieku na trh</w:t>
      </w:r>
      <w:r w:rsidR="00F21B9D" w:rsidRPr="00F21B9D">
        <w:rPr>
          <w:rFonts w:ascii="Times New Roman" w:hAnsi="Times New Roman" w:cs="Times New Roman"/>
          <w:color w:val="000000"/>
          <w:lang w:val="sk-SK"/>
        </w:rPr>
        <w:t xml:space="preserve"> a literatúra naznačujú vyššiu frekvenciu hlásení ONJ na základe typu nádoru (pokročilý karcinóm prsníka, mnohopočetný myelóm). Štúdia ukázala, že ONJ bola vyššia u pacientov s myelómom v porovnaní s inými druhmi rakoviny (pozri časť 5.1).</w:t>
      </w:r>
    </w:p>
    <w:p w14:paraId="5FF24939"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p>
    <w:p w14:paraId="6CEFEEA4"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Začiatok liečby alebo nového cyklu liečby sa má odložiť u pacientov s nezahojenými otvorenými léziami mäkkého tkaniva v ústach, s výnimkou pohotovostných lekárskych situácií. </w:t>
      </w:r>
    </w:p>
    <w:p w14:paraId="4BA2E8BD"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p>
    <w:p w14:paraId="43C76883"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Prehliadka chrupu s vhodnými preventívnymi dentálnymi zákrokmi a stanovenie individuálneho pomeru prínosu a rizika sa odporúča pred liečbou bisfosfonátmi u pacientov so sprievodnými rizikovými faktormi. </w:t>
      </w:r>
    </w:p>
    <w:p w14:paraId="540138DD"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p>
    <w:p w14:paraId="4DEF56DE" w14:textId="4F7EA4F1"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Pri hodnotení individuálneho rizika vzniku ONJ u pacienta sa majú vziať do úvahy nasledujúce rizikové faktory: </w:t>
      </w:r>
    </w:p>
    <w:p w14:paraId="71E461A8" w14:textId="77777777" w:rsidR="000F4377" w:rsidRPr="003F71D2" w:rsidRDefault="000F4377" w:rsidP="003F71D2">
      <w:pPr>
        <w:numPr>
          <w:ilvl w:val="0"/>
          <w:numId w:val="11"/>
        </w:numPr>
        <w:autoSpaceDE w:val="0"/>
        <w:autoSpaceDN w:val="0"/>
        <w:adjustRightInd w:val="0"/>
        <w:spacing w:after="0" w:line="240" w:lineRule="auto"/>
        <w:ind w:left="720" w:hanging="360"/>
        <w:rPr>
          <w:rFonts w:ascii="Times New Roman" w:hAnsi="Times New Roman" w:cs="Times New Roman"/>
          <w:color w:val="000000"/>
          <w:lang w:val="sk-SK"/>
        </w:rPr>
      </w:pPr>
      <w:r w:rsidRPr="003F71D2">
        <w:rPr>
          <w:rFonts w:ascii="Times New Roman" w:hAnsi="Times New Roman" w:cs="Times New Roman"/>
          <w:color w:val="000000"/>
          <w:lang w:val="sk-SK"/>
        </w:rPr>
        <w:t xml:space="preserve">Účinnosť bisfosfonátu (vyššie riziko pri vysoko účinných látkach), cesta podania (vyššie riziko pri parenterálnom podaní) a kumulatívna dávka bisfosfonátu. </w:t>
      </w:r>
    </w:p>
    <w:p w14:paraId="61835028" w14:textId="77777777" w:rsidR="000F4377" w:rsidRPr="003F71D2" w:rsidRDefault="000F4377" w:rsidP="003F71D2">
      <w:pPr>
        <w:numPr>
          <w:ilvl w:val="0"/>
          <w:numId w:val="11"/>
        </w:numPr>
        <w:autoSpaceDE w:val="0"/>
        <w:autoSpaceDN w:val="0"/>
        <w:adjustRightInd w:val="0"/>
        <w:spacing w:after="0" w:line="240" w:lineRule="auto"/>
        <w:ind w:left="720" w:hanging="360"/>
        <w:rPr>
          <w:rFonts w:ascii="Times New Roman" w:hAnsi="Times New Roman" w:cs="Times New Roman"/>
          <w:color w:val="000000"/>
          <w:lang w:val="sk-SK"/>
        </w:rPr>
      </w:pPr>
      <w:r w:rsidRPr="003F71D2">
        <w:rPr>
          <w:rFonts w:ascii="Times New Roman" w:hAnsi="Times New Roman" w:cs="Times New Roman"/>
          <w:color w:val="000000"/>
          <w:lang w:val="sk-SK"/>
        </w:rPr>
        <w:t xml:space="preserve">Rakovina, sprievodné choroby (napr. anémia, koagulopatie, infekcia), fajčenie. </w:t>
      </w:r>
    </w:p>
    <w:p w14:paraId="05A6FE8E" w14:textId="77777777" w:rsidR="000F4377" w:rsidRPr="003F71D2" w:rsidRDefault="000F4377" w:rsidP="003F71D2">
      <w:pPr>
        <w:numPr>
          <w:ilvl w:val="0"/>
          <w:numId w:val="11"/>
        </w:numPr>
        <w:autoSpaceDE w:val="0"/>
        <w:autoSpaceDN w:val="0"/>
        <w:adjustRightInd w:val="0"/>
        <w:spacing w:after="0" w:line="240" w:lineRule="auto"/>
        <w:ind w:left="720" w:hanging="360"/>
        <w:rPr>
          <w:rFonts w:ascii="Times New Roman" w:hAnsi="Times New Roman" w:cs="Times New Roman"/>
          <w:color w:val="000000"/>
          <w:lang w:val="sk-SK"/>
        </w:rPr>
      </w:pPr>
      <w:r w:rsidRPr="003F71D2">
        <w:rPr>
          <w:rFonts w:ascii="Times New Roman" w:hAnsi="Times New Roman" w:cs="Times New Roman"/>
          <w:color w:val="000000"/>
          <w:lang w:val="sk-SK"/>
        </w:rPr>
        <w:t xml:space="preserve">Súbežná liečba: chemoterapia , inhibítory angiogenézy (pozri časť 4.5), rádioterapia krku a hlavy, kortikosteroidy. </w:t>
      </w:r>
    </w:p>
    <w:p w14:paraId="72802FE6" w14:textId="77777777" w:rsidR="000F4377" w:rsidRPr="003F71D2" w:rsidRDefault="000F4377" w:rsidP="003F71D2">
      <w:pPr>
        <w:numPr>
          <w:ilvl w:val="0"/>
          <w:numId w:val="11"/>
        </w:numPr>
        <w:autoSpaceDE w:val="0"/>
        <w:autoSpaceDN w:val="0"/>
        <w:adjustRightInd w:val="0"/>
        <w:spacing w:after="0" w:line="240" w:lineRule="auto"/>
        <w:ind w:left="720" w:hanging="360"/>
        <w:rPr>
          <w:rFonts w:ascii="Times New Roman" w:hAnsi="Times New Roman" w:cs="Times New Roman"/>
          <w:color w:val="000000"/>
          <w:lang w:val="sk-SK"/>
        </w:rPr>
      </w:pPr>
      <w:r w:rsidRPr="003F71D2">
        <w:rPr>
          <w:rFonts w:ascii="Times New Roman" w:hAnsi="Times New Roman" w:cs="Times New Roman"/>
          <w:color w:val="000000"/>
          <w:lang w:val="sk-SK"/>
        </w:rPr>
        <w:t xml:space="preserve">Choroba zubov v anamnéze, nedostatočná hygiena ústnej dutiny, choroba periodontu, invazívne dentálne zákroky (napr. extrakcie zubov) a nesprávne priliehajúce zubné protézy. </w:t>
      </w:r>
    </w:p>
    <w:p w14:paraId="3ABA921A"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p>
    <w:p w14:paraId="2283B98D"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Všetkým pacientom sa má odporučiť, aby počas liečby Zomikosom udržiavali náležitú hygienu ústnej dutiny, chodili na bežné prehliadky chrupu a okamžite hlásili akékoľvek symptómy týkajúce sa úst, </w:t>
      </w:r>
      <w:r w:rsidR="0058229A" w:rsidRPr="003F71D2">
        <w:rPr>
          <w:rFonts w:ascii="Times New Roman" w:hAnsi="Times New Roman" w:cs="Times New Roman"/>
          <w:color w:val="000000"/>
          <w:lang w:val="sk-SK"/>
        </w:rPr>
        <w:t>ako</w:t>
      </w:r>
      <w:r w:rsidRPr="003F71D2">
        <w:rPr>
          <w:rFonts w:ascii="Times New Roman" w:hAnsi="Times New Roman" w:cs="Times New Roman"/>
          <w:color w:val="000000"/>
          <w:lang w:val="sk-SK"/>
        </w:rPr>
        <w:t>. uvoľnenie zuba, bolesť alebo opuch, alebo nehojace sa bolestivé miesta</w:t>
      </w:r>
      <w:r w:rsidR="003E7FC3" w:rsidRPr="003F71D2">
        <w:rPr>
          <w:rFonts w:ascii="Times New Roman" w:hAnsi="Times New Roman" w:cs="Times New Roman"/>
          <w:color w:val="000000"/>
          <w:lang w:val="sk-SK"/>
        </w:rPr>
        <w:t xml:space="preserve"> alebo výtok</w:t>
      </w:r>
      <w:r w:rsidRPr="003F71D2">
        <w:rPr>
          <w:rFonts w:ascii="Times New Roman" w:hAnsi="Times New Roman" w:cs="Times New Roman"/>
          <w:color w:val="000000"/>
          <w:lang w:val="sk-SK"/>
        </w:rPr>
        <w:t xml:space="preserve">. Invazívne dentálne </w:t>
      </w:r>
      <w:r w:rsidRPr="003F71D2">
        <w:rPr>
          <w:rFonts w:ascii="Times New Roman" w:hAnsi="Times New Roman" w:cs="Times New Roman"/>
          <w:color w:val="000000"/>
          <w:lang w:val="sk-SK"/>
        </w:rPr>
        <w:lastRenderedPageBreak/>
        <w:t>zákroky sa počas liečby majú vykonávať iba po starostlivom zvážení a je potrebné sa im vyhnúť krátko pred podaním kyseliny zoledrónovej</w:t>
      </w:r>
      <w:r w:rsidR="00854193" w:rsidRPr="003F71D2">
        <w:rPr>
          <w:rFonts w:ascii="Times New Roman" w:hAnsi="Times New Roman" w:cs="Times New Roman"/>
          <w:color w:val="000000"/>
          <w:lang w:val="sk-SK"/>
        </w:rPr>
        <w:t xml:space="preserve"> alebo po ňom</w:t>
      </w:r>
      <w:r w:rsidRPr="003F71D2">
        <w:rPr>
          <w:rFonts w:ascii="Times New Roman" w:hAnsi="Times New Roman" w:cs="Times New Roman"/>
          <w:color w:val="000000"/>
          <w:lang w:val="sk-SK"/>
        </w:rPr>
        <w:t xml:space="preserve">. </w:t>
      </w:r>
    </w:p>
    <w:p w14:paraId="5F9C9F26"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Dentálny chirurgický zákrok môže zhoršiť stav pacientov, u ktorých počas liečby bifosfonátom vznikne osteonekróza čeľuste. Nie sú dostupné údaje, ktoré by ukázali, či prerušenie liečby bisfosfonátom znižuje riziko osteonekrózy čeľuste u pacientov, ktorí potrebujú dentálne zákroky. </w:t>
      </w:r>
    </w:p>
    <w:p w14:paraId="16926773"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p>
    <w:p w14:paraId="099756CF"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Plán liečby pacientov, u ktorých sa vyvinie osteonekróza čeľuste, majú zostaviť v úzkej spolupráci ošetrujúci lekár a zubný lekár alebo stomatochirurg, ktorý je odborníkom na osteonekrózu čeľuste. </w:t>
      </w:r>
    </w:p>
    <w:p w14:paraId="0DEA073D"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p>
    <w:p w14:paraId="66245FF0" w14:textId="77777777" w:rsidR="000F4377" w:rsidRPr="003F71D2" w:rsidRDefault="000F4377" w:rsidP="003F71D2">
      <w:pPr>
        <w:autoSpaceDE w:val="0"/>
        <w:autoSpaceDN w:val="0"/>
        <w:adjustRightInd w:val="0"/>
        <w:spacing w:after="0" w:line="240" w:lineRule="auto"/>
        <w:rPr>
          <w:rFonts w:ascii="Times New Roman" w:hAnsi="Times New Roman" w:cs="Times New Roman"/>
          <w:color w:val="000000"/>
          <w:lang w:val="sk-SK"/>
        </w:rPr>
      </w:pPr>
      <w:r w:rsidRPr="003F71D2">
        <w:rPr>
          <w:rFonts w:ascii="Times New Roman" w:hAnsi="Times New Roman" w:cs="Times New Roman"/>
          <w:color w:val="000000"/>
          <w:lang w:val="sk-SK"/>
        </w:rPr>
        <w:t xml:space="preserve">Má sa zvážiť dočasné prerušenie liečby kyselinou zoledrónovou až do vymiznutia ochorenia a oslabenia faktorov prispievajúcich k riziku, pokiaľ je to možné. </w:t>
      </w:r>
    </w:p>
    <w:p w14:paraId="1C815D8B" w14:textId="77777777" w:rsidR="00735EF5" w:rsidRPr="003F71D2" w:rsidRDefault="00735EF5" w:rsidP="003F71D2">
      <w:pPr>
        <w:pStyle w:val="Default"/>
        <w:rPr>
          <w:sz w:val="22"/>
          <w:szCs w:val="22"/>
          <w:lang w:val="sk-SK"/>
        </w:rPr>
      </w:pPr>
    </w:p>
    <w:p w14:paraId="29EE71CB" w14:textId="0AE74CCB" w:rsidR="00707820" w:rsidRPr="00C63330" w:rsidRDefault="00707820" w:rsidP="003F71D2">
      <w:pPr>
        <w:autoSpaceDE w:val="0"/>
        <w:autoSpaceDN w:val="0"/>
        <w:adjustRightInd w:val="0"/>
        <w:spacing w:after="0" w:line="240" w:lineRule="auto"/>
        <w:rPr>
          <w:rFonts w:ascii="Times New Roman" w:hAnsi="Times New Roman" w:cs="Times New Roman"/>
          <w:u w:val="single"/>
          <w:lang w:val="sk-SK"/>
        </w:rPr>
      </w:pPr>
      <w:r w:rsidRPr="00C63330">
        <w:rPr>
          <w:rFonts w:ascii="Times New Roman" w:hAnsi="Times New Roman" w:cs="Times New Roman"/>
          <w:u w:val="single"/>
          <w:lang w:val="sk-SK"/>
        </w:rPr>
        <w:t xml:space="preserve">Osteonekróza </w:t>
      </w:r>
      <w:r w:rsidR="00C15E0E" w:rsidRPr="00C63330">
        <w:rPr>
          <w:rFonts w:ascii="Times New Roman" w:hAnsi="Times New Roman" w:cs="Times New Roman"/>
          <w:u w:val="single"/>
          <w:lang w:val="sk-SK"/>
        </w:rPr>
        <w:t>iných anatomických častí</w:t>
      </w:r>
    </w:p>
    <w:p w14:paraId="3B90397C" w14:textId="77777777" w:rsidR="00707820" w:rsidRPr="003F71D2" w:rsidRDefault="00707820" w:rsidP="003F71D2">
      <w:pPr>
        <w:autoSpaceDE w:val="0"/>
        <w:autoSpaceDN w:val="0"/>
        <w:adjustRightInd w:val="0"/>
        <w:spacing w:after="0" w:line="240" w:lineRule="auto"/>
        <w:rPr>
          <w:rFonts w:ascii="Times New Roman" w:hAnsi="Times New Roman" w:cs="Times New Roman"/>
          <w:lang w:val="sk-SK"/>
        </w:rPr>
      </w:pPr>
      <w:r w:rsidRPr="003F71D2">
        <w:rPr>
          <w:rFonts w:ascii="Times New Roman" w:hAnsi="Times New Roman" w:cs="Times New Roman"/>
          <w:lang w:val="sk-SK"/>
        </w:rPr>
        <w:t>Pri používaní bisfosfonátov bola hlásená osteonekróza vonkajšieho zvukovodu, najmä v súvislosti s</w:t>
      </w:r>
    </w:p>
    <w:p w14:paraId="26FA217D" w14:textId="77777777" w:rsidR="00707820" w:rsidRPr="003F71D2" w:rsidRDefault="00707820" w:rsidP="003F71D2">
      <w:pPr>
        <w:autoSpaceDE w:val="0"/>
        <w:autoSpaceDN w:val="0"/>
        <w:adjustRightInd w:val="0"/>
        <w:spacing w:after="0" w:line="240" w:lineRule="auto"/>
        <w:rPr>
          <w:rFonts w:ascii="Times New Roman" w:hAnsi="Times New Roman" w:cs="Times New Roman"/>
          <w:lang w:val="sk-SK"/>
        </w:rPr>
      </w:pPr>
      <w:r w:rsidRPr="003F71D2">
        <w:rPr>
          <w:rFonts w:ascii="Times New Roman" w:hAnsi="Times New Roman" w:cs="Times New Roman"/>
          <w:lang w:val="sk-SK"/>
        </w:rPr>
        <w:t>dlhodobou liečbou. K možným rizikovým faktorom osteonekrózy vonkajšieho zvukovodu patrí</w:t>
      </w:r>
    </w:p>
    <w:p w14:paraId="64E39146" w14:textId="77777777" w:rsidR="00707820" w:rsidRPr="003F71D2" w:rsidRDefault="00707820" w:rsidP="003F71D2">
      <w:pPr>
        <w:autoSpaceDE w:val="0"/>
        <w:autoSpaceDN w:val="0"/>
        <w:adjustRightInd w:val="0"/>
        <w:spacing w:after="0" w:line="240" w:lineRule="auto"/>
        <w:rPr>
          <w:rFonts w:ascii="Times New Roman" w:hAnsi="Times New Roman" w:cs="Times New Roman"/>
          <w:lang w:val="sk-SK"/>
        </w:rPr>
      </w:pPr>
      <w:r w:rsidRPr="003F71D2">
        <w:rPr>
          <w:rFonts w:ascii="Times New Roman" w:hAnsi="Times New Roman" w:cs="Times New Roman"/>
          <w:lang w:val="sk-SK"/>
        </w:rPr>
        <w:t>používanie steroidov a chemoterapia a/alebo miestne rizikové faktory, ako je infekcia alebo trauma.</w:t>
      </w:r>
    </w:p>
    <w:p w14:paraId="0949149B" w14:textId="77777777" w:rsidR="00707820" w:rsidRPr="003F71D2" w:rsidRDefault="00707820" w:rsidP="003F71D2">
      <w:pPr>
        <w:autoSpaceDE w:val="0"/>
        <w:autoSpaceDN w:val="0"/>
        <w:adjustRightInd w:val="0"/>
        <w:spacing w:after="0" w:line="240" w:lineRule="auto"/>
        <w:rPr>
          <w:rFonts w:ascii="Times New Roman" w:hAnsi="Times New Roman" w:cs="Times New Roman"/>
          <w:lang w:val="sk-SK"/>
        </w:rPr>
      </w:pPr>
      <w:r w:rsidRPr="003F71D2">
        <w:rPr>
          <w:rFonts w:ascii="Times New Roman" w:hAnsi="Times New Roman" w:cs="Times New Roman"/>
          <w:lang w:val="sk-SK"/>
        </w:rPr>
        <w:t>Možnosť osteonekrózy vonkajšieho zvukovodu treba zvážiť u pacientov užívajúcich bisfosfonáty,</w:t>
      </w:r>
    </w:p>
    <w:p w14:paraId="53A8408B" w14:textId="77777777" w:rsidR="00707820" w:rsidRPr="003F71D2" w:rsidRDefault="00707820" w:rsidP="003F71D2">
      <w:pPr>
        <w:autoSpaceDE w:val="0"/>
        <w:autoSpaceDN w:val="0"/>
        <w:adjustRightInd w:val="0"/>
        <w:spacing w:after="0" w:line="240" w:lineRule="auto"/>
        <w:rPr>
          <w:rFonts w:ascii="Times New Roman" w:hAnsi="Times New Roman" w:cs="Times New Roman"/>
          <w:lang w:val="sk-SK"/>
        </w:rPr>
      </w:pPr>
      <w:r w:rsidRPr="003F71D2">
        <w:rPr>
          <w:rFonts w:ascii="Times New Roman" w:hAnsi="Times New Roman" w:cs="Times New Roman"/>
          <w:lang w:val="sk-SK"/>
        </w:rPr>
        <w:t>ktorí majú ušné symptómy vrátane chronických ušných infekcií.</w:t>
      </w:r>
    </w:p>
    <w:p w14:paraId="78C10436" w14:textId="77777777" w:rsidR="00707820" w:rsidRPr="003F71D2" w:rsidRDefault="00707820" w:rsidP="003F71D2">
      <w:pPr>
        <w:pStyle w:val="Default"/>
        <w:rPr>
          <w:sz w:val="22"/>
          <w:szCs w:val="22"/>
          <w:lang w:val="sk-SK"/>
        </w:rPr>
      </w:pPr>
    </w:p>
    <w:p w14:paraId="6D763579" w14:textId="2B6D4036" w:rsidR="00C15E0E" w:rsidRPr="00C63330" w:rsidRDefault="00C15E0E" w:rsidP="003F71D2">
      <w:pPr>
        <w:pStyle w:val="Default"/>
        <w:rPr>
          <w:b/>
          <w:bCs/>
          <w:sz w:val="22"/>
          <w:szCs w:val="22"/>
        </w:rPr>
      </w:pPr>
      <w:r w:rsidRPr="00C63330">
        <w:rPr>
          <w:b/>
          <w:bCs/>
          <w:sz w:val="22"/>
          <w:szCs w:val="22"/>
        </w:rPr>
        <w:t xml:space="preserve">Vyskytli sa tiež sporadické hlásenia o osteonekróze iných častí vrátane bedra a stehennej kosti, ktoré sa zaznamenali prevažne u dospelých pacientov s malignitami liečených </w:t>
      </w:r>
      <w:r w:rsidR="00235631" w:rsidRPr="00C63330">
        <w:rPr>
          <w:b/>
          <w:bCs/>
          <w:sz w:val="22"/>
          <w:szCs w:val="22"/>
        </w:rPr>
        <w:t xml:space="preserve">liekom </w:t>
      </w:r>
      <w:r w:rsidRPr="00C63330">
        <w:rPr>
          <w:b/>
          <w:bCs/>
          <w:sz w:val="22"/>
          <w:szCs w:val="22"/>
        </w:rPr>
        <w:t>Zomikos.</w:t>
      </w:r>
    </w:p>
    <w:p w14:paraId="7E60A9D1" w14:textId="77777777" w:rsidR="00C15E0E" w:rsidRPr="003F71D2" w:rsidRDefault="00C15E0E" w:rsidP="003F71D2">
      <w:pPr>
        <w:pStyle w:val="Default"/>
        <w:rPr>
          <w:sz w:val="22"/>
          <w:szCs w:val="22"/>
          <w:lang w:val="sk-SK"/>
        </w:rPr>
      </w:pPr>
    </w:p>
    <w:p w14:paraId="1FCB8527" w14:textId="77777777" w:rsidR="00735EF5" w:rsidRPr="003F71D2" w:rsidRDefault="00DB3564" w:rsidP="003F71D2">
      <w:pPr>
        <w:pStyle w:val="Default"/>
        <w:rPr>
          <w:sz w:val="22"/>
          <w:szCs w:val="22"/>
          <w:u w:val="single"/>
          <w:lang w:val="sk-SK"/>
        </w:rPr>
      </w:pPr>
      <w:r w:rsidRPr="003F71D2">
        <w:rPr>
          <w:sz w:val="22"/>
          <w:szCs w:val="22"/>
          <w:u w:val="single"/>
          <w:lang w:val="sk-SK"/>
        </w:rPr>
        <w:t xml:space="preserve">Bolesť svalov a kostí </w:t>
      </w:r>
    </w:p>
    <w:p w14:paraId="5DBFF49F" w14:textId="4885383E" w:rsidR="00735EF5" w:rsidRPr="003F71D2" w:rsidRDefault="00DB3564" w:rsidP="003F71D2">
      <w:pPr>
        <w:pStyle w:val="Default"/>
        <w:rPr>
          <w:sz w:val="22"/>
          <w:szCs w:val="22"/>
          <w:lang w:val="sk-SK"/>
        </w:rPr>
      </w:pPr>
      <w:r w:rsidRPr="003F71D2">
        <w:rPr>
          <w:sz w:val="22"/>
          <w:szCs w:val="22"/>
          <w:lang w:val="sk-SK"/>
        </w:rPr>
        <w:t xml:space="preserve">Po uvedení na trh bola hlásená silná bolesť kostí, kĺbov a/alebo svalov, príležitostne znemožňujúca pohyblivosť u pacientov používajúcich </w:t>
      </w:r>
      <w:r w:rsidR="00F21B9D">
        <w:rPr>
          <w:sz w:val="22"/>
          <w:szCs w:val="22"/>
          <w:lang w:val="sk-SK"/>
        </w:rPr>
        <w:t xml:space="preserve">kyselinu </w:t>
      </w:r>
      <w:r w:rsidR="00F21B9D" w:rsidRPr="00C63330">
        <w:rPr>
          <w:sz w:val="22"/>
          <w:szCs w:val="22"/>
          <w:lang w:val="sk-SK"/>
        </w:rPr>
        <w:t>zoledrónovú</w:t>
      </w:r>
      <w:r w:rsidRPr="00C63330">
        <w:rPr>
          <w:sz w:val="20"/>
          <w:szCs w:val="20"/>
          <w:lang w:val="sk-SK"/>
        </w:rPr>
        <w:t xml:space="preserve">. </w:t>
      </w:r>
      <w:r w:rsidRPr="003F71D2">
        <w:rPr>
          <w:sz w:val="22"/>
          <w:szCs w:val="22"/>
          <w:lang w:val="sk-SK"/>
        </w:rPr>
        <w:t>Takéto hlásenia však neboli časté. Čas do nástupu symptómov sa rôznil od jedného dňa do niekoľkých mesiacov od začatia liečby. U väčšiny pacientov sa symptómy zmiernili po skončení liečby. Podsúbor pacientov mal recidívu symptómov, keď sa im znovu podal</w:t>
      </w:r>
      <w:r w:rsidR="00F21B9D">
        <w:rPr>
          <w:sz w:val="22"/>
          <w:szCs w:val="22"/>
          <w:lang w:val="sk-SK"/>
        </w:rPr>
        <w:t>a kyselina zoledrónová</w:t>
      </w:r>
      <w:r w:rsidRPr="003F71D2">
        <w:rPr>
          <w:sz w:val="22"/>
          <w:szCs w:val="22"/>
          <w:lang w:val="sk-SK"/>
        </w:rPr>
        <w:t xml:space="preserve"> alebo iný bisfosfonát. </w:t>
      </w:r>
    </w:p>
    <w:p w14:paraId="28184E3B" w14:textId="77777777" w:rsidR="00735EF5" w:rsidRPr="003F71D2" w:rsidRDefault="00735EF5" w:rsidP="003F71D2">
      <w:pPr>
        <w:pStyle w:val="Default"/>
        <w:rPr>
          <w:sz w:val="22"/>
          <w:szCs w:val="22"/>
          <w:lang w:val="sk-SK"/>
        </w:rPr>
      </w:pPr>
    </w:p>
    <w:p w14:paraId="477DF870" w14:textId="77777777" w:rsidR="00735EF5" w:rsidRPr="003F71D2" w:rsidRDefault="00DB3564" w:rsidP="003F71D2">
      <w:pPr>
        <w:pStyle w:val="Default"/>
        <w:rPr>
          <w:sz w:val="22"/>
          <w:szCs w:val="22"/>
          <w:u w:val="single"/>
          <w:lang w:val="sk-SK"/>
        </w:rPr>
      </w:pPr>
      <w:r w:rsidRPr="003F71D2">
        <w:rPr>
          <w:sz w:val="22"/>
          <w:szCs w:val="22"/>
          <w:u w:val="single"/>
          <w:lang w:val="sk-SK"/>
        </w:rPr>
        <w:t xml:space="preserve">Atypické zlomeniny stehennej kosti </w:t>
      </w:r>
    </w:p>
    <w:p w14:paraId="46B0B3B5" w14:textId="77777777" w:rsidR="00735EF5" w:rsidRPr="003F71D2" w:rsidRDefault="00DB3564" w:rsidP="003F71D2">
      <w:pPr>
        <w:pStyle w:val="Default"/>
        <w:rPr>
          <w:sz w:val="22"/>
          <w:szCs w:val="22"/>
          <w:lang w:val="sk-SK"/>
        </w:rPr>
      </w:pPr>
      <w:r w:rsidRPr="003F71D2">
        <w:rPr>
          <w:sz w:val="22"/>
          <w:szCs w:val="22"/>
          <w:lang w:val="sk-SK"/>
        </w:rPr>
        <w:t xml:space="preserve">Pri liečbe bisfosfonátmi boli hlásené atypické subtrochanterické a diafyzárne zlomeniny stehennej kosti, predovšetkým u pacientov, ktorí sa dlhodobo liečili na osteoporózu. Tieto priečne alebo krátke šikmé zlomeniny môžu vzniknúť kdekoľvek pozdĺž stehennej kosti, tesne pod malým trochanterom až po suprakondylickú časť. K týmto zlomeninám dochádza po minimálnej alebo žiadnej traume a u niektorých pacientov sa niekoľko týždňov až mesiacov pred vznikom úplnej zlomeniny stehennej kosti vyskytne bolesť v stehne alebo slabine, pri zobrazovacom vyšetrení často spojená s charakteristikami únavovej zlomeniny. Zlomeniny sú často bilaterálne, preto sa má u pacientov liečených bisfosfonátmi, ktorí utrpeli zlomeninu stehennej kosti, vyšetriť aj kontralaterálna stehenná kosť. Hlásené bolo tiež nedostatočné hojenie týchto zlomenín. U pacientov s podozrením na atypickú zlomeninu stehennej kosti sa má na základe individuálneho zhodnotenia prínosu a rizika pre pacienta zvážiť prerušenie liečby bisfosfonátmi. </w:t>
      </w:r>
    </w:p>
    <w:p w14:paraId="03EB0A7D" w14:textId="77777777" w:rsidR="00735EF5" w:rsidRPr="003F71D2" w:rsidRDefault="00DB3564" w:rsidP="003F71D2">
      <w:pPr>
        <w:pStyle w:val="Default"/>
        <w:rPr>
          <w:sz w:val="22"/>
          <w:szCs w:val="22"/>
          <w:lang w:val="sk-SK"/>
        </w:rPr>
      </w:pPr>
      <w:r w:rsidRPr="003F71D2">
        <w:rPr>
          <w:sz w:val="22"/>
          <w:szCs w:val="22"/>
          <w:lang w:val="sk-SK"/>
        </w:rPr>
        <w:t xml:space="preserve">Počas liečby bisfosfonátmi treba pacientov poučiť, aby hlásili akúkoľvek bolesť v stehne, bedre alebo slabine a každého pacienta s takýmito príznakmi je potrebné vyšetriť na prítomnosť neúplnej zlomeniny stehennej kosti. </w:t>
      </w:r>
    </w:p>
    <w:p w14:paraId="6AFE07D1" w14:textId="77777777" w:rsidR="00735EF5" w:rsidRPr="003F71D2" w:rsidRDefault="00735EF5" w:rsidP="003F71D2">
      <w:pPr>
        <w:pStyle w:val="Default"/>
        <w:rPr>
          <w:b/>
          <w:bCs/>
          <w:sz w:val="22"/>
          <w:szCs w:val="22"/>
          <w:lang w:val="sk-SK"/>
        </w:rPr>
      </w:pPr>
    </w:p>
    <w:p w14:paraId="2E7ED5C9" w14:textId="77777777" w:rsidR="00396DD0" w:rsidRPr="003F71D2" w:rsidRDefault="00396DD0" w:rsidP="003F71D2">
      <w:pPr>
        <w:pStyle w:val="Default"/>
        <w:rPr>
          <w:sz w:val="22"/>
          <w:szCs w:val="22"/>
          <w:u w:val="single"/>
          <w:lang w:val="sk-SK"/>
        </w:rPr>
      </w:pPr>
      <w:r w:rsidRPr="003F71D2">
        <w:rPr>
          <w:sz w:val="22"/>
          <w:szCs w:val="22"/>
          <w:u w:val="single"/>
          <w:lang w:val="sk-SK"/>
        </w:rPr>
        <w:t xml:space="preserve">Hypokalciémia </w:t>
      </w:r>
    </w:p>
    <w:p w14:paraId="52DC5968" w14:textId="1455D938" w:rsidR="00396DD0" w:rsidRPr="003F71D2" w:rsidRDefault="00396DD0" w:rsidP="003F71D2">
      <w:pPr>
        <w:pStyle w:val="Default"/>
        <w:rPr>
          <w:sz w:val="22"/>
          <w:szCs w:val="22"/>
        </w:rPr>
      </w:pPr>
      <w:r w:rsidRPr="003F71D2">
        <w:rPr>
          <w:sz w:val="22"/>
          <w:szCs w:val="22"/>
          <w:lang w:val="sk-SK"/>
        </w:rPr>
        <w:t xml:space="preserve">U pacientov liečených kyselinou </w:t>
      </w:r>
      <w:r w:rsidR="002A61A3" w:rsidRPr="003F71D2">
        <w:rPr>
          <w:sz w:val="22"/>
          <w:szCs w:val="22"/>
          <w:lang w:val="sk-SK"/>
        </w:rPr>
        <w:t>zolendrónovou</w:t>
      </w:r>
      <w:r w:rsidRPr="003F71D2">
        <w:rPr>
          <w:sz w:val="22"/>
          <w:szCs w:val="22"/>
          <w:lang w:val="sk-SK"/>
        </w:rPr>
        <w:t xml:space="preserve"> sa zaznamenala hypokalciémia. Popri prípadoch závažnej hypokalciémie sa sekundárne zaznamenali srdcové arytmie a neurologické nežiaduce udalosti (vrátane kŕčov, hypoestézie a tetanie). Zaznamenali sa prípady závažnej hypokalciémie vyžadujúcej hospitalizáciu. V niektorých prípadoch sa môže vyskytnúť hypokalciémia ohrozujúca život (pozri časť 4.8). Pri podávaní Zomikosu spolu s liekmi, ktoré spôsobujú hypokalciémiu, sa z dôvodu možných synergických účinkov končiacich </w:t>
      </w:r>
      <w:r w:rsidR="002A61A3" w:rsidRPr="003F71D2">
        <w:rPr>
          <w:sz w:val="22"/>
          <w:szCs w:val="22"/>
          <w:lang w:val="sk-SK"/>
        </w:rPr>
        <w:t>závažnou</w:t>
      </w:r>
      <w:r w:rsidRPr="003F71D2">
        <w:rPr>
          <w:sz w:val="22"/>
          <w:szCs w:val="22"/>
          <w:lang w:val="sk-SK"/>
        </w:rPr>
        <w:t xml:space="preserve"> hypokalciémiou odporúča opatrnosť (pozri časť 4.5). Pred začatím liečby Zomikosom sa má stanoviť vápnik v sére a musí sa upraviť hypokalciémia. </w:t>
      </w:r>
      <w:r w:rsidRPr="003F71D2">
        <w:rPr>
          <w:sz w:val="22"/>
          <w:szCs w:val="22"/>
        </w:rPr>
        <w:t>Pacientom sa má</w:t>
      </w:r>
      <w:r w:rsidR="009C5191" w:rsidRPr="003F71D2">
        <w:rPr>
          <w:sz w:val="22"/>
          <w:szCs w:val="22"/>
        </w:rPr>
        <w:t xml:space="preserve"> adekvátne dopĺňať</w:t>
      </w:r>
      <w:r w:rsidRPr="003F71D2">
        <w:rPr>
          <w:sz w:val="22"/>
          <w:szCs w:val="22"/>
        </w:rPr>
        <w:t xml:space="preserve"> vápnik a vitamín</w:t>
      </w:r>
      <w:r w:rsidR="009C5191" w:rsidRPr="003F71D2">
        <w:rPr>
          <w:sz w:val="22"/>
          <w:szCs w:val="22"/>
        </w:rPr>
        <w:t xml:space="preserve"> </w:t>
      </w:r>
      <w:r w:rsidRPr="003F71D2">
        <w:rPr>
          <w:sz w:val="22"/>
          <w:szCs w:val="22"/>
        </w:rPr>
        <w:t xml:space="preserve">D. </w:t>
      </w:r>
    </w:p>
    <w:p w14:paraId="6A5EDF5E" w14:textId="39B37566" w:rsidR="0058229A" w:rsidRDefault="0058229A" w:rsidP="003F71D2">
      <w:pPr>
        <w:pStyle w:val="Default"/>
        <w:rPr>
          <w:b/>
          <w:bCs/>
          <w:sz w:val="22"/>
          <w:szCs w:val="22"/>
          <w:lang w:val="sk-SK"/>
        </w:rPr>
      </w:pPr>
    </w:p>
    <w:p w14:paraId="082790CB" w14:textId="6065DBEC" w:rsidR="00BF6F1B" w:rsidRPr="00C63330" w:rsidRDefault="003449A7" w:rsidP="00BF6F1B">
      <w:pPr>
        <w:pStyle w:val="Default"/>
        <w:rPr>
          <w:b/>
          <w:bCs/>
          <w:sz w:val="22"/>
          <w:szCs w:val="22"/>
          <w:lang w:val="sk-SK"/>
        </w:rPr>
      </w:pPr>
      <w:bookmarkStart w:id="0" w:name="_Hlk59535770"/>
      <w:r w:rsidRPr="00C63330">
        <w:rPr>
          <w:b/>
          <w:bCs/>
          <w:sz w:val="22"/>
          <w:szCs w:val="22"/>
          <w:lang w:val="sk-SK"/>
        </w:rPr>
        <w:t>Zomikos</w:t>
      </w:r>
      <w:bookmarkEnd w:id="0"/>
      <w:r w:rsidR="00BF6F1B" w:rsidRPr="00C63330">
        <w:rPr>
          <w:b/>
          <w:bCs/>
          <w:sz w:val="22"/>
          <w:szCs w:val="22"/>
          <w:lang w:val="sk-SK"/>
        </w:rPr>
        <w:t xml:space="preserve"> obsahuje </w:t>
      </w:r>
      <w:r w:rsidR="00E96A6F" w:rsidRPr="00C63330">
        <w:rPr>
          <w:b/>
          <w:bCs/>
          <w:sz w:val="22"/>
          <w:szCs w:val="22"/>
          <w:lang w:val="sk-SK"/>
        </w:rPr>
        <w:t>sodík</w:t>
      </w:r>
    </w:p>
    <w:p w14:paraId="70EA8134" w14:textId="43B8267B" w:rsidR="00BF6F1B" w:rsidRPr="00C63330" w:rsidRDefault="00BF6F1B" w:rsidP="00BE2B33">
      <w:pPr>
        <w:pStyle w:val="Default"/>
        <w:rPr>
          <w:sz w:val="22"/>
          <w:szCs w:val="22"/>
        </w:rPr>
      </w:pPr>
      <w:r w:rsidRPr="00C63330">
        <w:rPr>
          <w:sz w:val="22"/>
          <w:szCs w:val="22"/>
          <w:lang w:val="sk-SK"/>
        </w:rPr>
        <w:t>Tento liek obsahuje menej ako 1 mmol sodíka (23 mg) v jednej 5 ml injekčnej liekovke, t.j. v podstate zanedbateľné množstvo sodíka.</w:t>
      </w:r>
      <w:r w:rsidR="00BE2B33" w:rsidRPr="00BE2B33">
        <w:rPr>
          <w:sz w:val="22"/>
          <w:szCs w:val="22"/>
          <w:lang w:val="sk-SK"/>
        </w:rPr>
        <w:t xml:space="preserve"> </w:t>
      </w:r>
    </w:p>
    <w:p w14:paraId="34AB980E" w14:textId="77777777" w:rsidR="00BF6F1B" w:rsidRPr="003F71D2" w:rsidRDefault="00BF6F1B" w:rsidP="003F71D2">
      <w:pPr>
        <w:pStyle w:val="Default"/>
        <w:rPr>
          <w:b/>
          <w:bCs/>
          <w:sz w:val="22"/>
          <w:szCs w:val="22"/>
          <w:lang w:val="sk-SK"/>
        </w:rPr>
      </w:pPr>
    </w:p>
    <w:p w14:paraId="54AC0B43" w14:textId="375D7E59" w:rsidR="00735EF5" w:rsidRPr="003F71D2" w:rsidRDefault="00DB3564" w:rsidP="003F71D2">
      <w:pPr>
        <w:pStyle w:val="Default"/>
        <w:rPr>
          <w:sz w:val="22"/>
          <w:szCs w:val="22"/>
          <w:lang w:val="sk-SK"/>
        </w:rPr>
      </w:pPr>
      <w:r w:rsidRPr="003F71D2">
        <w:rPr>
          <w:b/>
          <w:bCs/>
          <w:sz w:val="22"/>
          <w:szCs w:val="22"/>
          <w:lang w:val="sk-SK"/>
        </w:rPr>
        <w:t>4.5</w:t>
      </w:r>
      <w:r w:rsidRPr="003F71D2">
        <w:rPr>
          <w:b/>
          <w:bCs/>
          <w:sz w:val="22"/>
          <w:szCs w:val="22"/>
          <w:lang w:val="sk-SK"/>
        </w:rPr>
        <w:tab/>
        <w:t xml:space="preserve">Liekové a iné interakcie </w:t>
      </w:r>
    </w:p>
    <w:p w14:paraId="6738FBAE" w14:textId="77777777" w:rsidR="00735EF5" w:rsidRPr="003F71D2" w:rsidRDefault="00735EF5" w:rsidP="003F71D2">
      <w:pPr>
        <w:pStyle w:val="Default"/>
        <w:rPr>
          <w:sz w:val="22"/>
          <w:szCs w:val="22"/>
          <w:lang w:val="sk-SK"/>
        </w:rPr>
      </w:pPr>
    </w:p>
    <w:p w14:paraId="101C2319" w14:textId="3C7AEA92" w:rsidR="00E4189D" w:rsidRPr="003F71D2" w:rsidRDefault="00DB3564" w:rsidP="003F71D2">
      <w:pPr>
        <w:pStyle w:val="Default"/>
        <w:rPr>
          <w:sz w:val="22"/>
          <w:szCs w:val="22"/>
          <w:lang w:val="sk-SK"/>
        </w:rPr>
      </w:pPr>
      <w:r w:rsidRPr="003F71D2">
        <w:rPr>
          <w:sz w:val="22"/>
          <w:szCs w:val="22"/>
          <w:lang w:val="sk-SK"/>
        </w:rPr>
        <w:t>V klinických skúšaniach sa kyselina zoledrónová podávala sú</w:t>
      </w:r>
      <w:r w:rsidR="009C5191" w:rsidRPr="003F71D2">
        <w:rPr>
          <w:sz w:val="22"/>
          <w:szCs w:val="22"/>
          <w:lang w:val="sk-SK"/>
        </w:rPr>
        <w:t>bežne</w:t>
      </w:r>
      <w:r w:rsidRPr="003F71D2">
        <w:rPr>
          <w:sz w:val="22"/>
          <w:szCs w:val="22"/>
          <w:lang w:val="sk-SK"/>
        </w:rPr>
        <w:t xml:space="preserve">s bežne používanými protinádorovými liekmi, diuretikami, antibiotikami a analgetikami bez toho, aby sa vyskytli klinicky zjavné interakcie. Kyselina zoledrónová sa </w:t>
      </w:r>
      <w:r w:rsidRPr="003F71D2">
        <w:rPr>
          <w:i/>
          <w:iCs/>
          <w:sz w:val="22"/>
          <w:szCs w:val="22"/>
          <w:lang w:val="sk-SK"/>
        </w:rPr>
        <w:t xml:space="preserve">in vitro </w:t>
      </w:r>
      <w:r w:rsidRPr="003F71D2">
        <w:rPr>
          <w:sz w:val="22"/>
          <w:szCs w:val="22"/>
          <w:lang w:val="sk-SK"/>
        </w:rPr>
        <w:t xml:space="preserve">neviaže vo významnej miere na bielkoviny plazmy a neinhibuje ľudské enzýmy P450 (pozri časť 5.2), neuskutočnili sa žiadne formálne klinické interakčné štúdie. </w:t>
      </w:r>
    </w:p>
    <w:p w14:paraId="227B243D" w14:textId="77777777" w:rsidR="00735EF5" w:rsidRPr="003F71D2" w:rsidRDefault="00DB3564" w:rsidP="003F71D2">
      <w:pPr>
        <w:pStyle w:val="Default"/>
        <w:rPr>
          <w:color w:val="auto"/>
          <w:sz w:val="22"/>
          <w:szCs w:val="22"/>
          <w:lang w:val="sk-SK"/>
        </w:rPr>
      </w:pPr>
      <w:r w:rsidRPr="003F71D2">
        <w:rPr>
          <w:color w:val="auto"/>
          <w:sz w:val="22"/>
          <w:szCs w:val="22"/>
          <w:lang w:val="sk-SK"/>
        </w:rPr>
        <w:t>Opatrnosť sa odporúča pri súčasnom podávaní bisfosfonátov s aminoglykozidmi,</w:t>
      </w:r>
      <w:r w:rsidR="0058229A" w:rsidRPr="003F71D2">
        <w:rPr>
          <w:color w:val="auto"/>
          <w:sz w:val="22"/>
          <w:szCs w:val="22"/>
          <w:lang w:val="sk-SK"/>
        </w:rPr>
        <w:t xml:space="preserve"> kalcitonínom alebo kľučkové diuretiká</w:t>
      </w:r>
      <w:r w:rsidR="000F69AC" w:rsidRPr="003F71D2">
        <w:rPr>
          <w:color w:val="auto"/>
          <w:sz w:val="22"/>
          <w:szCs w:val="22"/>
          <w:lang w:val="sk-SK"/>
        </w:rPr>
        <w:t>,</w:t>
      </w:r>
      <w:r w:rsidRPr="003F71D2">
        <w:rPr>
          <w:color w:val="auto"/>
          <w:sz w:val="22"/>
          <w:szCs w:val="22"/>
          <w:lang w:val="sk-SK"/>
        </w:rPr>
        <w:t xml:space="preserve"> pretože </w:t>
      </w:r>
      <w:r w:rsidR="000F69AC" w:rsidRPr="003F71D2">
        <w:rPr>
          <w:color w:val="auto"/>
          <w:sz w:val="22"/>
          <w:szCs w:val="22"/>
          <w:lang w:val="sk-SK"/>
        </w:rPr>
        <w:t>tieto</w:t>
      </w:r>
      <w:r w:rsidRPr="003F71D2">
        <w:rPr>
          <w:color w:val="auto"/>
          <w:sz w:val="22"/>
          <w:szCs w:val="22"/>
          <w:lang w:val="sk-SK"/>
        </w:rPr>
        <w:t xml:space="preserve"> liečiv</w:t>
      </w:r>
      <w:r w:rsidR="000F69AC" w:rsidRPr="003F71D2">
        <w:rPr>
          <w:color w:val="auto"/>
          <w:sz w:val="22"/>
          <w:szCs w:val="22"/>
          <w:lang w:val="sk-SK"/>
        </w:rPr>
        <w:t>á</w:t>
      </w:r>
      <w:r w:rsidRPr="003F71D2">
        <w:rPr>
          <w:color w:val="auto"/>
          <w:sz w:val="22"/>
          <w:szCs w:val="22"/>
          <w:lang w:val="sk-SK"/>
        </w:rPr>
        <w:t xml:space="preserve"> môžu mať aditívny účinok, čo má za následok nižšiu hladinu vápnika v sére na dlhšiu dobu, ako sa požaduje</w:t>
      </w:r>
      <w:r w:rsidR="000F69AC" w:rsidRPr="003F71D2">
        <w:rPr>
          <w:color w:val="auto"/>
          <w:sz w:val="22"/>
          <w:szCs w:val="22"/>
          <w:lang w:val="sk-SK"/>
        </w:rPr>
        <w:t xml:space="preserve"> (pozri časť 4.4)</w:t>
      </w:r>
      <w:r w:rsidRPr="003F71D2">
        <w:rPr>
          <w:color w:val="auto"/>
          <w:sz w:val="22"/>
          <w:szCs w:val="22"/>
          <w:lang w:val="sk-SK"/>
        </w:rPr>
        <w:t xml:space="preserve">. </w:t>
      </w:r>
    </w:p>
    <w:p w14:paraId="692A0DCD" w14:textId="77777777" w:rsidR="00735EF5" w:rsidRPr="003F71D2" w:rsidRDefault="00DB3564" w:rsidP="003F71D2">
      <w:pPr>
        <w:pStyle w:val="Default"/>
        <w:rPr>
          <w:color w:val="auto"/>
          <w:sz w:val="22"/>
          <w:szCs w:val="22"/>
          <w:lang w:val="sk-SK"/>
        </w:rPr>
      </w:pPr>
      <w:r w:rsidRPr="003F71D2">
        <w:rPr>
          <w:color w:val="auto"/>
          <w:sz w:val="22"/>
          <w:szCs w:val="22"/>
          <w:lang w:val="sk-SK"/>
        </w:rPr>
        <w:t xml:space="preserve">Pri použití </w:t>
      </w:r>
      <w:r w:rsidR="000F69AC" w:rsidRPr="003F71D2">
        <w:rPr>
          <w:color w:val="auto"/>
          <w:sz w:val="22"/>
          <w:szCs w:val="22"/>
          <w:lang w:val="sk-SK"/>
        </w:rPr>
        <w:t xml:space="preserve">kyseliny zoledrónovej </w:t>
      </w:r>
      <w:r w:rsidRPr="003F71D2">
        <w:rPr>
          <w:color w:val="auto"/>
          <w:sz w:val="22"/>
          <w:szCs w:val="22"/>
          <w:lang w:val="sk-SK"/>
        </w:rPr>
        <w:t xml:space="preserve">súčasne s inými potenciálne nefrotoxickými liekmi je nutná opatrnosť. Počas liečby sa musí venovať pozornosť aj možnému vzniku hypomagneziémie. </w:t>
      </w:r>
    </w:p>
    <w:p w14:paraId="4D82143A" w14:textId="77777777" w:rsidR="00CE1536" w:rsidRDefault="00CE1536" w:rsidP="003F71D2">
      <w:pPr>
        <w:pStyle w:val="Default"/>
        <w:rPr>
          <w:color w:val="auto"/>
          <w:sz w:val="22"/>
          <w:szCs w:val="22"/>
          <w:lang w:val="sk-SK"/>
        </w:rPr>
      </w:pPr>
    </w:p>
    <w:p w14:paraId="0D6062EB" w14:textId="163BE88D" w:rsidR="00735EF5" w:rsidRPr="003F71D2" w:rsidRDefault="00DB3564" w:rsidP="003F71D2">
      <w:pPr>
        <w:pStyle w:val="Default"/>
        <w:rPr>
          <w:color w:val="auto"/>
          <w:sz w:val="22"/>
          <w:szCs w:val="22"/>
          <w:lang w:val="sk-SK"/>
        </w:rPr>
      </w:pPr>
      <w:r w:rsidRPr="003F71D2">
        <w:rPr>
          <w:color w:val="auto"/>
          <w:sz w:val="22"/>
          <w:szCs w:val="22"/>
          <w:lang w:val="sk-SK"/>
        </w:rPr>
        <w:t xml:space="preserve">U pacientov s mnohopočetným myelómom sa môže zvýšiť riziko poruchy funkcie obličiek pri intravenóznom podaní </w:t>
      </w:r>
      <w:r w:rsidR="00CE1536">
        <w:rPr>
          <w:color w:val="auto"/>
          <w:sz w:val="22"/>
          <w:szCs w:val="22"/>
          <w:lang w:val="sk-SK"/>
        </w:rPr>
        <w:t>kyseliny zoledrónovej</w:t>
      </w:r>
      <w:r w:rsidR="00CE1536" w:rsidRPr="003F71D2">
        <w:rPr>
          <w:color w:val="auto"/>
          <w:sz w:val="22"/>
          <w:szCs w:val="22"/>
          <w:lang w:val="sk-SK"/>
        </w:rPr>
        <w:t xml:space="preserve"> </w:t>
      </w:r>
      <w:r w:rsidR="00022718" w:rsidRPr="003F71D2">
        <w:rPr>
          <w:color w:val="auto"/>
          <w:sz w:val="22"/>
          <w:szCs w:val="22"/>
          <w:lang w:val="sk-SK"/>
        </w:rPr>
        <w:t xml:space="preserve">v kombinácii s talidomidom. </w:t>
      </w:r>
    </w:p>
    <w:p w14:paraId="45BF84FF" w14:textId="77777777" w:rsidR="00396DD0" w:rsidRPr="003F71D2" w:rsidRDefault="00396DD0" w:rsidP="003F71D2">
      <w:pPr>
        <w:pStyle w:val="Default"/>
        <w:rPr>
          <w:sz w:val="22"/>
          <w:szCs w:val="22"/>
          <w:lang w:val="sk-SK"/>
        </w:rPr>
      </w:pPr>
      <w:r w:rsidRPr="003F71D2">
        <w:rPr>
          <w:sz w:val="22"/>
          <w:szCs w:val="22"/>
          <w:lang w:val="sk-SK"/>
        </w:rPr>
        <w:t xml:space="preserve">Opatrnosť sa odporúča pri podávaní Zomikosu súbežne s liekmi s antiangiogénnym účinkom z dôvodu hlásení o zvýšenej incidencii ONJ u pacientov liečených súbežne týmito liekmi. </w:t>
      </w:r>
    </w:p>
    <w:p w14:paraId="5F5E0A3E" w14:textId="77777777" w:rsidR="00C005BF" w:rsidRPr="003F71D2" w:rsidRDefault="00C005BF" w:rsidP="003F71D2">
      <w:pPr>
        <w:pStyle w:val="Default"/>
        <w:rPr>
          <w:color w:val="auto"/>
          <w:sz w:val="22"/>
          <w:szCs w:val="22"/>
          <w:lang w:val="sk-SK"/>
        </w:rPr>
      </w:pPr>
    </w:p>
    <w:p w14:paraId="35BBE409" w14:textId="18C4EF6E" w:rsidR="00C005BF" w:rsidRPr="003F71D2" w:rsidRDefault="00DB3564" w:rsidP="003F71D2">
      <w:pPr>
        <w:pStyle w:val="Default"/>
        <w:rPr>
          <w:sz w:val="22"/>
          <w:szCs w:val="22"/>
          <w:lang w:val="sk-SK"/>
        </w:rPr>
      </w:pPr>
      <w:r w:rsidRPr="003F71D2">
        <w:rPr>
          <w:b/>
          <w:bCs/>
          <w:sz w:val="22"/>
          <w:szCs w:val="22"/>
          <w:lang w:val="sk-SK"/>
        </w:rPr>
        <w:t>4.6</w:t>
      </w:r>
      <w:r w:rsidRPr="003F71D2">
        <w:rPr>
          <w:b/>
          <w:bCs/>
          <w:sz w:val="22"/>
          <w:szCs w:val="22"/>
          <w:lang w:val="sk-SK"/>
        </w:rPr>
        <w:tab/>
        <w:t xml:space="preserve">Fertilita, gravidita a laktácia </w:t>
      </w:r>
    </w:p>
    <w:p w14:paraId="0427FC3F" w14:textId="77777777" w:rsidR="00C005BF" w:rsidRPr="003F71D2" w:rsidRDefault="00C005BF" w:rsidP="003F71D2">
      <w:pPr>
        <w:pStyle w:val="Default"/>
        <w:rPr>
          <w:sz w:val="22"/>
          <w:szCs w:val="22"/>
          <w:lang w:val="sk-SK"/>
        </w:rPr>
      </w:pPr>
    </w:p>
    <w:p w14:paraId="0D04C199" w14:textId="77777777" w:rsidR="00C005BF" w:rsidRPr="003F71D2" w:rsidRDefault="00DB3564" w:rsidP="003F71D2">
      <w:pPr>
        <w:pStyle w:val="Default"/>
        <w:rPr>
          <w:sz w:val="22"/>
          <w:szCs w:val="22"/>
          <w:u w:val="single"/>
          <w:lang w:val="sk-SK"/>
        </w:rPr>
      </w:pPr>
      <w:r w:rsidRPr="003F71D2">
        <w:rPr>
          <w:sz w:val="22"/>
          <w:szCs w:val="22"/>
          <w:u w:val="single"/>
          <w:lang w:val="sk-SK"/>
        </w:rPr>
        <w:t xml:space="preserve">Gravidita </w:t>
      </w:r>
    </w:p>
    <w:p w14:paraId="0A83D3B7" w14:textId="719D1F09" w:rsidR="00396DD0" w:rsidRPr="003F71D2" w:rsidRDefault="00DB3564" w:rsidP="003F71D2">
      <w:pPr>
        <w:pStyle w:val="Default"/>
        <w:rPr>
          <w:sz w:val="22"/>
          <w:szCs w:val="22"/>
        </w:rPr>
      </w:pPr>
      <w:r w:rsidRPr="003F71D2">
        <w:rPr>
          <w:sz w:val="22"/>
          <w:szCs w:val="22"/>
          <w:lang w:val="sk-SK"/>
        </w:rPr>
        <w:t xml:space="preserve">Nie sú k dispozícii dostatočné údaje o použití kyseliny zoledrónovej u gravidných žien. Štúdie reprodukčnej toxicity kyseliny zoledrónovej na zvieratách preukázali reprodukčnú toxicitu (pozri časť </w:t>
      </w:r>
      <w:r w:rsidR="00022718" w:rsidRPr="003F71D2">
        <w:rPr>
          <w:sz w:val="22"/>
          <w:szCs w:val="22"/>
          <w:lang w:val="sk-SK"/>
        </w:rPr>
        <w:t xml:space="preserve">5.3). Nie je známe potenciálne riziko </w:t>
      </w:r>
      <w:r w:rsidR="009C5191" w:rsidRPr="003F71D2">
        <w:rPr>
          <w:sz w:val="22"/>
          <w:szCs w:val="22"/>
          <w:lang w:val="sk-SK"/>
        </w:rPr>
        <w:t>pre</w:t>
      </w:r>
      <w:r w:rsidR="00022718" w:rsidRPr="003F71D2">
        <w:rPr>
          <w:sz w:val="22"/>
          <w:szCs w:val="22"/>
          <w:lang w:val="sk-SK"/>
        </w:rPr>
        <w:t xml:space="preserve"> ľudí. Zomikos sa ne</w:t>
      </w:r>
      <w:r w:rsidR="003647B2" w:rsidRPr="003F71D2">
        <w:rPr>
          <w:sz w:val="22"/>
          <w:szCs w:val="22"/>
          <w:lang w:val="sk-SK"/>
        </w:rPr>
        <w:t>smie</w:t>
      </w:r>
      <w:r w:rsidR="00022718" w:rsidRPr="003F71D2">
        <w:rPr>
          <w:sz w:val="22"/>
          <w:szCs w:val="22"/>
          <w:lang w:val="sk-SK"/>
        </w:rPr>
        <w:t xml:space="preserve"> používať počas gravidity. </w:t>
      </w:r>
      <w:r w:rsidR="00396DD0" w:rsidRPr="003F71D2">
        <w:rPr>
          <w:sz w:val="22"/>
          <w:szCs w:val="22"/>
        </w:rPr>
        <w:t xml:space="preserve">Ženy vo fertilnom veku je potrebné poučiť, aby sa vyhli otehotneniu. </w:t>
      </w:r>
    </w:p>
    <w:p w14:paraId="7044640D" w14:textId="77777777" w:rsidR="00C005BF" w:rsidRPr="003F71D2" w:rsidRDefault="00C005BF" w:rsidP="003F71D2">
      <w:pPr>
        <w:pStyle w:val="Default"/>
        <w:rPr>
          <w:sz w:val="22"/>
          <w:szCs w:val="22"/>
          <w:lang w:val="sk-SK"/>
        </w:rPr>
      </w:pPr>
    </w:p>
    <w:p w14:paraId="0ABF34A5" w14:textId="77777777" w:rsidR="00C005BF" w:rsidRPr="003F71D2" w:rsidRDefault="00D84ABC" w:rsidP="003F71D2">
      <w:pPr>
        <w:pStyle w:val="Default"/>
        <w:rPr>
          <w:sz w:val="22"/>
          <w:szCs w:val="22"/>
          <w:u w:val="single"/>
          <w:lang w:val="sk-SK"/>
        </w:rPr>
      </w:pPr>
      <w:r w:rsidRPr="003F71D2">
        <w:rPr>
          <w:sz w:val="22"/>
          <w:szCs w:val="22"/>
          <w:u w:val="single"/>
          <w:lang w:val="sk-SK"/>
        </w:rPr>
        <w:t xml:space="preserve">Dojčenie </w:t>
      </w:r>
    </w:p>
    <w:p w14:paraId="64536366" w14:textId="77777777" w:rsidR="00C005BF" w:rsidRPr="003F71D2" w:rsidRDefault="00DB3564" w:rsidP="003F71D2">
      <w:pPr>
        <w:pStyle w:val="Default"/>
        <w:rPr>
          <w:sz w:val="22"/>
          <w:szCs w:val="22"/>
          <w:lang w:val="sk-SK"/>
        </w:rPr>
      </w:pPr>
      <w:r w:rsidRPr="003F71D2">
        <w:rPr>
          <w:sz w:val="22"/>
          <w:szCs w:val="22"/>
          <w:lang w:val="sk-SK"/>
        </w:rPr>
        <w:t xml:space="preserve">Nie je známe, či sa kyselina zoledrónová vylučuje do ľudského mlieka. Zomikos je kontraindikovaný u dojčiacich žien (pozri časť 4.3). </w:t>
      </w:r>
    </w:p>
    <w:p w14:paraId="6E192881" w14:textId="77777777" w:rsidR="00C005BF" w:rsidRPr="003F71D2" w:rsidRDefault="00C005BF" w:rsidP="003F71D2">
      <w:pPr>
        <w:pStyle w:val="Default"/>
        <w:rPr>
          <w:sz w:val="22"/>
          <w:szCs w:val="22"/>
          <w:lang w:val="sk-SK"/>
        </w:rPr>
      </w:pPr>
    </w:p>
    <w:p w14:paraId="5633BEA5" w14:textId="77777777" w:rsidR="00C005BF" w:rsidRPr="003F71D2" w:rsidRDefault="00DB3564" w:rsidP="003F71D2">
      <w:pPr>
        <w:pStyle w:val="Default"/>
        <w:rPr>
          <w:sz w:val="22"/>
          <w:szCs w:val="22"/>
          <w:u w:val="single"/>
          <w:lang w:val="sk-SK"/>
        </w:rPr>
      </w:pPr>
      <w:r w:rsidRPr="003F71D2">
        <w:rPr>
          <w:sz w:val="22"/>
          <w:szCs w:val="22"/>
          <w:u w:val="single"/>
          <w:lang w:val="sk-SK"/>
        </w:rPr>
        <w:t xml:space="preserve">Fertilita </w:t>
      </w:r>
    </w:p>
    <w:p w14:paraId="1A259B6E" w14:textId="77777777" w:rsidR="00C005BF" w:rsidRPr="003F71D2" w:rsidRDefault="00DB3564" w:rsidP="003F71D2">
      <w:pPr>
        <w:pStyle w:val="Default"/>
        <w:rPr>
          <w:sz w:val="22"/>
          <w:szCs w:val="22"/>
          <w:lang w:val="sk-SK"/>
        </w:rPr>
      </w:pPr>
      <w:r w:rsidRPr="003F71D2">
        <w:rPr>
          <w:sz w:val="22"/>
          <w:szCs w:val="22"/>
          <w:lang w:val="sk-SK"/>
        </w:rPr>
        <w:t xml:space="preserve">Možné nežiaduce účinky kyseliny zoledrónovej na fertilitu rodičov a generácie F1 sa vyhodnotili u potkanov. Výsledkom boli vystupňované farmakologické účinky, pri ktorých sa predpokladá súvislosť s inhibíciou metabolizácie kostrového vápnika vyvolanou touto látkou, ktorá spôsobila hypokalciémiu v období pôrodu, čo je skupinový účinok bisfosfonátov, dystokiu a predčasné ukončenie štúdie. Tieto výsledky tak znemožnili stanovenie definitívneho účinku kyseliny zoledrónovej na fertilitu ľudí. </w:t>
      </w:r>
    </w:p>
    <w:p w14:paraId="2FC89C7C" w14:textId="77777777" w:rsidR="00C005BF" w:rsidRPr="003F71D2" w:rsidRDefault="00C005BF" w:rsidP="003F71D2">
      <w:pPr>
        <w:pStyle w:val="Default"/>
        <w:rPr>
          <w:color w:val="auto"/>
          <w:sz w:val="22"/>
          <w:szCs w:val="22"/>
          <w:lang w:val="sk-SK"/>
        </w:rPr>
      </w:pPr>
    </w:p>
    <w:p w14:paraId="3E280C80" w14:textId="5622134B" w:rsidR="00C005BF" w:rsidRPr="003F71D2" w:rsidRDefault="00DB3564" w:rsidP="003F71D2">
      <w:pPr>
        <w:pStyle w:val="Default"/>
        <w:rPr>
          <w:sz w:val="22"/>
          <w:szCs w:val="22"/>
          <w:lang w:val="sk-SK"/>
        </w:rPr>
      </w:pPr>
      <w:r w:rsidRPr="003F71D2">
        <w:rPr>
          <w:b/>
          <w:bCs/>
          <w:sz w:val="22"/>
          <w:szCs w:val="22"/>
          <w:lang w:val="sk-SK"/>
        </w:rPr>
        <w:t>4.7</w:t>
      </w:r>
      <w:r w:rsidRPr="003F71D2">
        <w:rPr>
          <w:b/>
          <w:bCs/>
          <w:sz w:val="22"/>
          <w:szCs w:val="22"/>
          <w:lang w:val="sk-SK"/>
        </w:rPr>
        <w:tab/>
        <w:t xml:space="preserve">Ovplyvnenie schopnosti viesť vozidlá a obsluhovať stroje </w:t>
      </w:r>
    </w:p>
    <w:p w14:paraId="217460F8" w14:textId="77777777" w:rsidR="00C005BF" w:rsidRPr="003F71D2" w:rsidRDefault="00C005BF" w:rsidP="003F71D2">
      <w:pPr>
        <w:pStyle w:val="Default"/>
        <w:rPr>
          <w:sz w:val="22"/>
          <w:szCs w:val="22"/>
          <w:lang w:val="sk-SK"/>
        </w:rPr>
      </w:pPr>
    </w:p>
    <w:p w14:paraId="08B8D51A" w14:textId="77777777" w:rsidR="00C005BF" w:rsidRPr="003F71D2" w:rsidRDefault="00DB3564" w:rsidP="003F71D2">
      <w:pPr>
        <w:pStyle w:val="Default"/>
        <w:rPr>
          <w:sz w:val="22"/>
          <w:szCs w:val="22"/>
          <w:lang w:val="sk-SK"/>
        </w:rPr>
      </w:pPr>
      <w:r w:rsidRPr="003F71D2">
        <w:rPr>
          <w:sz w:val="22"/>
          <w:szCs w:val="22"/>
          <w:lang w:val="sk-SK"/>
        </w:rPr>
        <w:t xml:space="preserve">Nežiaduce reakcie, ako sú závraty a somnolencia, môžu mať vplyv na schopnosť viesť vozidlá a obsluhovať stroje, preto je potrebná opatrnosť, keď sa Zomikos použije v čase vedenia vozidiel a obsluhy strojov. </w:t>
      </w:r>
    </w:p>
    <w:p w14:paraId="35D3F31B" w14:textId="77777777" w:rsidR="00C005BF" w:rsidRPr="003F71D2" w:rsidRDefault="00C005BF" w:rsidP="003F71D2">
      <w:pPr>
        <w:pStyle w:val="Default"/>
        <w:rPr>
          <w:b/>
          <w:bCs/>
          <w:sz w:val="22"/>
          <w:szCs w:val="22"/>
          <w:lang w:val="sk-SK"/>
        </w:rPr>
      </w:pPr>
    </w:p>
    <w:p w14:paraId="1F22102D" w14:textId="744B1742" w:rsidR="00C005BF" w:rsidRPr="003F71D2" w:rsidRDefault="00DB3564" w:rsidP="003F71D2">
      <w:pPr>
        <w:pStyle w:val="Default"/>
        <w:rPr>
          <w:sz w:val="22"/>
          <w:szCs w:val="22"/>
          <w:lang w:val="sk-SK"/>
        </w:rPr>
      </w:pPr>
      <w:r w:rsidRPr="003F71D2">
        <w:rPr>
          <w:b/>
          <w:bCs/>
          <w:sz w:val="22"/>
          <w:szCs w:val="22"/>
          <w:lang w:val="sk-SK"/>
        </w:rPr>
        <w:t>4.8</w:t>
      </w:r>
      <w:r w:rsidRPr="003F71D2">
        <w:rPr>
          <w:b/>
          <w:bCs/>
          <w:sz w:val="22"/>
          <w:szCs w:val="22"/>
          <w:lang w:val="sk-SK"/>
        </w:rPr>
        <w:tab/>
        <w:t xml:space="preserve">Nežiaduce účinky </w:t>
      </w:r>
    </w:p>
    <w:p w14:paraId="78D35F1E" w14:textId="77777777" w:rsidR="00C005BF" w:rsidRPr="003F71D2" w:rsidRDefault="00C005BF" w:rsidP="003F71D2">
      <w:pPr>
        <w:pStyle w:val="Default"/>
        <w:rPr>
          <w:sz w:val="22"/>
          <w:szCs w:val="22"/>
          <w:lang w:val="sk-SK"/>
        </w:rPr>
      </w:pPr>
    </w:p>
    <w:p w14:paraId="5FF4FAC2" w14:textId="77777777" w:rsidR="00C005BF" w:rsidRPr="003F71D2" w:rsidRDefault="00DB3564" w:rsidP="003F71D2">
      <w:pPr>
        <w:pStyle w:val="Default"/>
        <w:rPr>
          <w:sz w:val="22"/>
          <w:szCs w:val="22"/>
          <w:u w:val="single"/>
          <w:lang w:val="sk-SK"/>
        </w:rPr>
      </w:pPr>
      <w:r w:rsidRPr="003F71D2">
        <w:rPr>
          <w:sz w:val="22"/>
          <w:szCs w:val="22"/>
          <w:u w:val="single"/>
          <w:lang w:val="sk-SK"/>
        </w:rPr>
        <w:t xml:space="preserve">Súhrn profilu bezpečnosti </w:t>
      </w:r>
    </w:p>
    <w:p w14:paraId="5444BDDD" w14:textId="625EE739" w:rsidR="002C38F4" w:rsidRPr="003F71D2" w:rsidRDefault="00DB3564" w:rsidP="003F71D2">
      <w:pPr>
        <w:pStyle w:val="Default"/>
        <w:rPr>
          <w:sz w:val="22"/>
          <w:szCs w:val="22"/>
          <w:lang w:val="sk-SK"/>
        </w:rPr>
      </w:pPr>
      <w:r w:rsidRPr="003F71D2">
        <w:rPr>
          <w:sz w:val="22"/>
          <w:szCs w:val="22"/>
          <w:lang w:val="sk-SK"/>
        </w:rPr>
        <w:t xml:space="preserve">Do troch dní </w:t>
      </w:r>
      <w:r w:rsidR="006F7902" w:rsidRPr="003F71D2">
        <w:rPr>
          <w:sz w:val="22"/>
          <w:szCs w:val="22"/>
          <w:lang w:val="sk-SK"/>
        </w:rPr>
        <w:t>po</w:t>
      </w:r>
      <w:r w:rsidRPr="003F71D2">
        <w:rPr>
          <w:sz w:val="22"/>
          <w:szCs w:val="22"/>
          <w:lang w:val="sk-SK"/>
        </w:rPr>
        <w:t xml:space="preserve"> podan</w:t>
      </w:r>
      <w:r w:rsidR="006F7902" w:rsidRPr="003F71D2">
        <w:rPr>
          <w:sz w:val="22"/>
          <w:szCs w:val="22"/>
          <w:lang w:val="sk-SK"/>
        </w:rPr>
        <w:t>í</w:t>
      </w:r>
      <w:r w:rsidRPr="003F71D2">
        <w:rPr>
          <w:sz w:val="22"/>
          <w:szCs w:val="22"/>
          <w:lang w:val="sk-SK"/>
        </w:rPr>
        <w:t xml:space="preserve"> kyseliny zoledrónovej bola často hlásená reakcia akútnej fázy so symptómami, ktoré zahŕňali bolesť kostí, horúčku, únavu, bolesť kĺbov, bolesť svalov a</w:t>
      </w:r>
      <w:r w:rsidR="00251E90" w:rsidRPr="003F71D2">
        <w:rPr>
          <w:sz w:val="22"/>
          <w:szCs w:val="22"/>
          <w:lang w:val="sk-SK"/>
        </w:rPr>
        <w:t> </w:t>
      </w:r>
      <w:r w:rsidRPr="003F71D2">
        <w:rPr>
          <w:sz w:val="22"/>
          <w:szCs w:val="22"/>
          <w:lang w:val="sk-SK"/>
        </w:rPr>
        <w:t>zimnicu</w:t>
      </w:r>
      <w:r w:rsidR="00251E90" w:rsidRPr="003F71D2">
        <w:rPr>
          <w:sz w:val="22"/>
          <w:szCs w:val="22"/>
          <w:lang w:val="sk-SK"/>
        </w:rPr>
        <w:t xml:space="preserve"> a artritídu s následným </w:t>
      </w:r>
      <w:r w:rsidR="00251E90" w:rsidRPr="003F71D2">
        <w:rPr>
          <w:sz w:val="22"/>
          <w:szCs w:val="22"/>
          <w:lang w:val="sk-SK"/>
        </w:rPr>
        <w:lastRenderedPageBreak/>
        <w:t xml:space="preserve">opuchom kĺbov; </w:t>
      </w:r>
      <w:r w:rsidRPr="003F71D2">
        <w:rPr>
          <w:sz w:val="22"/>
          <w:szCs w:val="22"/>
          <w:lang w:val="sk-SK"/>
        </w:rPr>
        <w:t>tieto symptómy obvykle ustúpia počas niekoľkých dní (pozri opis vybraných nežiaducich reakcií).</w:t>
      </w:r>
    </w:p>
    <w:p w14:paraId="6C34BBDF" w14:textId="77777777" w:rsidR="00C005BF" w:rsidRPr="003F71D2" w:rsidRDefault="00DB3564" w:rsidP="003F71D2">
      <w:pPr>
        <w:pStyle w:val="Default"/>
        <w:rPr>
          <w:sz w:val="22"/>
          <w:szCs w:val="22"/>
          <w:lang w:val="sk-SK"/>
        </w:rPr>
      </w:pPr>
      <w:r w:rsidRPr="003F71D2">
        <w:rPr>
          <w:sz w:val="22"/>
          <w:szCs w:val="22"/>
          <w:lang w:val="sk-SK"/>
        </w:rPr>
        <w:t xml:space="preserve"> </w:t>
      </w:r>
    </w:p>
    <w:p w14:paraId="3E184C21" w14:textId="6DD953F7" w:rsidR="00251E90" w:rsidRPr="003F71D2" w:rsidRDefault="00DB3564" w:rsidP="003F71D2">
      <w:pPr>
        <w:pStyle w:val="Default"/>
        <w:rPr>
          <w:sz w:val="22"/>
          <w:szCs w:val="22"/>
          <w:lang w:val="sk-SK"/>
        </w:rPr>
      </w:pPr>
      <w:r w:rsidRPr="003F71D2">
        <w:rPr>
          <w:sz w:val="22"/>
          <w:szCs w:val="22"/>
          <w:lang w:val="sk-SK"/>
        </w:rPr>
        <w:t>Významné identifikované riziká pri kyseline zoledrónovej v schválených indikáciách sú nasledovné: Po</w:t>
      </w:r>
      <w:r w:rsidR="00B8045C" w:rsidRPr="003F71D2">
        <w:rPr>
          <w:sz w:val="22"/>
          <w:szCs w:val="22"/>
          <w:lang w:val="sk-SK"/>
        </w:rPr>
        <w:t>rucha</w:t>
      </w:r>
      <w:r w:rsidRPr="003F71D2">
        <w:rPr>
          <w:sz w:val="22"/>
          <w:szCs w:val="22"/>
          <w:lang w:val="sk-SK"/>
        </w:rPr>
        <w:t xml:space="preserve"> funkcie obličiek, osteonekróza čeľuste, reakcia akútnej fázy, hypokalciémia, nežiaduce udalosti súvisiace s očami, fibrilácia predsiení, anafylaxia</w:t>
      </w:r>
      <w:r w:rsidR="000720C6" w:rsidRPr="003F71D2">
        <w:rPr>
          <w:sz w:val="22"/>
          <w:szCs w:val="22"/>
          <w:lang w:val="sk-SK"/>
        </w:rPr>
        <w:t>,</w:t>
      </w:r>
      <w:r w:rsidR="00251E90" w:rsidRPr="003F71D2">
        <w:rPr>
          <w:sz w:val="22"/>
          <w:szCs w:val="22"/>
          <w:lang w:val="sk-SK"/>
        </w:rPr>
        <w:t xml:space="preserve"> intersticiálna choroba pľúc. </w:t>
      </w:r>
    </w:p>
    <w:p w14:paraId="452D5A0A" w14:textId="77777777" w:rsidR="00C005BF"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Frekvencia každého z týchto identifikovaných rizík je uvedená v Tabuľke 1.</w:t>
      </w:r>
    </w:p>
    <w:p w14:paraId="04B27A73" w14:textId="13551895" w:rsidR="00C005BF" w:rsidRPr="003F71D2" w:rsidRDefault="00DB3564" w:rsidP="00C63330">
      <w:pPr>
        <w:spacing w:after="0" w:line="240" w:lineRule="auto"/>
        <w:rPr>
          <w:rFonts w:ascii="Times New Roman" w:hAnsi="Times New Roman" w:cs="Times New Roman"/>
          <w:lang w:val="sk-SK"/>
        </w:rPr>
      </w:pPr>
      <w:r w:rsidRPr="00C63330">
        <w:rPr>
          <w:rFonts w:ascii="Times New Roman" w:hAnsi="Times New Roman" w:cs="Times New Roman"/>
          <w:u w:val="single"/>
          <w:lang w:val="sk-SK"/>
        </w:rPr>
        <w:t>Tabuľkový zoznam nežiaducich reakcií</w:t>
      </w:r>
      <w:r w:rsidR="00CE1536">
        <w:rPr>
          <w:rFonts w:ascii="Times New Roman" w:hAnsi="Times New Roman" w:cs="Times New Roman"/>
          <w:u w:val="single"/>
          <w:lang w:val="sk-SK"/>
        </w:rPr>
        <w:br/>
      </w:r>
      <w:r w:rsidRPr="003F71D2">
        <w:rPr>
          <w:rFonts w:ascii="Times New Roman" w:hAnsi="Times New Roman" w:cs="Times New Roman"/>
          <w:lang w:val="sk-SK"/>
        </w:rPr>
        <w:t>Nasledujúce nežiaduce reakcie uvedené v Tabuľke 1 sa súhrnne zaznamenali po prevažne chronickej liečbe 4 mg kyseliny zoledrónovej v klinických skúšaniach a v hláseniach po uvedení lieku na trh.</w:t>
      </w:r>
    </w:p>
    <w:p w14:paraId="4E103D82" w14:textId="77777777" w:rsidR="00C005BF" w:rsidRPr="003F71D2" w:rsidRDefault="00DB3564" w:rsidP="003F71D2">
      <w:pPr>
        <w:spacing w:line="240" w:lineRule="auto"/>
        <w:rPr>
          <w:rFonts w:ascii="Times New Roman" w:hAnsi="Times New Roman" w:cs="Times New Roman"/>
          <w:b/>
          <w:lang w:val="sk-SK"/>
        </w:rPr>
      </w:pPr>
      <w:r w:rsidRPr="003F71D2">
        <w:rPr>
          <w:rFonts w:ascii="Times New Roman" w:hAnsi="Times New Roman" w:cs="Times New Roman"/>
          <w:b/>
          <w:lang w:val="sk-SK"/>
        </w:rPr>
        <w:t>Tabuľka 1</w:t>
      </w:r>
    </w:p>
    <w:p w14:paraId="601472C0" w14:textId="77777777" w:rsidR="00C005BF"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Nežiaduce reakcie sú zoradené podľa frekvencie, najčastejšie ako prvé, pričom frekvencia je určená nasledovne: veľmi časté (≥1/10), časté (≥1/100 až &lt;1/10), menej časté (≥1/1 000 až &lt;1/100), zriedkavé (≥1/10 000 až &lt;1/1 000), veľmi zriedkavé (&lt;1/10 000), neznáme (z dostupných údajov).</w:t>
      </w:r>
    </w:p>
    <w:tbl>
      <w:tblPr>
        <w:tblW w:w="0" w:type="auto"/>
        <w:tblLook w:val="0000" w:firstRow="0" w:lastRow="0" w:firstColumn="0" w:lastColumn="0" w:noHBand="0" w:noVBand="0"/>
      </w:tblPr>
      <w:tblGrid>
        <w:gridCol w:w="236"/>
        <w:gridCol w:w="1622"/>
        <w:gridCol w:w="7546"/>
      </w:tblGrid>
      <w:tr w:rsidR="00C005BF" w:rsidRPr="003F71D2" w14:paraId="3F249FBB" w14:textId="77777777" w:rsidTr="00517DA9">
        <w:trPr>
          <w:trHeight w:val="196"/>
        </w:trPr>
        <w:tc>
          <w:tcPr>
            <w:tcW w:w="0" w:type="auto"/>
            <w:gridSpan w:val="3"/>
          </w:tcPr>
          <w:p w14:paraId="0B831761" w14:textId="77777777" w:rsidR="00C005BF" w:rsidRPr="003F71D2" w:rsidRDefault="00DB3564" w:rsidP="003F71D2">
            <w:pPr>
              <w:pStyle w:val="Default"/>
              <w:rPr>
                <w:sz w:val="22"/>
                <w:szCs w:val="22"/>
                <w:lang w:val="sk-SK"/>
              </w:rPr>
            </w:pPr>
            <w:r w:rsidRPr="003F71D2">
              <w:rPr>
                <w:b/>
                <w:bCs/>
                <w:i/>
                <w:iCs/>
                <w:sz w:val="22"/>
                <w:szCs w:val="22"/>
                <w:lang w:val="sk-SK"/>
              </w:rPr>
              <w:t xml:space="preserve">Poruchy krvi a lymfatického systému </w:t>
            </w:r>
          </w:p>
        </w:tc>
      </w:tr>
      <w:tr w:rsidR="00C005BF" w:rsidRPr="003F71D2" w14:paraId="25D8D096" w14:textId="77777777" w:rsidTr="003716F8">
        <w:trPr>
          <w:trHeight w:val="200"/>
        </w:trPr>
        <w:tc>
          <w:tcPr>
            <w:tcW w:w="0" w:type="auto"/>
          </w:tcPr>
          <w:p w14:paraId="7B10AB50" w14:textId="77777777" w:rsidR="00C005BF" w:rsidRPr="003F71D2" w:rsidRDefault="00C005BF" w:rsidP="003F71D2">
            <w:pPr>
              <w:pStyle w:val="Default"/>
              <w:rPr>
                <w:sz w:val="22"/>
                <w:szCs w:val="22"/>
                <w:lang w:val="sk-SK"/>
              </w:rPr>
            </w:pPr>
          </w:p>
        </w:tc>
        <w:tc>
          <w:tcPr>
            <w:tcW w:w="0" w:type="auto"/>
          </w:tcPr>
          <w:p w14:paraId="498908DC" w14:textId="77777777" w:rsidR="00C005BF"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2925AFDF" w14:textId="77777777" w:rsidR="00C005BF" w:rsidRPr="003F71D2" w:rsidRDefault="00DB3564" w:rsidP="003F71D2">
            <w:pPr>
              <w:pStyle w:val="Default"/>
              <w:rPr>
                <w:sz w:val="22"/>
                <w:szCs w:val="22"/>
                <w:lang w:val="sk-SK"/>
              </w:rPr>
            </w:pPr>
            <w:r w:rsidRPr="003F71D2">
              <w:rPr>
                <w:sz w:val="22"/>
                <w:szCs w:val="22"/>
                <w:lang w:val="sk-SK"/>
              </w:rPr>
              <w:t xml:space="preserve">Anémia </w:t>
            </w:r>
          </w:p>
        </w:tc>
      </w:tr>
      <w:tr w:rsidR="00C005BF" w:rsidRPr="003F71D2" w14:paraId="1A83A2E2" w14:textId="77777777" w:rsidTr="003716F8">
        <w:trPr>
          <w:trHeight w:val="200"/>
        </w:trPr>
        <w:tc>
          <w:tcPr>
            <w:tcW w:w="0" w:type="auto"/>
          </w:tcPr>
          <w:p w14:paraId="09C6C46A" w14:textId="77777777" w:rsidR="00C005BF" w:rsidRPr="003F71D2" w:rsidRDefault="00C005BF" w:rsidP="003F71D2">
            <w:pPr>
              <w:pStyle w:val="Default"/>
              <w:rPr>
                <w:sz w:val="22"/>
                <w:szCs w:val="22"/>
                <w:lang w:val="sk-SK"/>
              </w:rPr>
            </w:pPr>
          </w:p>
        </w:tc>
        <w:tc>
          <w:tcPr>
            <w:tcW w:w="0" w:type="auto"/>
          </w:tcPr>
          <w:p w14:paraId="2969D9A5"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5CCF5F30" w14:textId="77777777" w:rsidR="00C005BF" w:rsidRPr="003F71D2" w:rsidRDefault="00DB3564" w:rsidP="003F71D2">
            <w:pPr>
              <w:pStyle w:val="Default"/>
              <w:rPr>
                <w:sz w:val="22"/>
                <w:szCs w:val="22"/>
                <w:lang w:val="sk-SK"/>
              </w:rPr>
            </w:pPr>
            <w:r w:rsidRPr="003F71D2">
              <w:rPr>
                <w:sz w:val="22"/>
                <w:szCs w:val="22"/>
                <w:lang w:val="sk-SK"/>
              </w:rPr>
              <w:t xml:space="preserve">Trombocytopénia, leukopénia </w:t>
            </w:r>
          </w:p>
        </w:tc>
      </w:tr>
      <w:tr w:rsidR="00C005BF" w:rsidRPr="003F71D2" w14:paraId="67216222" w14:textId="77777777" w:rsidTr="003716F8">
        <w:trPr>
          <w:trHeight w:val="200"/>
        </w:trPr>
        <w:tc>
          <w:tcPr>
            <w:tcW w:w="0" w:type="auto"/>
          </w:tcPr>
          <w:p w14:paraId="470C87E6" w14:textId="77777777" w:rsidR="00C005BF" w:rsidRPr="003F71D2" w:rsidRDefault="00C005BF" w:rsidP="003F71D2">
            <w:pPr>
              <w:pStyle w:val="Default"/>
              <w:rPr>
                <w:sz w:val="22"/>
                <w:szCs w:val="22"/>
                <w:lang w:val="sk-SK"/>
              </w:rPr>
            </w:pPr>
          </w:p>
        </w:tc>
        <w:tc>
          <w:tcPr>
            <w:tcW w:w="0" w:type="auto"/>
          </w:tcPr>
          <w:p w14:paraId="46C66D8D" w14:textId="77777777" w:rsidR="00C005BF" w:rsidRPr="003F71D2" w:rsidRDefault="00DB3564" w:rsidP="003F71D2">
            <w:pPr>
              <w:pStyle w:val="Default"/>
              <w:rPr>
                <w:sz w:val="22"/>
                <w:szCs w:val="22"/>
                <w:lang w:val="sk-SK"/>
              </w:rPr>
            </w:pPr>
            <w:r w:rsidRPr="003F71D2">
              <w:rPr>
                <w:sz w:val="22"/>
                <w:szCs w:val="22"/>
                <w:lang w:val="sk-SK"/>
              </w:rPr>
              <w:t xml:space="preserve">Zriedkavé: </w:t>
            </w:r>
          </w:p>
        </w:tc>
        <w:tc>
          <w:tcPr>
            <w:tcW w:w="0" w:type="auto"/>
          </w:tcPr>
          <w:p w14:paraId="4565A2BF" w14:textId="77777777" w:rsidR="00C005BF" w:rsidRPr="003F71D2" w:rsidRDefault="00DB3564" w:rsidP="003F71D2">
            <w:pPr>
              <w:pStyle w:val="Default"/>
              <w:rPr>
                <w:sz w:val="22"/>
                <w:szCs w:val="22"/>
                <w:lang w:val="sk-SK"/>
              </w:rPr>
            </w:pPr>
            <w:r w:rsidRPr="003F71D2">
              <w:rPr>
                <w:sz w:val="22"/>
                <w:szCs w:val="22"/>
                <w:lang w:val="sk-SK"/>
              </w:rPr>
              <w:t xml:space="preserve">Pancytopénia </w:t>
            </w:r>
          </w:p>
        </w:tc>
      </w:tr>
      <w:tr w:rsidR="00C005BF" w:rsidRPr="003F71D2" w14:paraId="43F98415" w14:textId="77777777" w:rsidTr="00517DA9">
        <w:trPr>
          <w:trHeight w:val="267"/>
        </w:trPr>
        <w:tc>
          <w:tcPr>
            <w:tcW w:w="0" w:type="auto"/>
            <w:gridSpan w:val="3"/>
          </w:tcPr>
          <w:p w14:paraId="06BEB003" w14:textId="77777777" w:rsidR="00B3403A" w:rsidRPr="003F71D2" w:rsidRDefault="00B3403A" w:rsidP="003F71D2">
            <w:pPr>
              <w:pStyle w:val="Default"/>
              <w:rPr>
                <w:b/>
                <w:bCs/>
                <w:i/>
                <w:iCs/>
                <w:sz w:val="22"/>
                <w:szCs w:val="22"/>
                <w:lang w:val="sk-SK"/>
              </w:rPr>
            </w:pPr>
          </w:p>
          <w:p w14:paraId="5C7307A7" w14:textId="77777777" w:rsidR="00C005BF" w:rsidRPr="003F71D2" w:rsidRDefault="00DB3564" w:rsidP="003F71D2">
            <w:pPr>
              <w:pStyle w:val="Default"/>
              <w:rPr>
                <w:sz w:val="22"/>
                <w:szCs w:val="22"/>
                <w:lang w:val="sk-SK"/>
              </w:rPr>
            </w:pPr>
            <w:r w:rsidRPr="003F71D2">
              <w:rPr>
                <w:b/>
                <w:bCs/>
                <w:i/>
                <w:iCs/>
                <w:sz w:val="22"/>
                <w:szCs w:val="22"/>
                <w:lang w:val="sk-SK"/>
              </w:rPr>
              <w:t xml:space="preserve">Poruchy imunitného systému </w:t>
            </w:r>
          </w:p>
        </w:tc>
      </w:tr>
      <w:tr w:rsidR="00C005BF" w:rsidRPr="003F71D2" w14:paraId="588A52DC" w14:textId="77777777" w:rsidTr="003716F8">
        <w:trPr>
          <w:trHeight w:val="200"/>
        </w:trPr>
        <w:tc>
          <w:tcPr>
            <w:tcW w:w="0" w:type="auto"/>
          </w:tcPr>
          <w:p w14:paraId="564D017A" w14:textId="77777777" w:rsidR="00C005BF" w:rsidRPr="003F71D2" w:rsidRDefault="00C005BF" w:rsidP="003F71D2">
            <w:pPr>
              <w:pStyle w:val="Default"/>
              <w:rPr>
                <w:sz w:val="22"/>
                <w:szCs w:val="22"/>
                <w:lang w:val="sk-SK"/>
              </w:rPr>
            </w:pPr>
          </w:p>
        </w:tc>
        <w:tc>
          <w:tcPr>
            <w:tcW w:w="0" w:type="auto"/>
          </w:tcPr>
          <w:p w14:paraId="633E9C14"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73F6A7A5" w14:textId="77777777" w:rsidR="00C005BF" w:rsidRPr="003F71D2" w:rsidRDefault="00DB3564" w:rsidP="003F71D2">
            <w:pPr>
              <w:pStyle w:val="Default"/>
              <w:rPr>
                <w:sz w:val="22"/>
                <w:szCs w:val="22"/>
                <w:lang w:val="sk-SK"/>
              </w:rPr>
            </w:pPr>
            <w:r w:rsidRPr="003F71D2">
              <w:rPr>
                <w:sz w:val="22"/>
                <w:szCs w:val="22"/>
                <w:lang w:val="sk-SK"/>
              </w:rPr>
              <w:t xml:space="preserve">Reakcie z precitlivenosti </w:t>
            </w:r>
          </w:p>
        </w:tc>
      </w:tr>
      <w:tr w:rsidR="00C005BF" w:rsidRPr="003F71D2" w14:paraId="7921CF12" w14:textId="77777777" w:rsidTr="003716F8">
        <w:trPr>
          <w:trHeight w:val="200"/>
        </w:trPr>
        <w:tc>
          <w:tcPr>
            <w:tcW w:w="0" w:type="auto"/>
          </w:tcPr>
          <w:p w14:paraId="4D99ADBE" w14:textId="77777777" w:rsidR="00C005BF" w:rsidRPr="003F71D2" w:rsidRDefault="00C005BF" w:rsidP="003F71D2">
            <w:pPr>
              <w:pStyle w:val="Default"/>
              <w:rPr>
                <w:sz w:val="22"/>
                <w:szCs w:val="22"/>
                <w:lang w:val="sk-SK"/>
              </w:rPr>
            </w:pPr>
          </w:p>
        </w:tc>
        <w:tc>
          <w:tcPr>
            <w:tcW w:w="0" w:type="auto"/>
          </w:tcPr>
          <w:p w14:paraId="1BAB3A7A" w14:textId="77777777" w:rsidR="00C005BF" w:rsidRPr="003F71D2" w:rsidRDefault="00DB3564" w:rsidP="003F71D2">
            <w:pPr>
              <w:pStyle w:val="Default"/>
              <w:rPr>
                <w:sz w:val="22"/>
                <w:szCs w:val="22"/>
                <w:lang w:val="sk-SK"/>
              </w:rPr>
            </w:pPr>
            <w:r w:rsidRPr="003F71D2">
              <w:rPr>
                <w:sz w:val="22"/>
                <w:szCs w:val="22"/>
                <w:lang w:val="sk-SK"/>
              </w:rPr>
              <w:t xml:space="preserve">Zriedkavé: </w:t>
            </w:r>
          </w:p>
        </w:tc>
        <w:tc>
          <w:tcPr>
            <w:tcW w:w="0" w:type="auto"/>
          </w:tcPr>
          <w:p w14:paraId="12EF15BE" w14:textId="77777777" w:rsidR="00C005BF" w:rsidRPr="003F71D2" w:rsidRDefault="00DB3564" w:rsidP="003F71D2">
            <w:pPr>
              <w:pStyle w:val="Default"/>
              <w:rPr>
                <w:sz w:val="22"/>
                <w:szCs w:val="22"/>
                <w:lang w:val="sk-SK"/>
              </w:rPr>
            </w:pPr>
            <w:r w:rsidRPr="003F71D2">
              <w:rPr>
                <w:sz w:val="22"/>
                <w:szCs w:val="22"/>
                <w:lang w:val="sk-SK"/>
              </w:rPr>
              <w:t xml:space="preserve">Angioneurotický edém </w:t>
            </w:r>
          </w:p>
        </w:tc>
      </w:tr>
      <w:tr w:rsidR="00C005BF" w:rsidRPr="003F71D2" w14:paraId="4227B33B" w14:textId="77777777" w:rsidTr="00517DA9">
        <w:trPr>
          <w:trHeight w:val="266"/>
        </w:trPr>
        <w:tc>
          <w:tcPr>
            <w:tcW w:w="0" w:type="auto"/>
            <w:gridSpan w:val="3"/>
          </w:tcPr>
          <w:p w14:paraId="2111D675" w14:textId="77777777" w:rsidR="00B3403A" w:rsidRPr="003F71D2" w:rsidRDefault="00B3403A" w:rsidP="003F71D2">
            <w:pPr>
              <w:pStyle w:val="Default"/>
              <w:rPr>
                <w:b/>
                <w:bCs/>
                <w:i/>
                <w:iCs/>
                <w:sz w:val="22"/>
                <w:szCs w:val="22"/>
                <w:lang w:val="sk-SK"/>
              </w:rPr>
            </w:pPr>
          </w:p>
          <w:p w14:paraId="445D1627" w14:textId="77777777" w:rsidR="00C005BF" w:rsidRPr="003F71D2" w:rsidRDefault="00DB3564" w:rsidP="003F71D2">
            <w:pPr>
              <w:pStyle w:val="Default"/>
              <w:rPr>
                <w:sz w:val="22"/>
                <w:szCs w:val="22"/>
                <w:lang w:val="sk-SK"/>
              </w:rPr>
            </w:pPr>
            <w:r w:rsidRPr="003F71D2">
              <w:rPr>
                <w:b/>
                <w:bCs/>
                <w:i/>
                <w:iCs/>
                <w:sz w:val="22"/>
                <w:szCs w:val="22"/>
                <w:lang w:val="sk-SK"/>
              </w:rPr>
              <w:t xml:space="preserve">Psychické poruchy </w:t>
            </w:r>
          </w:p>
        </w:tc>
      </w:tr>
      <w:tr w:rsidR="00C005BF" w:rsidRPr="003F71D2" w14:paraId="68CFFB45" w14:textId="77777777" w:rsidTr="003716F8">
        <w:trPr>
          <w:trHeight w:val="200"/>
        </w:trPr>
        <w:tc>
          <w:tcPr>
            <w:tcW w:w="0" w:type="auto"/>
          </w:tcPr>
          <w:p w14:paraId="0813A8D7" w14:textId="77777777" w:rsidR="00C005BF" w:rsidRPr="003F71D2" w:rsidRDefault="00C005BF" w:rsidP="003F71D2">
            <w:pPr>
              <w:pStyle w:val="Default"/>
              <w:rPr>
                <w:sz w:val="22"/>
                <w:szCs w:val="22"/>
                <w:lang w:val="sk-SK"/>
              </w:rPr>
            </w:pPr>
          </w:p>
        </w:tc>
        <w:tc>
          <w:tcPr>
            <w:tcW w:w="0" w:type="auto"/>
          </w:tcPr>
          <w:p w14:paraId="754101BD"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59ECB45B" w14:textId="77777777" w:rsidR="00C005BF" w:rsidRPr="003F71D2" w:rsidRDefault="00DB3564" w:rsidP="003F71D2">
            <w:pPr>
              <w:pStyle w:val="Default"/>
              <w:rPr>
                <w:sz w:val="22"/>
                <w:szCs w:val="22"/>
                <w:lang w:val="sk-SK"/>
              </w:rPr>
            </w:pPr>
            <w:r w:rsidRPr="003F71D2">
              <w:rPr>
                <w:sz w:val="22"/>
                <w:szCs w:val="22"/>
                <w:lang w:val="sk-SK"/>
              </w:rPr>
              <w:t xml:space="preserve">Úzkosť, poruchy spánku </w:t>
            </w:r>
          </w:p>
        </w:tc>
      </w:tr>
      <w:tr w:rsidR="00C005BF" w:rsidRPr="003F71D2" w14:paraId="126F965C" w14:textId="77777777" w:rsidTr="003716F8">
        <w:trPr>
          <w:trHeight w:val="200"/>
        </w:trPr>
        <w:tc>
          <w:tcPr>
            <w:tcW w:w="0" w:type="auto"/>
          </w:tcPr>
          <w:p w14:paraId="0DE77BB5" w14:textId="77777777" w:rsidR="00C005BF" w:rsidRPr="003F71D2" w:rsidRDefault="00C005BF" w:rsidP="003F71D2">
            <w:pPr>
              <w:pStyle w:val="Default"/>
              <w:rPr>
                <w:sz w:val="22"/>
                <w:szCs w:val="22"/>
                <w:lang w:val="sk-SK"/>
              </w:rPr>
            </w:pPr>
          </w:p>
        </w:tc>
        <w:tc>
          <w:tcPr>
            <w:tcW w:w="0" w:type="auto"/>
          </w:tcPr>
          <w:p w14:paraId="048188FA" w14:textId="77777777" w:rsidR="00C005BF" w:rsidRPr="003F71D2" w:rsidRDefault="00DB3564" w:rsidP="003F71D2">
            <w:pPr>
              <w:pStyle w:val="Default"/>
              <w:rPr>
                <w:sz w:val="22"/>
                <w:szCs w:val="22"/>
                <w:lang w:val="sk-SK"/>
              </w:rPr>
            </w:pPr>
            <w:r w:rsidRPr="003F71D2">
              <w:rPr>
                <w:sz w:val="22"/>
                <w:szCs w:val="22"/>
                <w:lang w:val="sk-SK"/>
              </w:rPr>
              <w:t xml:space="preserve">Zriedkavé: </w:t>
            </w:r>
          </w:p>
        </w:tc>
        <w:tc>
          <w:tcPr>
            <w:tcW w:w="0" w:type="auto"/>
          </w:tcPr>
          <w:p w14:paraId="78709777" w14:textId="77777777" w:rsidR="00C005BF" w:rsidRPr="003F71D2" w:rsidRDefault="00DB3564" w:rsidP="003F71D2">
            <w:pPr>
              <w:pStyle w:val="Default"/>
              <w:rPr>
                <w:sz w:val="22"/>
                <w:szCs w:val="22"/>
                <w:lang w:val="sk-SK"/>
              </w:rPr>
            </w:pPr>
            <w:r w:rsidRPr="003F71D2">
              <w:rPr>
                <w:sz w:val="22"/>
                <w:szCs w:val="22"/>
                <w:lang w:val="sk-SK"/>
              </w:rPr>
              <w:t xml:space="preserve">Zmätenosť </w:t>
            </w:r>
          </w:p>
        </w:tc>
      </w:tr>
      <w:tr w:rsidR="00C005BF" w:rsidRPr="003F71D2" w14:paraId="0638C91A" w14:textId="77777777" w:rsidTr="00517DA9">
        <w:trPr>
          <w:trHeight w:val="266"/>
        </w:trPr>
        <w:tc>
          <w:tcPr>
            <w:tcW w:w="0" w:type="auto"/>
            <w:gridSpan w:val="3"/>
          </w:tcPr>
          <w:p w14:paraId="5DE81113" w14:textId="77777777" w:rsidR="00B3403A" w:rsidRPr="003F71D2" w:rsidRDefault="00B3403A" w:rsidP="003F71D2">
            <w:pPr>
              <w:pStyle w:val="Default"/>
              <w:rPr>
                <w:b/>
                <w:bCs/>
                <w:i/>
                <w:iCs/>
                <w:sz w:val="22"/>
                <w:szCs w:val="22"/>
                <w:lang w:val="sk-SK"/>
              </w:rPr>
            </w:pPr>
          </w:p>
          <w:p w14:paraId="2AE3F4F3" w14:textId="77777777" w:rsidR="00C005BF" w:rsidRPr="003F71D2" w:rsidRDefault="00DB3564" w:rsidP="003F71D2">
            <w:pPr>
              <w:pStyle w:val="Default"/>
              <w:rPr>
                <w:sz w:val="22"/>
                <w:szCs w:val="22"/>
                <w:lang w:val="sk-SK"/>
              </w:rPr>
            </w:pPr>
            <w:r w:rsidRPr="003F71D2">
              <w:rPr>
                <w:b/>
                <w:bCs/>
                <w:i/>
                <w:iCs/>
                <w:sz w:val="22"/>
                <w:szCs w:val="22"/>
                <w:lang w:val="sk-SK"/>
              </w:rPr>
              <w:t xml:space="preserve">Poruchy nervového systému </w:t>
            </w:r>
          </w:p>
        </w:tc>
      </w:tr>
      <w:tr w:rsidR="00C005BF" w:rsidRPr="003F71D2" w14:paraId="44D1966D" w14:textId="77777777" w:rsidTr="003716F8">
        <w:trPr>
          <w:trHeight w:val="200"/>
        </w:trPr>
        <w:tc>
          <w:tcPr>
            <w:tcW w:w="0" w:type="auto"/>
          </w:tcPr>
          <w:p w14:paraId="4B878E1C" w14:textId="77777777" w:rsidR="00C005BF" w:rsidRPr="003F71D2" w:rsidRDefault="00C005BF" w:rsidP="003F71D2">
            <w:pPr>
              <w:pStyle w:val="Default"/>
              <w:rPr>
                <w:sz w:val="22"/>
                <w:szCs w:val="22"/>
                <w:lang w:val="sk-SK"/>
              </w:rPr>
            </w:pPr>
          </w:p>
        </w:tc>
        <w:tc>
          <w:tcPr>
            <w:tcW w:w="0" w:type="auto"/>
          </w:tcPr>
          <w:p w14:paraId="2A63B3B2" w14:textId="77777777" w:rsidR="00C005BF"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4DF1803E" w14:textId="77777777" w:rsidR="00C005BF" w:rsidRPr="003F71D2" w:rsidRDefault="00DB3564" w:rsidP="003F71D2">
            <w:pPr>
              <w:pStyle w:val="Default"/>
              <w:rPr>
                <w:sz w:val="22"/>
                <w:szCs w:val="22"/>
                <w:lang w:val="sk-SK"/>
              </w:rPr>
            </w:pPr>
            <w:r w:rsidRPr="003F71D2">
              <w:rPr>
                <w:sz w:val="22"/>
                <w:szCs w:val="22"/>
                <w:lang w:val="sk-SK"/>
              </w:rPr>
              <w:t xml:space="preserve">Bolesť hlavy </w:t>
            </w:r>
          </w:p>
        </w:tc>
      </w:tr>
      <w:tr w:rsidR="00C005BF" w:rsidRPr="003F71D2" w14:paraId="419058BE" w14:textId="77777777" w:rsidTr="003716F8">
        <w:trPr>
          <w:trHeight w:val="453"/>
        </w:trPr>
        <w:tc>
          <w:tcPr>
            <w:tcW w:w="0" w:type="auto"/>
          </w:tcPr>
          <w:p w14:paraId="3784AD83" w14:textId="77777777" w:rsidR="00C005BF" w:rsidRPr="003F71D2" w:rsidRDefault="00C005BF" w:rsidP="003F71D2">
            <w:pPr>
              <w:pStyle w:val="Default"/>
              <w:rPr>
                <w:sz w:val="22"/>
                <w:szCs w:val="22"/>
                <w:lang w:val="sk-SK"/>
              </w:rPr>
            </w:pPr>
          </w:p>
        </w:tc>
        <w:tc>
          <w:tcPr>
            <w:tcW w:w="0" w:type="auto"/>
          </w:tcPr>
          <w:p w14:paraId="7801533A" w14:textId="77777777" w:rsidR="00251E90" w:rsidRPr="003F71D2" w:rsidRDefault="00DB3564" w:rsidP="003F71D2">
            <w:pPr>
              <w:pStyle w:val="Default"/>
              <w:rPr>
                <w:sz w:val="22"/>
                <w:szCs w:val="22"/>
                <w:lang w:val="sk-SK"/>
              </w:rPr>
            </w:pPr>
            <w:r w:rsidRPr="003F71D2">
              <w:rPr>
                <w:sz w:val="22"/>
                <w:szCs w:val="22"/>
                <w:lang w:val="sk-SK"/>
              </w:rPr>
              <w:t>Menej časté:</w:t>
            </w:r>
          </w:p>
          <w:p w14:paraId="65E2D3B3" w14:textId="77777777" w:rsidR="00C005BF" w:rsidRPr="003F71D2" w:rsidRDefault="00251E90" w:rsidP="003F71D2">
            <w:pPr>
              <w:pStyle w:val="Default"/>
              <w:rPr>
                <w:sz w:val="22"/>
                <w:szCs w:val="22"/>
                <w:lang w:val="sk-SK"/>
              </w:rPr>
            </w:pPr>
            <w:r w:rsidRPr="003F71D2">
              <w:rPr>
                <w:sz w:val="22"/>
                <w:szCs w:val="22"/>
                <w:lang w:val="sk-SK"/>
              </w:rPr>
              <w:t>Veľmi zriedkavé:</w:t>
            </w:r>
            <w:r w:rsidR="00DB3564" w:rsidRPr="003F71D2">
              <w:rPr>
                <w:sz w:val="22"/>
                <w:szCs w:val="22"/>
                <w:lang w:val="sk-SK"/>
              </w:rPr>
              <w:t xml:space="preserve"> </w:t>
            </w:r>
          </w:p>
        </w:tc>
        <w:tc>
          <w:tcPr>
            <w:tcW w:w="0" w:type="auto"/>
          </w:tcPr>
          <w:p w14:paraId="49E06F24" w14:textId="15C5ADA7" w:rsidR="00C005BF" w:rsidRPr="003F71D2" w:rsidRDefault="00DB3564" w:rsidP="003F71D2">
            <w:pPr>
              <w:pStyle w:val="Default"/>
              <w:rPr>
                <w:sz w:val="22"/>
                <w:szCs w:val="22"/>
                <w:lang w:val="sk-SK"/>
              </w:rPr>
            </w:pPr>
            <w:r w:rsidRPr="003F71D2">
              <w:rPr>
                <w:sz w:val="22"/>
                <w:szCs w:val="22"/>
                <w:lang w:val="sk-SK"/>
              </w:rPr>
              <w:t xml:space="preserve">Závraty, parestézie, </w:t>
            </w:r>
            <w:r w:rsidR="00251E90" w:rsidRPr="003F71D2">
              <w:rPr>
                <w:sz w:val="22"/>
                <w:szCs w:val="22"/>
                <w:lang w:val="sk-SK"/>
              </w:rPr>
              <w:t>dysgeúzia</w:t>
            </w:r>
            <w:r w:rsidRPr="003F71D2">
              <w:rPr>
                <w:sz w:val="22"/>
                <w:szCs w:val="22"/>
                <w:lang w:val="sk-SK"/>
              </w:rPr>
              <w:t>, hyp</w:t>
            </w:r>
            <w:r w:rsidR="006F7902" w:rsidRPr="003F71D2">
              <w:rPr>
                <w:sz w:val="22"/>
                <w:szCs w:val="22"/>
                <w:lang w:val="sk-SK"/>
              </w:rPr>
              <w:t>o</w:t>
            </w:r>
            <w:r w:rsidRPr="003F71D2">
              <w:rPr>
                <w:sz w:val="22"/>
                <w:szCs w:val="22"/>
                <w:lang w:val="sk-SK"/>
              </w:rPr>
              <w:t>estézie, hyperestézie, tremor, somnolencia</w:t>
            </w:r>
          </w:p>
          <w:p w14:paraId="42148E3F" w14:textId="77777777" w:rsidR="00251E90" w:rsidRPr="003F71D2" w:rsidRDefault="00251E90" w:rsidP="003F71D2">
            <w:pPr>
              <w:pStyle w:val="Default"/>
              <w:rPr>
                <w:sz w:val="22"/>
                <w:szCs w:val="22"/>
                <w:lang w:val="sk-SK"/>
              </w:rPr>
            </w:pPr>
            <w:r w:rsidRPr="003F71D2">
              <w:rPr>
                <w:sz w:val="22"/>
                <w:szCs w:val="22"/>
                <w:lang w:val="sk-SK"/>
              </w:rPr>
              <w:t>Kŕče, hypoestézia a tetania (sekundárne pri hypokalciémii)</w:t>
            </w:r>
          </w:p>
          <w:p w14:paraId="29A1DC62" w14:textId="77777777" w:rsidR="00251E90" w:rsidRPr="003F71D2" w:rsidRDefault="00251E90" w:rsidP="003F71D2">
            <w:pPr>
              <w:pStyle w:val="Default"/>
              <w:rPr>
                <w:sz w:val="22"/>
                <w:szCs w:val="22"/>
                <w:lang w:val="sk-SK"/>
              </w:rPr>
            </w:pPr>
          </w:p>
        </w:tc>
      </w:tr>
      <w:tr w:rsidR="00C005BF" w:rsidRPr="003F71D2" w14:paraId="22B6D126" w14:textId="77777777" w:rsidTr="00517DA9">
        <w:trPr>
          <w:trHeight w:val="266"/>
        </w:trPr>
        <w:tc>
          <w:tcPr>
            <w:tcW w:w="0" w:type="auto"/>
            <w:gridSpan w:val="3"/>
          </w:tcPr>
          <w:p w14:paraId="59A95341" w14:textId="77777777" w:rsidR="00EC4EEE" w:rsidRPr="003F71D2" w:rsidRDefault="00EC4EEE" w:rsidP="003F71D2">
            <w:pPr>
              <w:pStyle w:val="Default"/>
              <w:rPr>
                <w:b/>
                <w:bCs/>
                <w:i/>
                <w:iCs/>
                <w:sz w:val="22"/>
                <w:szCs w:val="22"/>
                <w:lang w:val="sk-SK"/>
              </w:rPr>
            </w:pPr>
          </w:p>
          <w:p w14:paraId="4FEBC379" w14:textId="77777777" w:rsidR="00C005BF" w:rsidRPr="003F71D2" w:rsidRDefault="00DB3564" w:rsidP="003F71D2">
            <w:pPr>
              <w:pStyle w:val="Default"/>
              <w:rPr>
                <w:sz w:val="22"/>
                <w:szCs w:val="22"/>
                <w:lang w:val="sk-SK"/>
              </w:rPr>
            </w:pPr>
            <w:r w:rsidRPr="003F71D2">
              <w:rPr>
                <w:b/>
                <w:bCs/>
                <w:i/>
                <w:iCs/>
                <w:sz w:val="22"/>
                <w:szCs w:val="22"/>
                <w:lang w:val="sk-SK"/>
              </w:rPr>
              <w:t xml:space="preserve">Poruchy oka </w:t>
            </w:r>
          </w:p>
        </w:tc>
      </w:tr>
      <w:tr w:rsidR="00C005BF" w:rsidRPr="003F71D2" w14:paraId="5413F920" w14:textId="77777777" w:rsidTr="003716F8">
        <w:trPr>
          <w:trHeight w:val="200"/>
        </w:trPr>
        <w:tc>
          <w:tcPr>
            <w:tcW w:w="0" w:type="auto"/>
          </w:tcPr>
          <w:p w14:paraId="5A8270A0" w14:textId="77777777" w:rsidR="00C005BF" w:rsidRPr="003F71D2" w:rsidRDefault="00C005BF" w:rsidP="003F71D2">
            <w:pPr>
              <w:pStyle w:val="Default"/>
              <w:rPr>
                <w:sz w:val="22"/>
                <w:szCs w:val="22"/>
                <w:lang w:val="sk-SK"/>
              </w:rPr>
            </w:pPr>
          </w:p>
        </w:tc>
        <w:tc>
          <w:tcPr>
            <w:tcW w:w="0" w:type="auto"/>
          </w:tcPr>
          <w:p w14:paraId="59279173" w14:textId="77777777" w:rsidR="00C005BF"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5E03D51F" w14:textId="77777777" w:rsidR="00C005BF" w:rsidRPr="003F71D2" w:rsidRDefault="00DB3564" w:rsidP="003F71D2">
            <w:pPr>
              <w:pStyle w:val="Default"/>
              <w:rPr>
                <w:sz w:val="22"/>
                <w:szCs w:val="22"/>
                <w:lang w:val="sk-SK"/>
              </w:rPr>
            </w:pPr>
            <w:r w:rsidRPr="003F71D2">
              <w:rPr>
                <w:sz w:val="22"/>
                <w:szCs w:val="22"/>
                <w:lang w:val="sk-SK"/>
              </w:rPr>
              <w:t xml:space="preserve">Konjunktivitída </w:t>
            </w:r>
          </w:p>
        </w:tc>
      </w:tr>
      <w:tr w:rsidR="00C005BF" w:rsidRPr="003F71D2" w14:paraId="69D1B72B" w14:textId="77777777" w:rsidTr="003716F8">
        <w:trPr>
          <w:trHeight w:val="200"/>
        </w:trPr>
        <w:tc>
          <w:tcPr>
            <w:tcW w:w="0" w:type="auto"/>
          </w:tcPr>
          <w:p w14:paraId="1D492BED" w14:textId="77777777" w:rsidR="00C005BF" w:rsidRPr="003F71D2" w:rsidRDefault="00C005BF" w:rsidP="003F71D2">
            <w:pPr>
              <w:pStyle w:val="Default"/>
              <w:rPr>
                <w:sz w:val="22"/>
                <w:szCs w:val="22"/>
                <w:lang w:val="sk-SK"/>
              </w:rPr>
            </w:pPr>
          </w:p>
        </w:tc>
        <w:tc>
          <w:tcPr>
            <w:tcW w:w="0" w:type="auto"/>
          </w:tcPr>
          <w:p w14:paraId="1B26DAC6"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3CA38FD5" w14:textId="77777777" w:rsidR="00C005BF" w:rsidRPr="003F71D2" w:rsidRDefault="00DB3564" w:rsidP="003F71D2">
            <w:pPr>
              <w:pStyle w:val="Default"/>
              <w:rPr>
                <w:sz w:val="22"/>
                <w:szCs w:val="22"/>
                <w:lang w:val="sk-SK"/>
              </w:rPr>
            </w:pPr>
            <w:r w:rsidRPr="003F71D2">
              <w:rPr>
                <w:sz w:val="22"/>
                <w:szCs w:val="22"/>
                <w:lang w:val="sk-SK"/>
              </w:rPr>
              <w:t>Neostré videnie, skleritída a zápal orbity</w:t>
            </w:r>
          </w:p>
        </w:tc>
      </w:tr>
      <w:tr w:rsidR="00C005BF" w:rsidRPr="003F71D2" w14:paraId="00F1038E" w14:textId="77777777" w:rsidTr="003716F8">
        <w:trPr>
          <w:trHeight w:val="733"/>
        </w:trPr>
        <w:tc>
          <w:tcPr>
            <w:tcW w:w="0" w:type="auto"/>
          </w:tcPr>
          <w:p w14:paraId="2D6CCFD4" w14:textId="77777777" w:rsidR="00C005BF" w:rsidRPr="003F71D2" w:rsidRDefault="00C005BF" w:rsidP="003F71D2">
            <w:pPr>
              <w:pStyle w:val="Default"/>
              <w:rPr>
                <w:sz w:val="22"/>
                <w:szCs w:val="22"/>
                <w:lang w:val="sk-SK"/>
              </w:rPr>
            </w:pPr>
          </w:p>
        </w:tc>
        <w:tc>
          <w:tcPr>
            <w:tcW w:w="0" w:type="auto"/>
          </w:tcPr>
          <w:p w14:paraId="426DBE60" w14:textId="77777777" w:rsidR="00251E90" w:rsidRPr="003F71D2" w:rsidRDefault="00251E90" w:rsidP="003F71D2">
            <w:pPr>
              <w:pStyle w:val="Default"/>
              <w:rPr>
                <w:sz w:val="22"/>
                <w:szCs w:val="22"/>
                <w:lang w:val="sk-SK"/>
              </w:rPr>
            </w:pPr>
            <w:r w:rsidRPr="003F71D2">
              <w:rPr>
                <w:sz w:val="22"/>
                <w:szCs w:val="22"/>
                <w:lang w:val="sk-SK"/>
              </w:rPr>
              <w:t>Zriedkavé:</w:t>
            </w:r>
          </w:p>
          <w:p w14:paraId="072D31DC" w14:textId="429CB7D0" w:rsidR="000E7948" w:rsidRPr="003F71D2" w:rsidRDefault="00DB3564" w:rsidP="003F71D2">
            <w:pPr>
              <w:pStyle w:val="Default"/>
              <w:rPr>
                <w:sz w:val="22"/>
                <w:szCs w:val="22"/>
                <w:lang w:val="sk-SK"/>
              </w:rPr>
            </w:pPr>
            <w:r w:rsidRPr="003F71D2">
              <w:rPr>
                <w:sz w:val="22"/>
                <w:szCs w:val="22"/>
                <w:lang w:val="sk-SK"/>
              </w:rPr>
              <w:t xml:space="preserve">Veľmi zriedkavé: </w:t>
            </w:r>
          </w:p>
        </w:tc>
        <w:tc>
          <w:tcPr>
            <w:tcW w:w="0" w:type="auto"/>
          </w:tcPr>
          <w:p w14:paraId="6BDE7540" w14:textId="77777777" w:rsidR="00251E90" w:rsidRPr="003F71D2" w:rsidRDefault="00DB3564" w:rsidP="003F71D2">
            <w:pPr>
              <w:pStyle w:val="Default"/>
              <w:rPr>
                <w:sz w:val="22"/>
                <w:szCs w:val="22"/>
                <w:lang w:val="sk-SK"/>
              </w:rPr>
            </w:pPr>
            <w:r w:rsidRPr="003F71D2">
              <w:rPr>
                <w:sz w:val="22"/>
                <w:szCs w:val="22"/>
                <w:lang w:val="sk-SK"/>
              </w:rPr>
              <w:t xml:space="preserve">Uveitída, </w:t>
            </w:r>
          </w:p>
          <w:p w14:paraId="5044F828" w14:textId="77777777" w:rsidR="00C005BF" w:rsidRPr="003F71D2" w:rsidRDefault="00251E90" w:rsidP="003F71D2">
            <w:pPr>
              <w:pStyle w:val="Default"/>
              <w:rPr>
                <w:sz w:val="22"/>
                <w:szCs w:val="22"/>
                <w:lang w:val="sk-SK"/>
              </w:rPr>
            </w:pPr>
            <w:r w:rsidRPr="003F71D2">
              <w:rPr>
                <w:sz w:val="22"/>
                <w:szCs w:val="22"/>
                <w:lang w:val="sk-SK"/>
              </w:rPr>
              <w:t>E</w:t>
            </w:r>
            <w:r w:rsidR="00DB3564" w:rsidRPr="003F71D2">
              <w:rPr>
                <w:sz w:val="22"/>
                <w:szCs w:val="22"/>
                <w:lang w:val="sk-SK"/>
              </w:rPr>
              <w:t xml:space="preserve">piskleritída </w:t>
            </w:r>
          </w:p>
        </w:tc>
      </w:tr>
      <w:tr w:rsidR="00C005BF" w:rsidRPr="003F71D2" w14:paraId="2F0B86AD" w14:textId="77777777" w:rsidTr="00517DA9">
        <w:trPr>
          <w:trHeight w:val="266"/>
        </w:trPr>
        <w:tc>
          <w:tcPr>
            <w:tcW w:w="0" w:type="auto"/>
            <w:gridSpan w:val="3"/>
          </w:tcPr>
          <w:p w14:paraId="25C19411" w14:textId="77777777" w:rsidR="00B3403A" w:rsidRPr="003F71D2" w:rsidRDefault="00B3403A" w:rsidP="003F71D2">
            <w:pPr>
              <w:pStyle w:val="Default"/>
              <w:rPr>
                <w:b/>
                <w:bCs/>
                <w:i/>
                <w:iCs/>
                <w:sz w:val="22"/>
                <w:szCs w:val="22"/>
                <w:lang w:val="sk-SK"/>
              </w:rPr>
            </w:pPr>
          </w:p>
          <w:p w14:paraId="0E5A08AD" w14:textId="77777777" w:rsidR="00C005BF" w:rsidRPr="003F71D2" w:rsidRDefault="00DB3564" w:rsidP="003F71D2">
            <w:pPr>
              <w:pStyle w:val="Default"/>
              <w:rPr>
                <w:sz w:val="22"/>
                <w:szCs w:val="22"/>
                <w:lang w:val="sk-SK"/>
              </w:rPr>
            </w:pPr>
            <w:r w:rsidRPr="003F71D2">
              <w:rPr>
                <w:b/>
                <w:bCs/>
                <w:i/>
                <w:iCs/>
                <w:sz w:val="22"/>
                <w:szCs w:val="22"/>
                <w:lang w:val="sk-SK"/>
              </w:rPr>
              <w:t xml:space="preserve">Poruchy srdca a srdcovej činnosti </w:t>
            </w:r>
          </w:p>
        </w:tc>
      </w:tr>
      <w:tr w:rsidR="00C005BF" w:rsidRPr="003F71D2" w14:paraId="16A57D58" w14:textId="77777777" w:rsidTr="003716F8">
        <w:trPr>
          <w:trHeight w:val="706"/>
        </w:trPr>
        <w:tc>
          <w:tcPr>
            <w:tcW w:w="0" w:type="auto"/>
          </w:tcPr>
          <w:p w14:paraId="683A6CAB" w14:textId="77777777" w:rsidR="00C005BF" w:rsidRPr="003F71D2" w:rsidRDefault="00C005BF" w:rsidP="003F71D2">
            <w:pPr>
              <w:pStyle w:val="Default"/>
              <w:rPr>
                <w:sz w:val="22"/>
                <w:szCs w:val="22"/>
                <w:lang w:val="sk-SK"/>
              </w:rPr>
            </w:pPr>
          </w:p>
        </w:tc>
        <w:tc>
          <w:tcPr>
            <w:tcW w:w="0" w:type="auto"/>
          </w:tcPr>
          <w:p w14:paraId="2467C373"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3BC1D8C3" w14:textId="77777777" w:rsidR="00C005BF" w:rsidRPr="003F71D2" w:rsidRDefault="00DB3564" w:rsidP="003F71D2">
            <w:pPr>
              <w:pStyle w:val="Default"/>
              <w:rPr>
                <w:sz w:val="22"/>
                <w:szCs w:val="22"/>
                <w:lang w:val="sk-SK"/>
              </w:rPr>
            </w:pPr>
            <w:r w:rsidRPr="003F71D2">
              <w:rPr>
                <w:sz w:val="22"/>
                <w:szCs w:val="22"/>
                <w:lang w:val="sk-SK"/>
              </w:rPr>
              <w:t>Hypertenzia, hypotenzia, fibrilácia predsiení, hypotenzia spôsobujúca synkopu alebo obehový kolaps</w:t>
            </w:r>
          </w:p>
        </w:tc>
      </w:tr>
      <w:tr w:rsidR="00C005BF" w:rsidRPr="003F71D2" w14:paraId="1930C913" w14:textId="77777777" w:rsidTr="003716F8">
        <w:trPr>
          <w:trHeight w:val="200"/>
        </w:trPr>
        <w:tc>
          <w:tcPr>
            <w:tcW w:w="0" w:type="auto"/>
          </w:tcPr>
          <w:p w14:paraId="65C65DE7" w14:textId="77777777" w:rsidR="00C005BF" w:rsidRPr="003F71D2" w:rsidRDefault="00C005BF" w:rsidP="003F71D2">
            <w:pPr>
              <w:pStyle w:val="Default"/>
              <w:rPr>
                <w:sz w:val="22"/>
                <w:szCs w:val="22"/>
                <w:lang w:val="sk-SK"/>
              </w:rPr>
            </w:pPr>
          </w:p>
        </w:tc>
        <w:tc>
          <w:tcPr>
            <w:tcW w:w="0" w:type="auto"/>
          </w:tcPr>
          <w:p w14:paraId="060D44F5" w14:textId="77777777" w:rsidR="00C005BF" w:rsidRPr="003F71D2" w:rsidRDefault="00DB3564" w:rsidP="003F71D2">
            <w:pPr>
              <w:pStyle w:val="Default"/>
              <w:rPr>
                <w:sz w:val="22"/>
                <w:szCs w:val="22"/>
                <w:lang w:val="sk-SK"/>
              </w:rPr>
            </w:pPr>
            <w:r w:rsidRPr="003F71D2">
              <w:rPr>
                <w:sz w:val="22"/>
                <w:szCs w:val="22"/>
                <w:lang w:val="sk-SK"/>
              </w:rPr>
              <w:t xml:space="preserve">Zriedkavé: </w:t>
            </w:r>
          </w:p>
        </w:tc>
        <w:tc>
          <w:tcPr>
            <w:tcW w:w="0" w:type="auto"/>
          </w:tcPr>
          <w:p w14:paraId="461B1CE8" w14:textId="77777777" w:rsidR="00C005BF" w:rsidRPr="003F71D2" w:rsidRDefault="00DB3564" w:rsidP="003F71D2">
            <w:pPr>
              <w:pStyle w:val="Default"/>
              <w:rPr>
                <w:sz w:val="22"/>
                <w:szCs w:val="22"/>
                <w:lang w:val="sk-SK"/>
              </w:rPr>
            </w:pPr>
            <w:r w:rsidRPr="003F71D2">
              <w:rPr>
                <w:sz w:val="22"/>
                <w:szCs w:val="22"/>
                <w:lang w:val="sk-SK"/>
              </w:rPr>
              <w:t>Bradykardia</w:t>
            </w:r>
            <w:r w:rsidR="00251E90" w:rsidRPr="003F71D2">
              <w:rPr>
                <w:sz w:val="22"/>
                <w:szCs w:val="22"/>
                <w:lang w:val="sk-SK"/>
              </w:rPr>
              <w:t xml:space="preserve"> srdcová arytmia</w:t>
            </w:r>
            <w:r w:rsidRPr="003F71D2">
              <w:rPr>
                <w:sz w:val="22"/>
                <w:szCs w:val="22"/>
                <w:lang w:val="sk-SK"/>
              </w:rPr>
              <w:t xml:space="preserve"> </w:t>
            </w:r>
            <w:r w:rsidR="00251E90" w:rsidRPr="003F71D2">
              <w:rPr>
                <w:sz w:val="22"/>
                <w:szCs w:val="22"/>
                <w:lang w:val="sk-SK"/>
              </w:rPr>
              <w:t>(sekundárne pri hypokalciémii)</w:t>
            </w:r>
          </w:p>
        </w:tc>
      </w:tr>
      <w:tr w:rsidR="00C005BF" w:rsidRPr="003F71D2" w14:paraId="4F6A0371" w14:textId="77777777" w:rsidTr="00517DA9">
        <w:trPr>
          <w:trHeight w:val="266"/>
        </w:trPr>
        <w:tc>
          <w:tcPr>
            <w:tcW w:w="0" w:type="auto"/>
            <w:gridSpan w:val="3"/>
          </w:tcPr>
          <w:p w14:paraId="7F9E9ABE" w14:textId="77777777" w:rsidR="00B3403A" w:rsidRPr="003F71D2" w:rsidRDefault="00B3403A" w:rsidP="003F71D2">
            <w:pPr>
              <w:pStyle w:val="Default"/>
              <w:rPr>
                <w:b/>
                <w:bCs/>
                <w:i/>
                <w:iCs/>
                <w:sz w:val="22"/>
                <w:szCs w:val="22"/>
                <w:lang w:val="sk-SK"/>
              </w:rPr>
            </w:pPr>
          </w:p>
          <w:p w14:paraId="02A357C0" w14:textId="77777777" w:rsidR="00C005BF" w:rsidRPr="003F71D2" w:rsidRDefault="00DB3564" w:rsidP="003F71D2">
            <w:pPr>
              <w:pStyle w:val="Default"/>
              <w:rPr>
                <w:sz w:val="22"/>
                <w:szCs w:val="22"/>
                <w:lang w:val="sk-SK"/>
              </w:rPr>
            </w:pPr>
            <w:r w:rsidRPr="003F71D2">
              <w:rPr>
                <w:b/>
                <w:bCs/>
                <w:i/>
                <w:iCs/>
                <w:sz w:val="22"/>
                <w:szCs w:val="22"/>
                <w:lang w:val="sk-SK"/>
              </w:rPr>
              <w:t xml:space="preserve">Poruchy dýchacej sústavy, hrudníka a mediastína </w:t>
            </w:r>
          </w:p>
        </w:tc>
      </w:tr>
      <w:tr w:rsidR="00C005BF" w:rsidRPr="003F71D2" w14:paraId="03425730" w14:textId="77777777" w:rsidTr="003716F8">
        <w:trPr>
          <w:trHeight w:val="200"/>
        </w:trPr>
        <w:tc>
          <w:tcPr>
            <w:tcW w:w="0" w:type="auto"/>
          </w:tcPr>
          <w:p w14:paraId="3112E3B7" w14:textId="77777777" w:rsidR="00C005BF" w:rsidRPr="003F71D2" w:rsidRDefault="00C005BF" w:rsidP="003F71D2">
            <w:pPr>
              <w:pStyle w:val="Default"/>
              <w:rPr>
                <w:sz w:val="22"/>
                <w:szCs w:val="22"/>
                <w:lang w:val="sk-SK"/>
              </w:rPr>
            </w:pPr>
          </w:p>
        </w:tc>
        <w:tc>
          <w:tcPr>
            <w:tcW w:w="0" w:type="auto"/>
          </w:tcPr>
          <w:p w14:paraId="3CB6AFE8" w14:textId="77777777" w:rsidR="00C005BF" w:rsidRPr="003F71D2" w:rsidRDefault="00DB3564" w:rsidP="003F71D2">
            <w:pPr>
              <w:pStyle w:val="Default"/>
              <w:rPr>
                <w:sz w:val="22"/>
                <w:szCs w:val="22"/>
                <w:lang w:val="sk-SK"/>
              </w:rPr>
            </w:pPr>
            <w:r w:rsidRPr="003F71D2">
              <w:rPr>
                <w:sz w:val="22"/>
                <w:szCs w:val="22"/>
                <w:lang w:val="sk-SK"/>
              </w:rPr>
              <w:t xml:space="preserve">Menej časté: </w:t>
            </w:r>
          </w:p>
          <w:p w14:paraId="47873B9C" w14:textId="77777777" w:rsidR="00251E90" w:rsidRPr="003F71D2" w:rsidRDefault="00251E90" w:rsidP="003F71D2">
            <w:pPr>
              <w:pStyle w:val="Default"/>
              <w:rPr>
                <w:sz w:val="22"/>
                <w:szCs w:val="22"/>
                <w:lang w:val="sk-SK"/>
              </w:rPr>
            </w:pPr>
            <w:r w:rsidRPr="003F71D2">
              <w:rPr>
                <w:sz w:val="22"/>
                <w:szCs w:val="22"/>
                <w:lang w:val="sk-SK"/>
              </w:rPr>
              <w:t>Zriedkavé:</w:t>
            </w:r>
          </w:p>
        </w:tc>
        <w:tc>
          <w:tcPr>
            <w:tcW w:w="0" w:type="auto"/>
          </w:tcPr>
          <w:p w14:paraId="2A06B1D4" w14:textId="77777777" w:rsidR="00C005BF" w:rsidRPr="003F71D2" w:rsidRDefault="00DB3564" w:rsidP="003F71D2">
            <w:pPr>
              <w:pStyle w:val="Default"/>
              <w:rPr>
                <w:sz w:val="22"/>
                <w:szCs w:val="22"/>
                <w:lang w:val="sk-SK"/>
              </w:rPr>
            </w:pPr>
            <w:r w:rsidRPr="003F71D2">
              <w:rPr>
                <w:sz w:val="22"/>
                <w:szCs w:val="22"/>
                <w:lang w:val="sk-SK"/>
              </w:rPr>
              <w:t>Dyspnoe, kašeľ, bronchokonstrikcia</w:t>
            </w:r>
          </w:p>
          <w:p w14:paraId="5DE0E9E8" w14:textId="77777777" w:rsidR="00251E90" w:rsidRPr="003F71D2" w:rsidRDefault="00251E90" w:rsidP="003F71D2">
            <w:pPr>
              <w:pStyle w:val="Default"/>
              <w:rPr>
                <w:sz w:val="22"/>
                <w:szCs w:val="22"/>
              </w:rPr>
            </w:pPr>
            <w:r w:rsidRPr="003F71D2">
              <w:rPr>
                <w:sz w:val="22"/>
                <w:szCs w:val="22"/>
              </w:rPr>
              <w:t>Intersticiálna choroba pľúc</w:t>
            </w:r>
          </w:p>
          <w:tbl>
            <w:tblPr>
              <w:tblW w:w="0" w:type="auto"/>
              <w:tblBorders>
                <w:top w:val="nil"/>
                <w:left w:val="nil"/>
                <w:bottom w:val="nil"/>
                <w:right w:val="nil"/>
              </w:tblBorders>
              <w:tblLook w:val="0000" w:firstRow="0" w:lastRow="0" w:firstColumn="0" w:lastColumn="0" w:noHBand="0" w:noVBand="0"/>
            </w:tblPr>
            <w:tblGrid>
              <w:gridCol w:w="222"/>
            </w:tblGrid>
            <w:tr w:rsidR="00251E90" w:rsidRPr="003F71D2" w14:paraId="25CCA9AB" w14:textId="77777777" w:rsidTr="003716F8">
              <w:trPr>
                <w:trHeight w:val="201"/>
              </w:trPr>
              <w:tc>
                <w:tcPr>
                  <w:tcW w:w="0" w:type="auto"/>
                </w:tcPr>
                <w:p w14:paraId="187A4598" w14:textId="77777777" w:rsidR="00251E90" w:rsidRPr="003F71D2" w:rsidRDefault="00251E90" w:rsidP="003F71D2">
                  <w:pPr>
                    <w:pStyle w:val="Default"/>
                    <w:rPr>
                      <w:sz w:val="22"/>
                      <w:szCs w:val="22"/>
                    </w:rPr>
                  </w:pPr>
                </w:p>
              </w:tc>
            </w:tr>
          </w:tbl>
          <w:p w14:paraId="086419E7" w14:textId="77777777" w:rsidR="00251E90" w:rsidRPr="003F71D2" w:rsidRDefault="00251E90" w:rsidP="003F71D2">
            <w:pPr>
              <w:pStyle w:val="Default"/>
              <w:rPr>
                <w:sz w:val="22"/>
                <w:szCs w:val="22"/>
                <w:lang w:val="sk-SK"/>
              </w:rPr>
            </w:pPr>
          </w:p>
        </w:tc>
      </w:tr>
      <w:tr w:rsidR="00C005BF" w:rsidRPr="003F71D2" w14:paraId="57148B5F" w14:textId="77777777" w:rsidTr="00517DA9">
        <w:trPr>
          <w:trHeight w:val="266"/>
        </w:trPr>
        <w:tc>
          <w:tcPr>
            <w:tcW w:w="0" w:type="auto"/>
            <w:gridSpan w:val="3"/>
          </w:tcPr>
          <w:p w14:paraId="23177C9E" w14:textId="77777777" w:rsidR="00C005BF" w:rsidRPr="003F71D2" w:rsidRDefault="00DB3564" w:rsidP="003F71D2">
            <w:pPr>
              <w:pStyle w:val="Default"/>
              <w:rPr>
                <w:sz w:val="22"/>
                <w:szCs w:val="22"/>
                <w:lang w:val="sk-SK"/>
              </w:rPr>
            </w:pPr>
            <w:r w:rsidRPr="003F71D2">
              <w:rPr>
                <w:b/>
                <w:bCs/>
                <w:i/>
                <w:iCs/>
                <w:sz w:val="22"/>
                <w:szCs w:val="22"/>
                <w:lang w:val="sk-SK"/>
              </w:rPr>
              <w:lastRenderedPageBreak/>
              <w:t xml:space="preserve">Poruchy gastrointestinálneho traktu </w:t>
            </w:r>
          </w:p>
        </w:tc>
      </w:tr>
      <w:tr w:rsidR="00C005BF" w:rsidRPr="003F71D2" w14:paraId="7A09E700" w14:textId="77777777" w:rsidTr="003716F8">
        <w:trPr>
          <w:trHeight w:val="200"/>
        </w:trPr>
        <w:tc>
          <w:tcPr>
            <w:tcW w:w="0" w:type="auto"/>
          </w:tcPr>
          <w:p w14:paraId="4A33A16A" w14:textId="77777777" w:rsidR="00C005BF" w:rsidRPr="003F71D2" w:rsidRDefault="00C005BF" w:rsidP="003F71D2">
            <w:pPr>
              <w:pStyle w:val="Default"/>
              <w:rPr>
                <w:sz w:val="22"/>
                <w:szCs w:val="22"/>
                <w:lang w:val="sk-SK"/>
              </w:rPr>
            </w:pPr>
          </w:p>
        </w:tc>
        <w:tc>
          <w:tcPr>
            <w:tcW w:w="0" w:type="auto"/>
          </w:tcPr>
          <w:p w14:paraId="39C43A8C" w14:textId="77777777" w:rsidR="00C005BF"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3806DAEF" w14:textId="77777777" w:rsidR="00C005BF" w:rsidRPr="003F71D2" w:rsidRDefault="00DB3564" w:rsidP="003F71D2">
            <w:pPr>
              <w:pStyle w:val="Default"/>
              <w:rPr>
                <w:sz w:val="22"/>
                <w:szCs w:val="22"/>
                <w:lang w:val="sk-SK"/>
              </w:rPr>
            </w:pPr>
            <w:r w:rsidRPr="003F71D2">
              <w:rPr>
                <w:sz w:val="22"/>
                <w:szCs w:val="22"/>
                <w:lang w:val="sk-SK"/>
              </w:rPr>
              <w:t xml:space="preserve">Nauzea, vracanie, </w:t>
            </w:r>
            <w:r w:rsidR="002678CA" w:rsidRPr="003F71D2">
              <w:rPr>
                <w:sz w:val="22"/>
                <w:szCs w:val="22"/>
                <w:lang w:val="sk-SK"/>
              </w:rPr>
              <w:t>zníženie chuti do jedla</w:t>
            </w:r>
          </w:p>
        </w:tc>
      </w:tr>
      <w:tr w:rsidR="00C005BF" w:rsidRPr="003F71D2" w14:paraId="271DF469" w14:textId="77777777" w:rsidTr="003716F8">
        <w:trPr>
          <w:trHeight w:val="453"/>
        </w:trPr>
        <w:tc>
          <w:tcPr>
            <w:tcW w:w="0" w:type="auto"/>
          </w:tcPr>
          <w:p w14:paraId="68EFE595" w14:textId="77777777" w:rsidR="00C005BF" w:rsidRPr="003F71D2" w:rsidRDefault="00C005BF" w:rsidP="003F71D2">
            <w:pPr>
              <w:pStyle w:val="Default"/>
              <w:rPr>
                <w:sz w:val="22"/>
                <w:szCs w:val="22"/>
                <w:lang w:val="sk-SK"/>
              </w:rPr>
            </w:pPr>
          </w:p>
        </w:tc>
        <w:tc>
          <w:tcPr>
            <w:tcW w:w="0" w:type="auto"/>
          </w:tcPr>
          <w:p w14:paraId="56476543"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0C0496E8" w14:textId="77777777" w:rsidR="00C005BF" w:rsidRPr="003F71D2" w:rsidRDefault="00DB3564" w:rsidP="003F71D2">
            <w:pPr>
              <w:pStyle w:val="Default"/>
              <w:rPr>
                <w:sz w:val="22"/>
                <w:szCs w:val="22"/>
                <w:lang w:val="sk-SK"/>
              </w:rPr>
            </w:pPr>
            <w:r w:rsidRPr="003F71D2">
              <w:rPr>
                <w:sz w:val="22"/>
                <w:szCs w:val="22"/>
                <w:lang w:val="sk-SK"/>
              </w:rPr>
              <w:t>Hnačka, zápcha, bolesť brucha, dyspepsia, stomatitída, suchosť v ústach</w:t>
            </w:r>
          </w:p>
        </w:tc>
      </w:tr>
      <w:tr w:rsidR="00C005BF" w:rsidRPr="003F71D2" w14:paraId="0F954A2A" w14:textId="77777777" w:rsidTr="00517DA9">
        <w:trPr>
          <w:trHeight w:val="266"/>
        </w:trPr>
        <w:tc>
          <w:tcPr>
            <w:tcW w:w="0" w:type="auto"/>
            <w:gridSpan w:val="3"/>
          </w:tcPr>
          <w:p w14:paraId="4336277A" w14:textId="77777777" w:rsidR="00C005BF" w:rsidRPr="003F71D2" w:rsidRDefault="00DB3564" w:rsidP="003F71D2">
            <w:pPr>
              <w:pStyle w:val="Default"/>
              <w:rPr>
                <w:sz w:val="22"/>
                <w:szCs w:val="22"/>
                <w:lang w:val="sk-SK"/>
              </w:rPr>
            </w:pPr>
            <w:r w:rsidRPr="003F71D2">
              <w:rPr>
                <w:b/>
                <w:bCs/>
                <w:i/>
                <w:iCs/>
                <w:sz w:val="22"/>
                <w:szCs w:val="22"/>
                <w:lang w:val="sk-SK"/>
              </w:rPr>
              <w:t xml:space="preserve">Poruchy kože a podkožného tkaniva </w:t>
            </w:r>
          </w:p>
        </w:tc>
      </w:tr>
      <w:tr w:rsidR="00C005BF" w:rsidRPr="003F71D2" w14:paraId="73C5055A" w14:textId="77777777" w:rsidTr="003716F8">
        <w:trPr>
          <w:trHeight w:val="453"/>
        </w:trPr>
        <w:tc>
          <w:tcPr>
            <w:tcW w:w="0" w:type="auto"/>
          </w:tcPr>
          <w:p w14:paraId="6D4AF4BD" w14:textId="77777777" w:rsidR="00C005BF" w:rsidRPr="003F71D2" w:rsidRDefault="00C005BF" w:rsidP="003F71D2">
            <w:pPr>
              <w:pStyle w:val="Default"/>
              <w:rPr>
                <w:sz w:val="22"/>
                <w:szCs w:val="22"/>
                <w:lang w:val="sk-SK"/>
              </w:rPr>
            </w:pPr>
          </w:p>
        </w:tc>
        <w:tc>
          <w:tcPr>
            <w:tcW w:w="0" w:type="auto"/>
          </w:tcPr>
          <w:p w14:paraId="6F9BDB70"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493E3D5D" w14:textId="77777777" w:rsidR="00C005BF" w:rsidRPr="003F71D2" w:rsidRDefault="00DB3564" w:rsidP="003F71D2">
            <w:pPr>
              <w:pStyle w:val="Default"/>
              <w:rPr>
                <w:sz w:val="22"/>
                <w:szCs w:val="22"/>
                <w:lang w:val="sk-SK"/>
              </w:rPr>
            </w:pPr>
            <w:r w:rsidRPr="003F71D2">
              <w:rPr>
                <w:sz w:val="22"/>
                <w:szCs w:val="22"/>
                <w:lang w:val="sk-SK"/>
              </w:rPr>
              <w:t>Svrbenie, exantém (vrátane erytematózneho a makulárneho exantému), zvýšené potenie</w:t>
            </w:r>
          </w:p>
        </w:tc>
      </w:tr>
      <w:tr w:rsidR="00C005BF" w:rsidRPr="003F71D2" w14:paraId="28F94B6B" w14:textId="77777777" w:rsidTr="00517DA9">
        <w:trPr>
          <w:trHeight w:val="266"/>
        </w:trPr>
        <w:tc>
          <w:tcPr>
            <w:tcW w:w="0" w:type="auto"/>
            <w:gridSpan w:val="3"/>
          </w:tcPr>
          <w:p w14:paraId="686B5577" w14:textId="77777777" w:rsidR="00005919" w:rsidRPr="003F71D2" w:rsidRDefault="00005919" w:rsidP="003F71D2">
            <w:pPr>
              <w:pStyle w:val="Default"/>
              <w:rPr>
                <w:b/>
                <w:bCs/>
                <w:i/>
                <w:iCs/>
                <w:sz w:val="22"/>
                <w:szCs w:val="22"/>
                <w:lang w:val="sk-SK"/>
              </w:rPr>
            </w:pPr>
          </w:p>
          <w:p w14:paraId="78BA9529" w14:textId="77777777" w:rsidR="00C005BF" w:rsidRPr="003F71D2" w:rsidRDefault="00DB3564" w:rsidP="003F71D2">
            <w:pPr>
              <w:pStyle w:val="Default"/>
              <w:rPr>
                <w:sz w:val="22"/>
                <w:szCs w:val="22"/>
                <w:lang w:val="sk-SK"/>
              </w:rPr>
            </w:pPr>
            <w:r w:rsidRPr="003F71D2">
              <w:rPr>
                <w:b/>
                <w:bCs/>
                <w:i/>
                <w:iCs/>
                <w:sz w:val="22"/>
                <w:szCs w:val="22"/>
                <w:lang w:val="sk-SK"/>
              </w:rPr>
              <w:t>Poruchy kostrovej a svalovej sústavy a spojivového tkaniva</w:t>
            </w:r>
          </w:p>
        </w:tc>
      </w:tr>
      <w:tr w:rsidR="00C005BF" w:rsidRPr="003F71D2" w14:paraId="63E4B374" w14:textId="77777777" w:rsidTr="003716F8">
        <w:trPr>
          <w:trHeight w:val="453"/>
        </w:trPr>
        <w:tc>
          <w:tcPr>
            <w:tcW w:w="0" w:type="auto"/>
          </w:tcPr>
          <w:p w14:paraId="7ECF15B8" w14:textId="77777777" w:rsidR="00C005BF" w:rsidRPr="003F71D2" w:rsidRDefault="00C005BF" w:rsidP="003F71D2">
            <w:pPr>
              <w:pStyle w:val="Default"/>
              <w:rPr>
                <w:sz w:val="22"/>
                <w:szCs w:val="22"/>
                <w:lang w:val="sk-SK"/>
              </w:rPr>
            </w:pPr>
          </w:p>
        </w:tc>
        <w:tc>
          <w:tcPr>
            <w:tcW w:w="0" w:type="auto"/>
          </w:tcPr>
          <w:p w14:paraId="6981297B" w14:textId="77777777" w:rsidR="00C005BF"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1B21346B" w14:textId="77777777" w:rsidR="00C005BF" w:rsidRPr="003F71D2" w:rsidRDefault="00DB3564" w:rsidP="003F71D2">
            <w:pPr>
              <w:pStyle w:val="Default"/>
              <w:rPr>
                <w:sz w:val="22"/>
                <w:szCs w:val="22"/>
                <w:lang w:val="sk-SK"/>
              </w:rPr>
            </w:pPr>
            <w:r w:rsidRPr="003F71D2">
              <w:rPr>
                <w:sz w:val="22"/>
                <w:szCs w:val="22"/>
                <w:lang w:val="sk-SK"/>
              </w:rPr>
              <w:t>Bolesť kostí, bolesť svalov, bolesť kĺbov, generalizovaná bolesť</w:t>
            </w:r>
          </w:p>
        </w:tc>
      </w:tr>
      <w:tr w:rsidR="00C005BF" w:rsidRPr="003F71D2" w14:paraId="54558D73" w14:textId="77777777" w:rsidTr="003716F8">
        <w:trPr>
          <w:trHeight w:val="200"/>
        </w:trPr>
        <w:tc>
          <w:tcPr>
            <w:tcW w:w="0" w:type="auto"/>
          </w:tcPr>
          <w:p w14:paraId="57C54706" w14:textId="77777777" w:rsidR="00C005BF" w:rsidRPr="003F71D2" w:rsidRDefault="00C005BF" w:rsidP="003F71D2">
            <w:pPr>
              <w:pStyle w:val="Default"/>
              <w:rPr>
                <w:sz w:val="22"/>
                <w:szCs w:val="22"/>
                <w:lang w:val="sk-SK"/>
              </w:rPr>
            </w:pPr>
          </w:p>
        </w:tc>
        <w:tc>
          <w:tcPr>
            <w:tcW w:w="0" w:type="auto"/>
          </w:tcPr>
          <w:p w14:paraId="4642A1DF" w14:textId="77777777" w:rsidR="00C005BF"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0548C90C" w14:textId="77777777" w:rsidR="00C005BF" w:rsidRPr="003F71D2" w:rsidRDefault="00DB3564" w:rsidP="003F71D2">
            <w:pPr>
              <w:pStyle w:val="Default"/>
              <w:rPr>
                <w:sz w:val="22"/>
                <w:szCs w:val="22"/>
                <w:lang w:val="sk-SK"/>
              </w:rPr>
            </w:pPr>
            <w:r w:rsidRPr="003F71D2">
              <w:rPr>
                <w:sz w:val="22"/>
                <w:szCs w:val="22"/>
                <w:lang w:val="sk-SK"/>
              </w:rPr>
              <w:t xml:space="preserve">Svalové kŕče, osteonekróza čeľuste </w:t>
            </w:r>
          </w:p>
        </w:tc>
      </w:tr>
      <w:tr w:rsidR="00C005BF" w:rsidRPr="003F71D2" w14:paraId="72989AD7" w14:textId="77777777" w:rsidTr="00517DA9">
        <w:trPr>
          <w:trHeight w:val="267"/>
        </w:trPr>
        <w:tc>
          <w:tcPr>
            <w:tcW w:w="0" w:type="auto"/>
            <w:gridSpan w:val="3"/>
          </w:tcPr>
          <w:p w14:paraId="7120688A" w14:textId="77777777" w:rsidR="002678CA" w:rsidRPr="003F71D2" w:rsidRDefault="00AA394B" w:rsidP="003F71D2">
            <w:pPr>
              <w:autoSpaceDE w:val="0"/>
              <w:autoSpaceDN w:val="0"/>
              <w:adjustRightInd w:val="0"/>
              <w:spacing w:after="0" w:line="240" w:lineRule="auto"/>
              <w:rPr>
                <w:rFonts w:ascii="Times New Roman" w:hAnsi="Times New Roman" w:cs="Times New Roman"/>
                <w:lang w:val="sk-SK"/>
              </w:rPr>
            </w:pPr>
            <w:r w:rsidRPr="003F71D2">
              <w:rPr>
                <w:rFonts w:ascii="Times New Roman" w:hAnsi="Times New Roman" w:cs="Times New Roman"/>
                <w:bCs/>
                <w:iCs/>
                <w:lang w:val="sk-SK"/>
              </w:rPr>
              <w:t xml:space="preserve">    Ve</w:t>
            </w:r>
            <w:r w:rsidR="00CB01C8" w:rsidRPr="003F71D2">
              <w:rPr>
                <w:rFonts w:ascii="Times New Roman" w:hAnsi="Times New Roman" w:cs="Times New Roman"/>
                <w:bCs/>
                <w:iCs/>
                <w:lang w:val="sk-SK"/>
              </w:rPr>
              <w:t>ľ</w:t>
            </w:r>
            <w:r w:rsidRPr="003F71D2">
              <w:rPr>
                <w:rFonts w:ascii="Times New Roman" w:hAnsi="Times New Roman" w:cs="Times New Roman"/>
                <w:bCs/>
                <w:iCs/>
                <w:lang w:val="sk-SK"/>
              </w:rPr>
              <w:t xml:space="preserve">mi zriedkavé: </w:t>
            </w:r>
            <w:r w:rsidR="002678CA" w:rsidRPr="003F71D2">
              <w:rPr>
                <w:rFonts w:ascii="Times New Roman" w:hAnsi="Times New Roman" w:cs="Times New Roman"/>
                <w:lang w:val="sk-SK"/>
              </w:rPr>
              <w:t>Osteonekróza vonkajšieho zvukovodu (nežiaduca reakcia triedy bisfosfonátov)</w:t>
            </w:r>
          </w:p>
          <w:p w14:paraId="5B4F4B98" w14:textId="665F3985" w:rsidR="00C15E0E" w:rsidRPr="003F71D2" w:rsidRDefault="00C15E0E" w:rsidP="00D0269C">
            <w:pPr>
              <w:autoSpaceDE w:val="0"/>
              <w:autoSpaceDN w:val="0"/>
              <w:adjustRightInd w:val="0"/>
              <w:spacing w:after="0" w:line="240" w:lineRule="auto"/>
              <w:ind w:left="601" w:firstLine="1276"/>
              <w:rPr>
                <w:rFonts w:ascii="Times New Roman" w:hAnsi="Times New Roman" w:cs="Times New Roman"/>
                <w:lang w:val="sk-SK"/>
              </w:rPr>
            </w:pPr>
            <w:r w:rsidRPr="003F71D2">
              <w:rPr>
                <w:rFonts w:ascii="Times New Roman" w:hAnsi="Times New Roman" w:cs="Times New Roman"/>
                <w:lang w:val="sk-SK"/>
              </w:rPr>
              <w:t>a iných anatomických častí vrátane stehennej kosti a bedra</w:t>
            </w:r>
          </w:p>
          <w:p w14:paraId="03576854" w14:textId="77777777" w:rsidR="00005919" w:rsidRPr="003F71D2" w:rsidRDefault="00005919" w:rsidP="003F71D2">
            <w:pPr>
              <w:pStyle w:val="Default"/>
              <w:rPr>
                <w:bCs/>
                <w:iCs/>
                <w:sz w:val="22"/>
                <w:szCs w:val="22"/>
                <w:lang w:val="sk-SK"/>
              </w:rPr>
            </w:pPr>
          </w:p>
          <w:p w14:paraId="4B4A0B19" w14:textId="77777777" w:rsidR="00C005BF" w:rsidRPr="003F71D2" w:rsidRDefault="00DB3564" w:rsidP="003F71D2">
            <w:pPr>
              <w:pStyle w:val="Default"/>
              <w:rPr>
                <w:sz w:val="22"/>
                <w:szCs w:val="22"/>
                <w:lang w:val="sk-SK"/>
              </w:rPr>
            </w:pPr>
            <w:r w:rsidRPr="003F71D2">
              <w:rPr>
                <w:b/>
                <w:bCs/>
                <w:i/>
                <w:iCs/>
                <w:sz w:val="22"/>
                <w:szCs w:val="22"/>
                <w:lang w:val="sk-SK"/>
              </w:rPr>
              <w:t xml:space="preserve">Poruchy obličiek a močových ciest </w:t>
            </w:r>
          </w:p>
        </w:tc>
      </w:tr>
      <w:tr w:rsidR="00C005BF" w:rsidRPr="003F71D2" w14:paraId="184F83A7" w14:textId="77777777" w:rsidTr="00EC4EEE">
        <w:trPr>
          <w:trHeight w:val="200"/>
        </w:trPr>
        <w:tc>
          <w:tcPr>
            <w:tcW w:w="236" w:type="dxa"/>
          </w:tcPr>
          <w:p w14:paraId="6379255C" w14:textId="77777777" w:rsidR="00C005BF" w:rsidRPr="003F71D2" w:rsidRDefault="00C005BF" w:rsidP="003F71D2">
            <w:pPr>
              <w:pStyle w:val="Default"/>
              <w:rPr>
                <w:sz w:val="22"/>
                <w:szCs w:val="22"/>
                <w:lang w:val="sk-SK"/>
              </w:rPr>
            </w:pPr>
          </w:p>
        </w:tc>
        <w:tc>
          <w:tcPr>
            <w:tcW w:w="1622" w:type="dxa"/>
          </w:tcPr>
          <w:p w14:paraId="399B32FB" w14:textId="77777777" w:rsidR="00C005BF"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11FFAAFE" w14:textId="77777777" w:rsidR="00C005BF" w:rsidRPr="003F71D2" w:rsidRDefault="00DB3564" w:rsidP="003F71D2">
            <w:pPr>
              <w:pStyle w:val="Default"/>
              <w:rPr>
                <w:sz w:val="22"/>
                <w:szCs w:val="22"/>
                <w:lang w:val="sk-SK"/>
              </w:rPr>
            </w:pPr>
            <w:r w:rsidRPr="003F71D2">
              <w:rPr>
                <w:sz w:val="22"/>
                <w:szCs w:val="22"/>
                <w:lang w:val="sk-SK"/>
              </w:rPr>
              <w:t xml:space="preserve">Zhoršenie funkcie obličiek </w:t>
            </w:r>
          </w:p>
        </w:tc>
      </w:tr>
      <w:tr w:rsidR="00C005BF" w:rsidRPr="003F71D2" w14:paraId="2EBE13AC" w14:textId="77777777" w:rsidTr="00EC4EEE">
        <w:trPr>
          <w:trHeight w:val="471"/>
        </w:trPr>
        <w:tc>
          <w:tcPr>
            <w:tcW w:w="236" w:type="dxa"/>
          </w:tcPr>
          <w:p w14:paraId="3D7A6C0B" w14:textId="77777777" w:rsidR="00C005BF" w:rsidRPr="003F71D2" w:rsidRDefault="00C005BF" w:rsidP="003F71D2">
            <w:pPr>
              <w:pStyle w:val="Default"/>
              <w:rPr>
                <w:sz w:val="22"/>
                <w:szCs w:val="22"/>
                <w:lang w:val="sk-SK"/>
              </w:rPr>
            </w:pPr>
          </w:p>
        </w:tc>
        <w:tc>
          <w:tcPr>
            <w:tcW w:w="1622" w:type="dxa"/>
          </w:tcPr>
          <w:p w14:paraId="1C8FBBB0" w14:textId="77777777" w:rsidR="00C005BF" w:rsidRPr="003F71D2" w:rsidRDefault="00DB3564" w:rsidP="003F71D2">
            <w:pPr>
              <w:pStyle w:val="Default"/>
              <w:rPr>
                <w:sz w:val="22"/>
                <w:szCs w:val="22"/>
                <w:lang w:val="sk-SK"/>
              </w:rPr>
            </w:pPr>
            <w:r w:rsidRPr="003F71D2">
              <w:rPr>
                <w:sz w:val="22"/>
                <w:szCs w:val="22"/>
                <w:lang w:val="sk-SK"/>
              </w:rPr>
              <w:t xml:space="preserve">Menej časté: </w:t>
            </w:r>
          </w:p>
          <w:p w14:paraId="512012AC" w14:textId="77777777" w:rsidR="002E7994" w:rsidRPr="003F71D2" w:rsidRDefault="002E7994" w:rsidP="003F71D2">
            <w:pPr>
              <w:pStyle w:val="Default"/>
              <w:rPr>
                <w:sz w:val="22"/>
                <w:szCs w:val="22"/>
                <w:lang w:val="sk-SK"/>
              </w:rPr>
            </w:pPr>
            <w:r w:rsidRPr="003F71D2">
              <w:rPr>
                <w:sz w:val="22"/>
                <w:szCs w:val="22"/>
                <w:lang w:val="sk-SK"/>
              </w:rPr>
              <w:t>Zriedkavé:</w:t>
            </w:r>
          </w:p>
        </w:tc>
        <w:tc>
          <w:tcPr>
            <w:tcW w:w="0" w:type="auto"/>
          </w:tcPr>
          <w:p w14:paraId="5679321D" w14:textId="77777777" w:rsidR="00C005BF" w:rsidRPr="003F71D2" w:rsidRDefault="00DB3564" w:rsidP="003F71D2">
            <w:pPr>
              <w:pStyle w:val="Default"/>
              <w:rPr>
                <w:sz w:val="22"/>
                <w:szCs w:val="22"/>
                <w:lang w:val="sk-SK"/>
              </w:rPr>
            </w:pPr>
            <w:r w:rsidRPr="003F71D2">
              <w:rPr>
                <w:sz w:val="22"/>
                <w:szCs w:val="22"/>
                <w:lang w:val="sk-SK"/>
              </w:rPr>
              <w:t xml:space="preserve">Akútne zlyhanie obličiek, hematúria, proteinúria </w:t>
            </w:r>
          </w:p>
          <w:p w14:paraId="02847661" w14:textId="77777777" w:rsidR="002E7994" w:rsidRPr="003F71D2" w:rsidRDefault="002E7994" w:rsidP="003F71D2">
            <w:pPr>
              <w:pStyle w:val="Default"/>
              <w:rPr>
                <w:sz w:val="22"/>
                <w:szCs w:val="22"/>
                <w:lang w:val="sk-SK"/>
              </w:rPr>
            </w:pPr>
            <w:r w:rsidRPr="003F71D2">
              <w:rPr>
                <w:sz w:val="22"/>
                <w:szCs w:val="22"/>
                <w:lang w:val="sk-SK"/>
              </w:rPr>
              <w:t>Získaný Fanconiho syndróm</w:t>
            </w:r>
          </w:p>
        </w:tc>
      </w:tr>
    </w:tbl>
    <w:p w14:paraId="4D057C50" w14:textId="77777777" w:rsidR="00B3403A" w:rsidRPr="003F71D2" w:rsidRDefault="00B3403A" w:rsidP="003F71D2">
      <w:pPr>
        <w:pStyle w:val="Default"/>
        <w:rPr>
          <w:color w:val="auto"/>
          <w:sz w:val="22"/>
          <w:szCs w:val="22"/>
          <w:lang w:val="sk-SK"/>
        </w:rPr>
      </w:pPr>
    </w:p>
    <w:tbl>
      <w:tblPr>
        <w:tblW w:w="0" w:type="auto"/>
        <w:tblBorders>
          <w:top w:val="nil"/>
          <w:left w:val="nil"/>
          <w:bottom w:val="nil"/>
          <w:right w:val="nil"/>
        </w:tblBorders>
        <w:tblLook w:val="0000" w:firstRow="0" w:lastRow="0" w:firstColumn="0" w:lastColumn="0" w:noHBand="0" w:noVBand="0"/>
      </w:tblPr>
      <w:tblGrid>
        <w:gridCol w:w="262"/>
        <w:gridCol w:w="1448"/>
        <w:gridCol w:w="7694"/>
      </w:tblGrid>
      <w:tr w:rsidR="00B3403A" w:rsidRPr="003F71D2" w14:paraId="2B04BE6A" w14:textId="77777777">
        <w:trPr>
          <w:trHeight w:val="200"/>
        </w:trPr>
        <w:tc>
          <w:tcPr>
            <w:tcW w:w="0" w:type="auto"/>
            <w:gridSpan w:val="3"/>
          </w:tcPr>
          <w:p w14:paraId="667ED6D6" w14:textId="77777777" w:rsidR="00B3403A" w:rsidRPr="003F71D2" w:rsidRDefault="00DB3564" w:rsidP="003F71D2">
            <w:pPr>
              <w:pStyle w:val="Default"/>
              <w:rPr>
                <w:sz w:val="22"/>
                <w:szCs w:val="22"/>
                <w:lang w:val="sk-SK"/>
              </w:rPr>
            </w:pPr>
            <w:r w:rsidRPr="003F71D2">
              <w:rPr>
                <w:b/>
                <w:bCs/>
                <w:i/>
                <w:iCs/>
                <w:sz w:val="22"/>
                <w:szCs w:val="22"/>
                <w:lang w:val="sk-SK"/>
              </w:rPr>
              <w:t xml:space="preserve">Celkové poruchy a reakcie v mieste podania </w:t>
            </w:r>
          </w:p>
        </w:tc>
      </w:tr>
      <w:tr w:rsidR="00B3403A" w:rsidRPr="003F71D2" w14:paraId="472A74CB" w14:textId="77777777" w:rsidTr="00D0269C">
        <w:trPr>
          <w:trHeight w:val="472"/>
        </w:trPr>
        <w:tc>
          <w:tcPr>
            <w:tcW w:w="0" w:type="auto"/>
          </w:tcPr>
          <w:p w14:paraId="7009A6D8" w14:textId="77777777" w:rsidR="00B3403A" w:rsidRPr="003F71D2" w:rsidRDefault="00B3403A" w:rsidP="003F71D2">
            <w:pPr>
              <w:pStyle w:val="Default"/>
              <w:rPr>
                <w:sz w:val="22"/>
                <w:szCs w:val="22"/>
                <w:lang w:val="sk-SK"/>
              </w:rPr>
            </w:pPr>
          </w:p>
        </w:tc>
        <w:tc>
          <w:tcPr>
            <w:tcW w:w="0" w:type="auto"/>
          </w:tcPr>
          <w:p w14:paraId="3D52B178" w14:textId="77777777" w:rsidR="00B3403A"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286F0BF5" w14:textId="77777777" w:rsidR="00B3403A" w:rsidRPr="003F71D2" w:rsidRDefault="00DB3564" w:rsidP="003F71D2">
            <w:pPr>
              <w:pStyle w:val="Default"/>
              <w:rPr>
                <w:sz w:val="22"/>
                <w:szCs w:val="22"/>
                <w:lang w:val="sk-SK"/>
              </w:rPr>
            </w:pPr>
            <w:r w:rsidRPr="003F71D2">
              <w:rPr>
                <w:sz w:val="22"/>
                <w:szCs w:val="22"/>
                <w:lang w:val="sk-SK"/>
              </w:rPr>
              <w:t>Horúčka, syndróm podobný chrípke (zahŕňajúci únavu, zimnicu, celkový pocit nevoľnosti a návaly tepla)</w:t>
            </w:r>
          </w:p>
        </w:tc>
      </w:tr>
      <w:tr w:rsidR="00B3403A" w:rsidRPr="003F71D2" w14:paraId="7190553C" w14:textId="77777777">
        <w:trPr>
          <w:trHeight w:val="959"/>
        </w:trPr>
        <w:tc>
          <w:tcPr>
            <w:tcW w:w="0" w:type="auto"/>
          </w:tcPr>
          <w:p w14:paraId="42CF71D4" w14:textId="77777777" w:rsidR="00B3403A" w:rsidRPr="003F71D2" w:rsidRDefault="00B3403A" w:rsidP="003F71D2">
            <w:pPr>
              <w:pStyle w:val="Default"/>
              <w:rPr>
                <w:sz w:val="22"/>
                <w:szCs w:val="22"/>
                <w:lang w:val="sk-SK"/>
              </w:rPr>
            </w:pPr>
          </w:p>
        </w:tc>
        <w:tc>
          <w:tcPr>
            <w:tcW w:w="0" w:type="auto"/>
          </w:tcPr>
          <w:p w14:paraId="2B4EA2F1" w14:textId="77777777" w:rsidR="00B3403A" w:rsidRPr="003F71D2" w:rsidRDefault="00DB3564" w:rsidP="003F71D2">
            <w:pPr>
              <w:pStyle w:val="Default"/>
              <w:rPr>
                <w:sz w:val="22"/>
                <w:szCs w:val="22"/>
                <w:lang w:val="sk-SK"/>
              </w:rPr>
            </w:pPr>
            <w:r w:rsidRPr="003F71D2">
              <w:rPr>
                <w:sz w:val="22"/>
                <w:szCs w:val="22"/>
                <w:lang w:val="sk-SK"/>
              </w:rPr>
              <w:t xml:space="preserve">Menej časté: </w:t>
            </w:r>
          </w:p>
          <w:p w14:paraId="02CDB1A0" w14:textId="77777777" w:rsidR="00581C1D" w:rsidRPr="003F71D2" w:rsidRDefault="00581C1D" w:rsidP="003F71D2">
            <w:pPr>
              <w:pStyle w:val="Default"/>
              <w:rPr>
                <w:sz w:val="22"/>
                <w:szCs w:val="22"/>
                <w:lang w:val="sk-SK"/>
              </w:rPr>
            </w:pPr>
          </w:p>
          <w:p w14:paraId="2823F1D6" w14:textId="77777777" w:rsidR="00581C1D" w:rsidRPr="003F71D2" w:rsidRDefault="00581C1D" w:rsidP="003F71D2">
            <w:pPr>
              <w:pStyle w:val="Default"/>
              <w:rPr>
                <w:sz w:val="22"/>
                <w:szCs w:val="22"/>
                <w:lang w:val="sk-SK"/>
              </w:rPr>
            </w:pPr>
          </w:p>
          <w:p w14:paraId="060166C1" w14:textId="77777777" w:rsidR="00581C1D" w:rsidRPr="003F71D2" w:rsidRDefault="00581C1D" w:rsidP="003F71D2">
            <w:pPr>
              <w:pStyle w:val="Default"/>
              <w:rPr>
                <w:sz w:val="22"/>
                <w:szCs w:val="22"/>
                <w:lang w:val="sk-SK"/>
              </w:rPr>
            </w:pPr>
            <w:r w:rsidRPr="003F71D2">
              <w:rPr>
                <w:sz w:val="22"/>
                <w:szCs w:val="22"/>
                <w:lang w:val="sk-SK"/>
              </w:rPr>
              <w:t xml:space="preserve">Zriedkavé: </w:t>
            </w:r>
          </w:p>
        </w:tc>
        <w:tc>
          <w:tcPr>
            <w:tcW w:w="0" w:type="auto"/>
          </w:tcPr>
          <w:p w14:paraId="7ECFB394" w14:textId="77777777" w:rsidR="00B3403A" w:rsidRPr="003F71D2" w:rsidRDefault="00DB3564" w:rsidP="003F71D2">
            <w:pPr>
              <w:pStyle w:val="Default"/>
              <w:rPr>
                <w:sz w:val="22"/>
                <w:szCs w:val="22"/>
                <w:lang w:val="sk-SK"/>
              </w:rPr>
            </w:pPr>
            <w:r w:rsidRPr="003F71D2">
              <w:rPr>
                <w:sz w:val="22"/>
                <w:szCs w:val="22"/>
                <w:lang w:val="sk-SK"/>
              </w:rPr>
              <w:t>Asténia, periférny edém, reakcie v mieste podania (zahŕňajúce bolesť, podráždenie, opuch a induráciu), bolesť na hrudi, zvýšenie hmotnosti, anafylaktická reakcia/šok, urtikária</w:t>
            </w:r>
          </w:p>
          <w:p w14:paraId="3D61E9B8" w14:textId="77777777" w:rsidR="00581C1D" w:rsidRDefault="00581C1D" w:rsidP="003F71D2">
            <w:pPr>
              <w:pStyle w:val="Default"/>
              <w:rPr>
                <w:sz w:val="22"/>
                <w:szCs w:val="22"/>
              </w:rPr>
            </w:pPr>
            <w:r w:rsidRPr="003F71D2">
              <w:rPr>
                <w:sz w:val="22"/>
                <w:szCs w:val="22"/>
              </w:rPr>
              <w:t>Artritída a opuch kĺbov ako symptómy reakcie akútnej fázy</w:t>
            </w:r>
          </w:p>
          <w:p w14:paraId="430352E8" w14:textId="2E3FD0B4" w:rsidR="00D0269C" w:rsidRPr="003F71D2" w:rsidRDefault="00D0269C" w:rsidP="003F71D2">
            <w:pPr>
              <w:pStyle w:val="Default"/>
              <w:rPr>
                <w:sz w:val="22"/>
                <w:szCs w:val="22"/>
                <w:lang w:val="sk-SK"/>
              </w:rPr>
            </w:pPr>
          </w:p>
        </w:tc>
      </w:tr>
      <w:tr w:rsidR="00B3403A" w:rsidRPr="003F71D2" w14:paraId="59E5F3EA" w14:textId="77777777">
        <w:trPr>
          <w:trHeight w:val="266"/>
        </w:trPr>
        <w:tc>
          <w:tcPr>
            <w:tcW w:w="0" w:type="auto"/>
            <w:gridSpan w:val="3"/>
          </w:tcPr>
          <w:p w14:paraId="4922DF86" w14:textId="77777777" w:rsidR="00B3403A" w:rsidRPr="003F71D2" w:rsidRDefault="00DB3564" w:rsidP="003F71D2">
            <w:pPr>
              <w:pStyle w:val="Default"/>
              <w:rPr>
                <w:sz w:val="22"/>
                <w:szCs w:val="22"/>
                <w:lang w:val="sk-SK"/>
              </w:rPr>
            </w:pPr>
            <w:r w:rsidRPr="003F71D2">
              <w:rPr>
                <w:b/>
                <w:bCs/>
                <w:i/>
                <w:iCs/>
                <w:sz w:val="22"/>
                <w:szCs w:val="22"/>
                <w:lang w:val="sk-SK"/>
              </w:rPr>
              <w:t xml:space="preserve">Laboratórne a funkčné vyšetrenia </w:t>
            </w:r>
          </w:p>
        </w:tc>
      </w:tr>
      <w:tr w:rsidR="00B3403A" w:rsidRPr="003F71D2" w14:paraId="4875EB16" w14:textId="77777777">
        <w:trPr>
          <w:trHeight w:val="201"/>
        </w:trPr>
        <w:tc>
          <w:tcPr>
            <w:tcW w:w="0" w:type="auto"/>
          </w:tcPr>
          <w:p w14:paraId="65CB48D9" w14:textId="77777777" w:rsidR="00B3403A" w:rsidRPr="003F71D2" w:rsidRDefault="00B3403A" w:rsidP="003F71D2">
            <w:pPr>
              <w:pStyle w:val="Default"/>
              <w:rPr>
                <w:sz w:val="22"/>
                <w:szCs w:val="22"/>
                <w:lang w:val="sk-SK"/>
              </w:rPr>
            </w:pPr>
          </w:p>
        </w:tc>
        <w:tc>
          <w:tcPr>
            <w:tcW w:w="0" w:type="auto"/>
          </w:tcPr>
          <w:p w14:paraId="42B69BCD" w14:textId="77777777" w:rsidR="00B3403A" w:rsidRPr="003F71D2" w:rsidRDefault="00DB3564" w:rsidP="003F71D2">
            <w:pPr>
              <w:pStyle w:val="Default"/>
              <w:rPr>
                <w:sz w:val="22"/>
                <w:szCs w:val="22"/>
                <w:lang w:val="sk-SK"/>
              </w:rPr>
            </w:pPr>
            <w:r w:rsidRPr="003F71D2">
              <w:rPr>
                <w:sz w:val="22"/>
                <w:szCs w:val="22"/>
                <w:lang w:val="sk-SK"/>
              </w:rPr>
              <w:t xml:space="preserve">Veľmi časté: </w:t>
            </w:r>
          </w:p>
        </w:tc>
        <w:tc>
          <w:tcPr>
            <w:tcW w:w="0" w:type="auto"/>
          </w:tcPr>
          <w:p w14:paraId="7283E1AF" w14:textId="77777777" w:rsidR="00B3403A" w:rsidRPr="003F71D2" w:rsidRDefault="00DB3564" w:rsidP="003F71D2">
            <w:pPr>
              <w:pStyle w:val="Default"/>
              <w:rPr>
                <w:sz w:val="22"/>
                <w:szCs w:val="22"/>
                <w:lang w:val="sk-SK"/>
              </w:rPr>
            </w:pPr>
            <w:r w:rsidRPr="003F71D2">
              <w:rPr>
                <w:sz w:val="22"/>
                <w:szCs w:val="22"/>
                <w:lang w:val="sk-SK"/>
              </w:rPr>
              <w:t xml:space="preserve">Hypofosfatémia </w:t>
            </w:r>
          </w:p>
        </w:tc>
      </w:tr>
      <w:tr w:rsidR="00B3403A" w:rsidRPr="003F71D2" w14:paraId="1C9BAA8C" w14:textId="77777777">
        <w:trPr>
          <w:trHeight w:val="453"/>
        </w:trPr>
        <w:tc>
          <w:tcPr>
            <w:tcW w:w="0" w:type="auto"/>
          </w:tcPr>
          <w:p w14:paraId="6EC89636" w14:textId="77777777" w:rsidR="00B3403A" w:rsidRPr="003F71D2" w:rsidRDefault="00B3403A" w:rsidP="003F71D2">
            <w:pPr>
              <w:pStyle w:val="Default"/>
              <w:rPr>
                <w:sz w:val="22"/>
                <w:szCs w:val="22"/>
                <w:lang w:val="sk-SK"/>
              </w:rPr>
            </w:pPr>
          </w:p>
        </w:tc>
        <w:tc>
          <w:tcPr>
            <w:tcW w:w="0" w:type="auto"/>
          </w:tcPr>
          <w:p w14:paraId="2037930D" w14:textId="77777777" w:rsidR="00B3403A" w:rsidRPr="003F71D2" w:rsidRDefault="00DB3564" w:rsidP="003F71D2">
            <w:pPr>
              <w:pStyle w:val="Default"/>
              <w:rPr>
                <w:sz w:val="22"/>
                <w:szCs w:val="22"/>
                <w:lang w:val="sk-SK"/>
              </w:rPr>
            </w:pPr>
            <w:r w:rsidRPr="003F71D2">
              <w:rPr>
                <w:sz w:val="22"/>
                <w:szCs w:val="22"/>
                <w:lang w:val="sk-SK"/>
              </w:rPr>
              <w:t xml:space="preserve">Časté: </w:t>
            </w:r>
          </w:p>
        </w:tc>
        <w:tc>
          <w:tcPr>
            <w:tcW w:w="0" w:type="auto"/>
          </w:tcPr>
          <w:p w14:paraId="0F110FE6" w14:textId="77777777" w:rsidR="00B3403A" w:rsidRPr="003F71D2" w:rsidRDefault="00DB3564" w:rsidP="003F71D2">
            <w:pPr>
              <w:pStyle w:val="Default"/>
              <w:rPr>
                <w:sz w:val="22"/>
                <w:szCs w:val="22"/>
                <w:lang w:val="sk-SK"/>
              </w:rPr>
            </w:pPr>
            <w:r w:rsidRPr="003F71D2">
              <w:rPr>
                <w:sz w:val="22"/>
                <w:szCs w:val="22"/>
                <w:lang w:val="sk-SK"/>
              </w:rPr>
              <w:t>Zvýšenie kreatinínu a močoviny v krvi, hypokalciémia</w:t>
            </w:r>
          </w:p>
        </w:tc>
      </w:tr>
      <w:tr w:rsidR="00B3403A" w:rsidRPr="003F71D2" w14:paraId="6FE209D9" w14:textId="77777777">
        <w:trPr>
          <w:trHeight w:val="201"/>
        </w:trPr>
        <w:tc>
          <w:tcPr>
            <w:tcW w:w="0" w:type="auto"/>
          </w:tcPr>
          <w:p w14:paraId="1AEA74FC" w14:textId="77777777" w:rsidR="00B3403A" w:rsidRPr="003F71D2" w:rsidRDefault="00B3403A" w:rsidP="003F71D2">
            <w:pPr>
              <w:pStyle w:val="Default"/>
              <w:rPr>
                <w:sz w:val="22"/>
                <w:szCs w:val="22"/>
                <w:lang w:val="sk-SK"/>
              </w:rPr>
            </w:pPr>
          </w:p>
        </w:tc>
        <w:tc>
          <w:tcPr>
            <w:tcW w:w="0" w:type="auto"/>
          </w:tcPr>
          <w:p w14:paraId="2F969CE6" w14:textId="77777777" w:rsidR="00B3403A" w:rsidRPr="003F71D2" w:rsidRDefault="00DB3564" w:rsidP="003F71D2">
            <w:pPr>
              <w:pStyle w:val="Default"/>
              <w:rPr>
                <w:sz w:val="22"/>
                <w:szCs w:val="22"/>
                <w:lang w:val="sk-SK"/>
              </w:rPr>
            </w:pPr>
            <w:r w:rsidRPr="003F71D2">
              <w:rPr>
                <w:sz w:val="22"/>
                <w:szCs w:val="22"/>
                <w:lang w:val="sk-SK"/>
              </w:rPr>
              <w:t xml:space="preserve">Menej časté: </w:t>
            </w:r>
          </w:p>
        </w:tc>
        <w:tc>
          <w:tcPr>
            <w:tcW w:w="0" w:type="auto"/>
          </w:tcPr>
          <w:p w14:paraId="400DE39E" w14:textId="77777777" w:rsidR="00B3403A" w:rsidRPr="003F71D2" w:rsidRDefault="00DB3564" w:rsidP="003F71D2">
            <w:pPr>
              <w:pStyle w:val="Default"/>
              <w:rPr>
                <w:sz w:val="22"/>
                <w:szCs w:val="22"/>
                <w:lang w:val="sk-SK"/>
              </w:rPr>
            </w:pPr>
            <w:r w:rsidRPr="003F71D2">
              <w:rPr>
                <w:sz w:val="22"/>
                <w:szCs w:val="22"/>
                <w:lang w:val="sk-SK"/>
              </w:rPr>
              <w:t>Hypomagneziémia, hypokaliémia</w:t>
            </w:r>
          </w:p>
        </w:tc>
      </w:tr>
      <w:tr w:rsidR="00B3403A" w:rsidRPr="003F71D2" w14:paraId="0BF5F242" w14:textId="77777777">
        <w:trPr>
          <w:trHeight w:val="201"/>
        </w:trPr>
        <w:tc>
          <w:tcPr>
            <w:tcW w:w="0" w:type="auto"/>
          </w:tcPr>
          <w:p w14:paraId="4DA0C7C9" w14:textId="77777777" w:rsidR="00B3403A" w:rsidRPr="003F71D2" w:rsidRDefault="00B3403A" w:rsidP="003F71D2">
            <w:pPr>
              <w:pStyle w:val="Default"/>
              <w:rPr>
                <w:sz w:val="22"/>
                <w:szCs w:val="22"/>
                <w:lang w:val="sk-SK"/>
              </w:rPr>
            </w:pPr>
          </w:p>
        </w:tc>
        <w:tc>
          <w:tcPr>
            <w:tcW w:w="0" w:type="auto"/>
          </w:tcPr>
          <w:p w14:paraId="2C1D50E6" w14:textId="77777777" w:rsidR="00B3403A" w:rsidRPr="003F71D2" w:rsidRDefault="00DB3564" w:rsidP="003F71D2">
            <w:pPr>
              <w:pStyle w:val="Default"/>
              <w:rPr>
                <w:sz w:val="22"/>
                <w:szCs w:val="22"/>
                <w:lang w:val="sk-SK"/>
              </w:rPr>
            </w:pPr>
            <w:r w:rsidRPr="003F71D2">
              <w:rPr>
                <w:sz w:val="22"/>
                <w:szCs w:val="22"/>
                <w:lang w:val="sk-SK"/>
              </w:rPr>
              <w:t xml:space="preserve">Zriedkavé: </w:t>
            </w:r>
          </w:p>
        </w:tc>
        <w:tc>
          <w:tcPr>
            <w:tcW w:w="0" w:type="auto"/>
          </w:tcPr>
          <w:p w14:paraId="74E83995" w14:textId="646F43D6" w:rsidR="00B3403A" w:rsidRPr="003F71D2" w:rsidRDefault="00DB3564" w:rsidP="003F71D2">
            <w:pPr>
              <w:pStyle w:val="Default"/>
              <w:rPr>
                <w:sz w:val="22"/>
                <w:szCs w:val="22"/>
                <w:lang w:val="sk-SK"/>
              </w:rPr>
            </w:pPr>
            <w:r w:rsidRPr="003F71D2">
              <w:rPr>
                <w:sz w:val="22"/>
                <w:szCs w:val="22"/>
                <w:lang w:val="sk-SK"/>
              </w:rPr>
              <w:t xml:space="preserve">Hyperkaliémia, hypernatriémia </w:t>
            </w:r>
          </w:p>
        </w:tc>
      </w:tr>
      <w:tr w:rsidR="00CD7BC4" w:rsidRPr="003F71D2" w14:paraId="14B39073" w14:textId="77777777">
        <w:trPr>
          <w:trHeight w:val="201"/>
        </w:trPr>
        <w:tc>
          <w:tcPr>
            <w:tcW w:w="0" w:type="auto"/>
          </w:tcPr>
          <w:p w14:paraId="0961C78D" w14:textId="77777777" w:rsidR="00CD7BC4" w:rsidRPr="003F71D2" w:rsidRDefault="00CD7BC4" w:rsidP="003F71D2">
            <w:pPr>
              <w:pStyle w:val="Default"/>
              <w:rPr>
                <w:sz w:val="22"/>
                <w:szCs w:val="22"/>
                <w:lang w:val="sk-SK"/>
              </w:rPr>
            </w:pPr>
          </w:p>
        </w:tc>
        <w:tc>
          <w:tcPr>
            <w:tcW w:w="0" w:type="auto"/>
          </w:tcPr>
          <w:p w14:paraId="07311C41" w14:textId="77777777" w:rsidR="00CD7BC4" w:rsidRPr="003F71D2" w:rsidRDefault="00CD7BC4" w:rsidP="003F71D2">
            <w:pPr>
              <w:pStyle w:val="Default"/>
              <w:rPr>
                <w:sz w:val="22"/>
                <w:szCs w:val="22"/>
                <w:lang w:val="sk-SK"/>
              </w:rPr>
            </w:pPr>
          </w:p>
        </w:tc>
        <w:tc>
          <w:tcPr>
            <w:tcW w:w="0" w:type="auto"/>
          </w:tcPr>
          <w:p w14:paraId="46D0A564" w14:textId="77777777" w:rsidR="00CD7BC4" w:rsidRDefault="00CD7BC4" w:rsidP="003F71D2">
            <w:pPr>
              <w:pStyle w:val="Default"/>
              <w:rPr>
                <w:sz w:val="22"/>
                <w:szCs w:val="22"/>
                <w:lang w:val="sk-SK"/>
              </w:rPr>
            </w:pPr>
          </w:p>
          <w:p w14:paraId="0215ADA7" w14:textId="3B01957D" w:rsidR="00CD7BC4" w:rsidRPr="003F71D2" w:rsidRDefault="00CD7BC4" w:rsidP="003F71D2">
            <w:pPr>
              <w:pStyle w:val="Default"/>
              <w:rPr>
                <w:sz w:val="22"/>
                <w:szCs w:val="22"/>
                <w:lang w:val="sk-SK"/>
              </w:rPr>
            </w:pPr>
          </w:p>
        </w:tc>
      </w:tr>
      <w:tr w:rsidR="00B3403A" w:rsidRPr="003F71D2" w14:paraId="44120986" w14:textId="77777777">
        <w:trPr>
          <w:trHeight w:val="789"/>
        </w:trPr>
        <w:tc>
          <w:tcPr>
            <w:tcW w:w="0" w:type="auto"/>
            <w:gridSpan w:val="3"/>
          </w:tcPr>
          <w:p w14:paraId="519C1B28" w14:textId="0B6667F3" w:rsidR="00B3403A" w:rsidRPr="003F71D2" w:rsidRDefault="00CD7BC4" w:rsidP="003F71D2">
            <w:pPr>
              <w:pStyle w:val="Default"/>
              <w:rPr>
                <w:sz w:val="22"/>
                <w:szCs w:val="22"/>
                <w:u w:val="single"/>
                <w:lang w:val="sk-SK"/>
              </w:rPr>
            </w:pPr>
            <w:r>
              <w:rPr>
                <w:sz w:val="22"/>
                <w:szCs w:val="22"/>
                <w:u w:val="single"/>
                <w:lang w:val="sk-SK"/>
              </w:rPr>
              <w:t>O</w:t>
            </w:r>
            <w:r w:rsidR="00DB3564" w:rsidRPr="003F71D2">
              <w:rPr>
                <w:sz w:val="22"/>
                <w:szCs w:val="22"/>
                <w:u w:val="single"/>
                <w:lang w:val="sk-SK"/>
              </w:rPr>
              <w:t xml:space="preserve">pis vybraných nežiaducich reakcií </w:t>
            </w:r>
          </w:p>
          <w:p w14:paraId="6CCABDD9" w14:textId="457717E7" w:rsidR="00B3403A" w:rsidRPr="003F71D2" w:rsidRDefault="00DB3564" w:rsidP="003F71D2">
            <w:pPr>
              <w:pStyle w:val="Default"/>
              <w:rPr>
                <w:sz w:val="22"/>
                <w:szCs w:val="22"/>
                <w:u w:val="single"/>
                <w:lang w:val="sk-SK"/>
              </w:rPr>
            </w:pPr>
            <w:r w:rsidRPr="003F71D2">
              <w:rPr>
                <w:i/>
                <w:iCs/>
                <w:sz w:val="22"/>
                <w:szCs w:val="22"/>
                <w:u w:val="single"/>
                <w:lang w:val="sk-SK"/>
              </w:rPr>
              <w:t>Po</w:t>
            </w:r>
            <w:r w:rsidR="00B8045C" w:rsidRPr="003F71D2">
              <w:rPr>
                <w:i/>
                <w:iCs/>
                <w:sz w:val="22"/>
                <w:szCs w:val="22"/>
                <w:u w:val="single"/>
                <w:lang w:val="sk-SK"/>
              </w:rPr>
              <w:t>rucha</w:t>
            </w:r>
            <w:r w:rsidRPr="003F71D2">
              <w:rPr>
                <w:i/>
                <w:iCs/>
                <w:sz w:val="22"/>
                <w:szCs w:val="22"/>
                <w:u w:val="single"/>
                <w:lang w:val="sk-SK"/>
              </w:rPr>
              <w:t xml:space="preserve"> funkcie obličiek </w:t>
            </w:r>
          </w:p>
          <w:p w14:paraId="38E21263" w14:textId="04DCC56C" w:rsidR="00581C1D" w:rsidRPr="003F71D2" w:rsidRDefault="00DB3564" w:rsidP="003F71D2">
            <w:pPr>
              <w:pStyle w:val="Default"/>
              <w:rPr>
                <w:sz w:val="22"/>
                <w:szCs w:val="22"/>
                <w:lang w:val="sk-SK"/>
              </w:rPr>
            </w:pPr>
            <w:r w:rsidRPr="003F71D2">
              <w:rPr>
                <w:sz w:val="22"/>
                <w:szCs w:val="22"/>
                <w:lang w:val="sk-SK"/>
              </w:rPr>
              <w:t xml:space="preserve">Kyselina zoledrónová sa dávala do súvislosti s hláseniami o dysfunkcii obličiek. </w:t>
            </w:r>
            <w:r w:rsidR="00581C1D" w:rsidRPr="003F71D2">
              <w:rPr>
                <w:sz w:val="22"/>
                <w:szCs w:val="22"/>
                <w:lang w:val="sk-SK"/>
              </w:rPr>
              <w:t xml:space="preserve">V súhrnnej analýze údajov o bezpečnosti z registračných klinických skúšaní </w:t>
            </w:r>
            <w:r w:rsidR="000746D9" w:rsidRPr="003F71D2">
              <w:rPr>
                <w:sz w:val="22"/>
                <w:szCs w:val="22"/>
                <w:lang w:val="sk-SK"/>
              </w:rPr>
              <w:t>kyseliny zoledrónovej</w:t>
            </w:r>
            <w:r w:rsidR="00581C1D" w:rsidRPr="003F71D2">
              <w:rPr>
                <w:sz w:val="22"/>
                <w:szCs w:val="22"/>
                <w:lang w:val="sk-SK"/>
              </w:rPr>
              <w:t xml:space="preserve"> na prevenciu príhod súvisiacich so skeletom u pacientov s pokročilými malignitami s postihnutím kostí bola nasledovná frekvencia porúch funkcie obličiek ako nežiaducich udalostí, pri ktorých bolo podozrenie na súvislosť s </w:t>
            </w:r>
            <w:r w:rsidR="000746D9" w:rsidRPr="003F71D2">
              <w:rPr>
                <w:sz w:val="22"/>
                <w:szCs w:val="22"/>
                <w:lang w:val="sk-SK"/>
              </w:rPr>
              <w:t>kyselinou zoledrónovou</w:t>
            </w:r>
            <w:r w:rsidR="00581C1D" w:rsidRPr="003F71D2">
              <w:rPr>
                <w:sz w:val="22"/>
                <w:szCs w:val="22"/>
                <w:lang w:val="sk-SK"/>
              </w:rPr>
              <w:t xml:space="preserve"> (nežiaduce reakcie): mnohopočetný myelóm (3,2%), karcinóm prostaty (3,1%), karcinóm prsníka (4,3%), nádory pľúc a iné solídne nádory (3,2%). Medzi faktory, ktoré môžu zvýšiť možnosť zhoršenia funkcie obličiek, patrí dehydratácia, už prítomné </w:t>
            </w:r>
            <w:r w:rsidR="00B8045C" w:rsidRPr="003F71D2">
              <w:rPr>
                <w:sz w:val="22"/>
                <w:szCs w:val="22"/>
                <w:lang w:val="sk-SK"/>
              </w:rPr>
              <w:t>Porucha</w:t>
            </w:r>
            <w:r w:rsidR="00581C1D" w:rsidRPr="003F71D2">
              <w:rPr>
                <w:sz w:val="22"/>
                <w:szCs w:val="22"/>
                <w:lang w:val="sk-SK"/>
              </w:rPr>
              <w:t xml:space="preserve"> funkcie obličiek, viaceré cykly podávania </w:t>
            </w:r>
            <w:r w:rsidR="008966B1" w:rsidRPr="003F71D2">
              <w:rPr>
                <w:sz w:val="22"/>
                <w:szCs w:val="22"/>
                <w:lang w:val="sk-SK"/>
              </w:rPr>
              <w:t xml:space="preserve">kyseliny zoledrónovej </w:t>
            </w:r>
            <w:r w:rsidR="00581C1D" w:rsidRPr="003F71D2">
              <w:rPr>
                <w:sz w:val="22"/>
                <w:szCs w:val="22"/>
                <w:lang w:val="sk-SK"/>
              </w:rPr>
              <w:t xml:space="preserve">alebo iných bisfosfonátov, ako aj súbežné použitie nefrotoxických liekov alebo podanie infúzie za kratší čas, než sa v súčasnosti odporúča. </w:t>
            </w:r>
          </w:p>
          <w:p w14:paraId="53E830D0" w14:textId="77777777" w:rsidR="00B3403A" w:rsidRPr="003F71D2" w:rsidRDefault="00DB3564" w:rsidP="003F71D2">
            <w:pPr>
              <w:pStyle w:val="Default"/>
              <w:rPr>
                <w:sz w:val="22"/>
                <w:szCs w:val="22"/>
                <w:lang w:val="sk-SK"/>
              </w:rPr>
            </w:pPr>
            <w:r w:rsidRPr="003F71D2">
              <w:rPr>
                <w:sz w:val="22"/>
                <w:szCs w:val="22"/>
                <w:lang w:val="sk-SK"/>
              </w:rPr>
              <w:t xml:space="preserve">Zhoršenie funkcie obličiek progredujúce do zlyhania obličiek a dialýzy sa zaznamenalo u pacientov po začiatočnej dávke alebo po jedinej dávke 4 mg kyseliny zoledrónovej (pozri časť 4.4). </w:t>
            </w:r>
          </w:p>
          <w:p w14:paraId="0DA57508" w14:textId="77777777" w:rsidR="00B3403A" w:rsidRPr="003F71D2" w:rsidRDefault="00B3403A" w:rsidP="003F71D2">
            <w:pPr>
              <w:pStyle w:val="Default"/>
              <w:rPr>
                <w:i/>
                <w:iCs/>
                <w:sz w:val="22"/>
                <w:szCs w:val="22"/>
                <w:lang w:val="sk-SK"/>
              </w:rPr>
            </w:pPr>
          </w:p>
          <w:p w14:paraId="1F8762BD" w14:textId="77777777" w:rsidR="00B3403A" w:rsidRPr="003F71D2" w:rsidRDefault="00DB3564" w:rsidP="003F71D2">
            <w:pPr>
              <w:pStyle w:val="Default"/>
              <w:rPr>
                <w:sz w:val="22"/>
                <w:szCs w:val="22"/>
                <w:u w:val="single"/>
                <w:lang w:val="sk-SK"/>
              </w:rPr>
            </w:pPr>
            <w:r w:rsidRPr="003F71D2">
              <w:rPr>
                <w:i/>
                <w:iCs/>
                <w:sz w:val="22"/>
                <w:szCs w:val="22"/>
                <w:u w:val="single"/>
                <w:lang w:val="sk-SK"/>
              </w:rPr>
              <w:t xml:space="preserve">Osteonekróza čeľuste </w:t>
            </w:r>
          </w:p>
          <w:p w14:paraId="27E3B44B" w14:textId="77777777" w:rsidR="00B3403A" w:rsidRPr="003F71D2" w:rsidRDefault="00DB3564" w:rsidP="003F71D2">
            <w:pPr>
              <w:pStyle w:val="Default"/>
              <w:rPr>
                <w:sz w:val="22"/>
                <w:szCs w:val="22"/>
                <w:lang w:val="sk-SK"/>
              </w:rPr>
            </w:pPr>
            <w:r w:rsidRPr="003F71D2">
              <w:rPr>
                <w:sz w:val="22"/>
                <w:szCs w:val="22"/>
                <w:lang w:val="sk-SK"/>
              </w:rPr>
              <w:t xml:space="preserve">Prevažne u pacientov s rakovinou liečených liekmi inhibujúcimi resorpciu kosti, ako je </w:t>
            </w:r>
            <w:r w:rsidR="00143C84" w:rsidRPr="003F71D2">
              <w:rPr>
                <w:sz w:val="22"/>
                <w:szCs w:val="22"/>
                <w:lang w:val="sk-SK"/>
              </w:rPr>
              <w:t>Zomikos</w:t>
            </w:r>
            <w:r w:rsidRPr="003F71D2">
              <w:rPr>
                <w:sz w:val="22"/>
                <w:szCs w:val="22"/>
                <w:lang w:val="sk-SK"/>
              </w:rPr>
              <w:t xml:space="preserve"> sa zaznamenali prípady osteonekrózy čeľuste</w:t>
            </w:r>
            <w:r w:rsidR="00A245D5" w:rsidRPr="003F71D2">
              <w:rPr>
                <w:sz w:val="22"/>
                <w:szCs w:val="22"/>
                <w:lang w:val="sk-SK"/>
              </w:rPr>
              <w:t xml:space="preserve"> (pozri časť 4.4).</w:t>
            </w:r>
            <w:r w:rsidRPr="003F71D2">
              <w:rPr>
                <w:sz w:val="22"/>
                <w:szCs w:val="22"/>
                <w:lang w:val="sk-SK"/>
              </w:rPr>
              <w:t xml:space="preserve"> Mnohí z týchto pacientov </w:t>
            </w:r>
            <w:r w:rsidR="00A245D5" w:rsidRPr="003F71D2">
              <w:rPr>
                <w:sz w:val="22"/>
                <w:szCs w:val="22"/>
                <w:lang w:val="sk-SK"/>
              </w:rPr>
              <w:t xml:space="preserve">tiež užívali </w:t>
            </w:r>
            <w:r w:rsidR="00A245D5" w:rsidRPr="003F71D2">
              <w:rPr>
                <w:sz w:val="22"/>
                <w:szCs w:val="22"/>
                <w:lang w:val="sk-SK"/>
              </w:rPr>
              <w:lastRenderedPageBreak/>
              <w:t xml:space="preserve">chemoterapiu a kortikosteroidy a </w:t>
            </w:r>
            <w:r w:rsidRPr="003F71D2">
              <w:rPr>
                <w:sz w:val="22"/>
                <w:szCs w:val="22"/>
                <w:lang w:val="sk-SK"/>
              </w:rPr>
              <w:t>mali príznaky lokálnej infekcie vrátane osteomyelitídy</w:t>
            </w:r>
            <w:r w:rsidR="00A245D5" w:rsidRPr="003F71D2">
              <w:rPr>
                <w:sz w:val="22"/>
                <w:szCs w:val="22"/>
                <w:lang w:val="sk-SK"/>
              </w:rPr>
              <w:t>. V</w:t>
            </w:r>
            <w:r w:rsidRPr="003F71D2">
              <w:rPr>
                <w:sz w:val="22"/>
                <w:szCs w:val="22"/>
                <w:lang w:val="sk-SK"/>
              </w:rPr>
              <w:t xml:space="preserve">äčšina hlásení sa týka pacientov s rakovinou po extrakcii zubov alebo iných dentálnych chirurgických zákrokoch. </w:t>
            </w:r>
          </w:p>
          <w:p w14:paraId="65886D99" w14:textId="77777777" w:rsidR="00B3403A" w:rsidRPr="003F71D2" w:rsidRDefault="00B3403A" w:rsidP="003F71D2">
            <w:pPr>
              <w:pStyle w:val="Default"/>
              <w:rPr>
                <w:i/>
                <w:iCs/>
                <w:sz w:val="22"/>
                <w:szCs w:val="22"/>
                <w:lang w:val="sk-SK"/>
              </w:rPr>
            </w:pPr>
          </w:p>
          <w:p w14:paraId="3DE163F1" w14:textId="77777777" w:rsidR="00B3403A" w:rsidRPr="003F71D2" w:rsidRDefault="00DB3564" w:rsidP="003F71D2">
            <w:pPr>
              <w:pStyle w:val="Default"/>
              <w:rPr>
                <w:sz w:val="22"/>
                <w:szCs w:val="22"/>
                <w:u w:val="single"/>
                <w:lang w:val="sk-SK"/>
              </w:rPr>
            </w:pPr>
            <w:r w:rsidRPr="003F71D2">
              <w:rPr>
                <w:i/>
                <w:iCs/>
                <w:sz w:val="22"/>
                <w:szCs w:val="22"/>
                <w:u w:val="single"/>
                <w:lang w:val="sk-SK"/>
              </w:rPr>
              <w:t xml:space="preserve">Fibrilácia predsiení </w:t>
            </w:r>
          </w:p>
          <w:p w14:paraId="0AC3FAD5" w14:textId="77777777" w:rsidR="00B3403A" w:rsidRPr="003F71D2" w:rsidRDefault="00DB3564" w:rsidP="003F71D2">
            <w:pPr>
              <w:pStyle w:val="Default"/>
              <w:rPr>
                <w:sz w:val="22"/>
                <w:szCs w:val="22"/>
                <w:lang w:val="sk-SK"/>
              </w:rPr>
            </w:pPr>
            <w:r w:rsidRPr="003F71D2">
              <w:rPr>
                <w:sz w:val="22"/>
                <w:szCs w:val="22"/>
                <w:lang w:val="sk-SK"/>
              </w:rPr>
              <w:t xml:space="preserve">V jednom randomizovanom, dvojito zaslepenom, kontrolovanom klinickom skúšaní trvajúcom 3 roky, v ktorom sa vyhodnotila účinnosť a bezpečnosť 5 mg kyseliny zoledrónovej podávanej raz ročne oproti placebu v liečbe postmenopauzálnej osteoporózy (PMO), bola celková incidencia fibrilácie predsiení 2,5 % (96 z 3 862) u pacientok, ktoré dostávali 5 mg kyseliny zoledrónovej, a 1,9 % (75 z 3 852) u pacientok, ktoré dostávali placebo. Výskyt fibrilácie predsiení ako závažnej nežiaducej udalosti bol 1,3 % (51 z 3 862) u pacientok, ktoré dostávali 5 mg kyseliny zoledrónovej, a 0,6 % (22 z 3 852) u pacientok, ktoré dostávali placebo. Nerovnováha pozorovaná v tomto klinickom skúšaní sa nepozorovala v iných skúšaniach s kyselinou zoledrónovou, vrátane skúšaní </w:t>
            </w:r>
            <w:r w:rsidR="000746D9" w:rsidRPr="003F71D2">
              <w:rPr>
                <w:sz w:val="22"/>
                <w:szCs w:val="22"/>
                <w:lang w:val="sk-SK"/>
              </w:rPr>
              <w:t xml:space="preserve">s </w:t>
            </w:r>
            <w:r w:rsidRPr="003F71D2">
              <w:rPr>
                <w:sz w:val="22"/>
                <w:szCs w:val="22"/>
                <w:lang w:val="sk-SK"/>
              </w:rPr>
              <w:t>kyselin</w:t>
            </w:r>
            <w:r w:rsidR="000746D9" w:rsidRPr="003F71D2">
              <w:rPr>
                <w:sz w:val="22"/>
                <w:szCs w:val="22"/>
                <w:lang w:val="sk-SK"/>
              </w:rPr>
              <w:t>ou</w:t>
            </w:r>
            <w:r w:rsidRPr="003F71D2">
              <w:rPr>
                <w:sz w:val="22"/>
                <w:szCs w:val="22"/>
                <w:lang w:val="sk-SK"/>
              </w:rPr>
              <w:t xml:space="preserve"> zoledrónov</w:t>
            </w:r>
            <w:r w:rsidR="000746D9" w:rsidRPr="003F71D2">
              <w:rPr>
                <w:sz w:val="22"/>
                <w:szCs w:val="22"/>
                <w:lang w:val="sk-SK"/>
              </w:rPr>
              <w:t>ou</w:t>
            </w:r>
            <w:r w:rsidRPr="003F71D2">
              <w:rPr>
                <w:sz w:val="22"/>
                <w:szCs w:val="22"/>
                <w:lang w:val="sk-SK"/>
              </w:rPr>
              <w:t xml:space="preserve"> 4 mg každé 3-4 týždne u onkologických pacientov. Mechanizmus, ktorý spôsobil zvýšenú incidenciu fibrilácie predsiení v tomto jedinom klinickom skúšaní, nie je známy. </w:t>
            </w:r>
          </w:p>
          <w:p w14:paraId="1B7A6E89" w14:textId="77777777" w:rsidR="00B3403A" w:rsidRPr="003F71D2" w:rsidRDefault="00B3403A" w:rsidP="003F71D2">
            <w:pPr>
              <w:pStyle w:val="Default"/>
              <w:rPr>
                <w:i/>
                <w:iCs/>
                <w:sz w:val="22"/>
                <w:szCs w:val="22"/>
                <w:lang w:val="sk-SK"/>
              </w:rPr>
            </w:pPr>
          </w:p>
          <w:p w14:paraId="42EF373D" w14:textId="77777777" w:rsidR="00B3403A" w:rsidRPr="003F71D2" w:rsidRDefault="00DB3564" w:rsidP="003F71D2">
            <w:pPr>
              <w:pStyle w:val="Default"/>
              <w:rPr>
                <w:sz w:val="22"/>
                <w:szCs w:val="22"/>
                <w:u w:val="single"/>
                <w:lang w:val="sk-SK"/>
              </w:rPr>
            </w:pPr>
            <w:r w:rsidRPr="003F71D2">
              <w:rPr>
                <w:i/>
                <w:iCs/>
                <w:sz w:val="22"/>
                <w:szCs w:val="22"/>
                <w:u w:val="single"/>
                <w:lang w:val="sk-SK"/>
              </w:rPr>
              <w:t xml:space="preserve">Reakcia akútnej fázy </w:t>
            </w:r>
          </w:p>
          <w:p w14:paraId="6E270536" w14:textId="77777777" w:rsidR="000746D9" w:rsidRPr="003F71D2" w:rsidRDefault="00DB3564" w:rsidP="003F71D2">
            <w:pPr>
              <w:pStyle w:val="Default"/>
              <w:rPr>
                <w:sz w:val="22"/>
                <w:szCs w:val="22"/>
                <w:lang w:val="sk-SK"/>
              </w:rPr>
            </w:pPr>
            <w:r w:rsidRPr="003F71D2">
              <w:rPr>
                <w:sz w:val="22"/>
                <w:szCs w:val="22"/>
                <w:lang w:val="sk-SK"/>
              </w:rPr>
              <w:t>Túto nežiaducu reakciu na liek tvorí zoskupenie symptómov, ku ktorým patrí horúčka, bolesť svalov, bolesť hlavy, bolesť končatín, nauzea, vracanie, hnačka a bolesť kĺbov</w:t>
            </w:r>
            <w:r w:rsidR="000746D9" w:rsidRPr="003F71D2">
              <w:rPr>
                <w:sz w:val="22"/>
                <w:szCs w:val="22"/>
                <w:lang w:val="sk-SK"/>
              </w:rPr>
              <w:t xml:space="preserve"> a artritída s následným opuchom kĺbov. </w:t>
            </w:r>
          </w:p>
          <w:p w14:paraId="69FFD197" w14:textId="77777777" w:rsidR="00B3403A" w:rsidRPr="003F71D2" w:rsidRDefault="00DB3564" w:rsidP="003F71D2">
            <w:pPr>
              <w:pStyle w:val="Default"/>
              <w:rPr>
                <w:sz w:val="22"/>
                <w:szCs w:val="22"/>
                <w:lang w:val="sk-SK"/>
              </w:rPr>
            </w:pPr>
            <w:r w:rsidRPr="003F71D2">
              <w:rPr>
                <w:sz w:val="22"/>
                <w:szCs w:val="22"/>
                <w:lang w:val="sk-SK"/>
              </w:rPr>
              <w:t xml:space="preserve">Čas ich nástupu je ≤ 3 dni po infúzii kyseliny zoledrónovej a táto reakcia sa tiež označuje ako symptómy „podobné chrípke“ alebo „po podaní“. </w:t>
            </w:r>
          </w:p>
          <w:p w14:paraId="16187A21" w14:textId="77777777" w:rsidR="00B3403A" w:rsidRPr="003F71D2" w:rsidRDefault="00B3403A" w:rsidP="003F71D2">
            <w:pPr>
              <w:pStyle w:val="Default"/>
              <w:rPr>
                <w:sz w:val="22"/>
                <w:szCs w:val="22"/>
                <w:lang w:val="sk-SK"/>
              </w:rPr>
            </w:pPr>
          </w:p>
        </w:tc>
      </w:tr>
    </w:tbl>
    <w:p w14:paraId="030422BD" w14:textId="77777777" w:rsidR="00B3403A" w:rsidRPr="003F71D2" w:rsidRDefault="00DB3564" w:rsidP="003F71D2">
      <w:pPr>
        <w:pStyle w:val="Default"/>
        <w:ind w:left="142"/>
        <w:rPr>
          <w:sz w:val="22"/>
          <w:szCs w:val="22"/>
          <w:u w:val="single"/>
          <w:lang w:val="sk-SK"/>
        </w:rPr>
      </w:pPr>
      <w:r w:rsidRPr="003F71D2">
        <w:rPr>
          <w:i/>
          <w:iCs/>
          <w:sz w:val="22"/>
          <w:szCs w:val="22"/>
          <w:u w:val="single"/>
          <w:lang w:val="sk-SK"/>
        </w:rPr>
        <w:lastRenderedPageBreak/>
        <w:t xml:space="preserve">Atypické zlomeniny stehennej kosti </w:t>
      </w:r>
    </w:p>
    <w:p w14:paraId="50B563F5" w14:textId="77777777" w:rsidR="00B3403A" w:rsidRPr="003F71D2" w:rsidRDefault="00DB3564" w:rsidP="003F71D2">
      <w:pPr>
        <w:pStyle w:val="Default"/>
        <w:ind w:firstLine="142"/>
        <w:rPr>
          <w:sz w:val="22"/>
          <w:szCs w:val="22"/>
          <w:lang w:val="sk-SK"/>
        </w:rPr>
      </w:pPr>
      <w:r w:rsidRPr="003F71D2">
        <w:rPr>
          <w:sz w:val="22"/>
          <w:szCs w:val="22"/>
          <w:lang w:val="sk-SK"/>
        </w:rPr>
        <w:t xml:space="preserve">Po uvedení lieku na trh boli hlásené nasledovné reakcie (frekvencia zriedkavé): </w:t>
      </w:r>
    </w:p>
    <w:p w14:paraId="59C889CB" w14:textId="77777777" w:rsidR="00B3403A" w:rsidRPr="003F71D2" w:rsidRDefault="00DB3564" w:rsidP="003F71D2">
      <w:pPr>
        <w:pStyle w:val="Default"/>
        <w:ind w:left="142"/>
        <w:rPr>
          <w:sz w:val="22"/>
          <w:szCs w:val="22"/>
          <w:lang w:val="sk-SK"/>
        </w:rPr>
      </w:pPr>
      <w:r w:rsidRPr="003F71D2">
        <w:rPr>
          <w:sz w:val="22"/>
          <w:szCs w:val="22"/>
          <w:lang w:val="sk-SK"/>
        </w:rPr>
        <w:t xml:space="preserve">Atypické subtrochanterické a diafyzárne zlomeniny stehennej kosti (skupinová nežiaduca reakcia na bisfosfonáty). </w:t>
      </w:r>
    </w:p>
    <w:p w14:paraId="7D5B0EC7" w14:textId="77777777" w:rsidR="00B3403A" w:rsidRPr="003F71D2" w:rsidRDefault="00B3403A" w:rsidP="003F71D2">
      <w:pPr>
        <w:pStyle w:val="Default"/>
        <w:rPr>
          <w:b/>
          <w:bCs/>
          <w:sz w:val="22"/>
          <w:szCs w:val="22"/>
          <w:lang w:val="sk-SK"/>
        </w:rPr>
      </w:pPr>
    </w:p>
    <w:p w14:paraId="2952E6EC" w14:textId="77777777" w:rsidR="000746D9" w:rsidRPr="003F71D2" w:rsidRDefault="000746D9" w:rsidP="003F71D2">
      <w:pPr>
        <w:pStyle w:val="Default"/>
        <w:ind w:left="284" w:hanging="142"/>
        <w:rPr>
          <w:sz w:val="22"/>
          <w:szCs w:val="22"/>
          <w:u w:val="single"/>
        </w:rPr>
      </w:pPr>
      <w:r w:rsidRPr="003F71D2">
        <w:rPr>
          <w:i/>
          <w:iCs/>
          <w:sz w:val="22"/>
          <w:szCs w:val="22"/>
          <w:u w:val="single"/>
        </w:rPr>
        <w:t xml:space="preserve">Nežiaduce reakcie na liek spojené s hypokalciémiou </w:t>
      </w:r>
    </w:p>
    <w:p w14:paraId="6C71C4AC" w14:textId="75FB254B" w:rsidR="000746D9" w:rsidRPr="003F71D2" w:rsidRDefault="000746D9" w:rsidP="003F71D2">
      <w:pPr>
        <w:pStyle w:val="Default"/>
        <w:ind w:left="142"/>
        <w:rPr>
          <w:sz w:val="22"/>
          <w:szCs w:val="22"/>
        </w:rPr>
      </w:pPr>
      <w:r w:rsidRPr="003F71D2">
        <w:rPr>
          <w:sz w:val="22"/>
          <w:szCs w:val="22"/>
        </w:rPr>
        <w:t>Hypokalciémia je záv</w:t>
      </w:r>
      <w:r w:rsidR="006F7902" w:rsidRPr="003F71D2">
        <w:rPr>
          <w:sz w:val="22"/>
          <w:szCs w:val="22"/>
        </w:rPr>
        <w:t>a</w:t>
      </w:r>
      <w:r w:rsidRPr="003F71D2">
        <w:rPr>
          <w:sz w:val="22"/>
          <w:szCs w:val="22"/>
        </w:rPr>
        <w:t>žn</w:t>
      </w:r>
      <w:r w:rsidR="006F7902" w:rsidRPr="003F71D2">
        <w:rPr>
          <w:sz w:val="22"/>
          <w:szCs w:val="22"/>
        </w:rPr>
        <w:t>é</w:t>
      </w:r>
      <w:r w:rsidRPr="003F71D2">
        <w:rPr>
          <w:sz w:val="22"/>
          <w:szCs w:val="22"/>
        </w:rPr>
        <w:t xml:space="preserve"> riziko identifikované pri používan</w:t>
      </w:r>
      <w:r w:rsidR="006F7902" w:rsidRPr="003F71D2">
        <w:rPr>
          <w:sz w:val="22"/>
          <w:szCs w:val="22"/>
        </w:rPr>
        <w:t>í</w:t>
      </w:r>
      <w:r w:rsidRPr="003F71D2">
        <w:rPr>
          <w:sz w:val="22"/>
          <w:szCs w:val="22"/>
        </w:rPr>
        <w:t xml:space="preserve"> kyseliny zoledrónovej v rámci schválených indikácii. Na základe zhodnotenia prípadov z klinických skúšaní a po uvedení lieku na trh existuje dostatok dôkazov na preukázanie súvislosti medzi liečbou kyselinou zoledrónovou, hlásenými prípadmi hypokalciémie a sekundárnym vznikom srdcovej arytmie. Navyše existuje dôkaz o súvislosti medzi hypokalciémiou a sekundárnymi neurologickými udalosťami hlásenými v týchto prípadoch vrátane kŕčov, hypoestézie a tetanie (pozri časť 4.4). </w:t>
      </w:r>
    </w:p>
    <w:p w14:paraId="6392EBA0" w14:textId="77777777" w:rsidR="000746D9" w:rsidRPr="003F71D2" w:rsidRDefault="000746D9" w:rsidP="003F71D2">
      <w:pPr>
        <w:pStyle w:val="Default"/>
        <w:rPr>
          <w:sz w:val="22"/>
          <w:szCs w:val="22"/>
        </w:rPr>
      </w:pPr>
    </w:p>
    <w:p w14:paraId="16663DC2" w14:textId="77777777" w:rsidR="000746D9" w:rsidRPr="003F71D2" w:rsidRDefault="000746D9" w:rsidP="003F71D2">
      <w:pPr>
        <w:pStyle w:val="Default"/>
        <w:rPr>
          <w:b/>
          <w:sz w:val="22"/>
          <w:szCs w:val="22"/>
        </w:rPr>
      </w:pPr>
      <w:r w:rsidRPr="003F71D2">
        <w:rPr>
          <w:b/>
          <w:sz w:val="22"/>
          <w:szCs w:val="22"/>
        </w:rPr>
        <w:t xml:space="preserve">Hlásenie podozrení na nežiaduce reakcie </w:t>
      </w:r>
    </w:p>
    <w:p w14:paraId="6B5BECC7" w14:textId="6679C14A" w:rsidR="000746D9" w:rsidRPr="003F71D2" w:rsidRDefault="000746D9" w:rsidP="003F71D2">
      <w:pPr>
        <w:pStyle w:val="Default"/>
        <w:rPr>
          <w:sz w:val="22"/>
          <w:szCs w:val="22"/>
        </w:rPr>
      </w:pPr>
      <w:r w:rsidRPr="003F71D2">
        <w:rPr>
          <w:sz w:val="22"/>
          <w:szCs w:val="22"/>
        </w:rPr>
        <w:t>Hlásenie podozrení na nežiaduce reakcie po registrácii lieku je dôležité. Umožňuje priebežné monitorovanie pomeru prínosu a rizika lieku. Od zdravotníckych pracovníkov sa vyžaduje, aby hlásili akékoľvek podozrenia na nežiaduce reakcie</w:t>
      </w:r>
      <w:r w:rsidR="00B8045C" w:rsidRPr="003F71D2">
        <w:rPr>
          <w:sz w:val="22"/>
          <w:szCs w:val="22"/>
        </w:rPr>
        <w:t xml:space="preserve"> na </w:t>
      </w:r>
      <w:r w:rsidR="00AA394B" w:rsidRPr="003F71D2">
        <w:rPr>
          <w:sz w:val="22"/>
          <w:szCs w:val="22"/>
          <w:highlight w:val="lightGray"/>
        </w:rPr>
        <w:t>národné</w:t>
      </w:r>
      <w:r w:rsidR="003F71D2" w:rsidRPr="003F71D2">
        <w:rPr>
          <w:sz w:val="22"/>
          <w:szCs w:val="22"/>
          <w:highlight w:val="lightGray"/>
        </w:rPr>
        <w:t xml:space="preserve"> </w:t>
      </w:r>
      <w:r w:rsidR="00B8045C" w:rsidRPr="003F71D2">
        <w:rPr>
          <w:sz w:val="22"/>
          <w:szCs w:val="22"/>
          <w:highlight w:val="lightGray"/>
        </w:rPr>
        <w:t>centrum</w:t>
      </w:r>
      <w:r w:rsidR="00AA394B" w:rsidRPr="003F71D2">
        <w:rPr>
          <w:sz w:val="22"/>
          <w:szCs w:val="22"/>
          <w:highlight w:val="lightGray"/>
        </w:rPr>
        <w:t xml:space="preserve"> hlásenia uvedené v </w:t>
      </w:r>
      <w:hyperlink r:id="rId8" w:history="1">
        <w:r w:rsidR="00AA394B" w:rsidRPr="003F71D2">
          <w:rPr>
            <w:rStyle w:val="Hypertextovprepojenie"/>
            <w:sz w:val="22"/>
            <w:szCs w:val="22"/>
            <w:highlight w:val="lightGray"/>
          </w:rPr>
          <w:t>Prílohe V.</w:t>
        </w:r>
      </w:hyperlink>
      <w:r w:rsidRPr="003F71D2">
        <w:rPr>
          <w:sz w:val="22"/>
          <w:szCs w:val="22"/>
        </w:rPr>
        <w:t xml:space="preserve"> </w:t>
      </w:r>
    </w:p>
    <w:p w14:paraId="40977C10" w14:textId="77777777" w:rsidR="00C27390" w:rsidRPr="003F71D2" w:rsidRDefault="00C27390" w:rsidP="003F71D2">
      <w:pPr>
        <w:pStyle w:val="Default"/>
        <w:rPr>
          <w:b/>
          <w:bCs/>
          <w:sz w:val="22"/>
          <w:szCs w:val="22"/>
          <w:lang w:val="sk-SK"/>
        </w:rPr>
      </w:pPr>
    </w:p>
    <w:p w14:paraId="4521505B" w14:textId="2F82EA84" w:rsidR="00B3403A" w:rsidRPr="003F71D2" w:rsidRDefault="00DB3564" w:rsidP="003F71D2">
      <w:pPr>
        <w:pStyle w:val="Default"/>
        <w:rPr>
          <w:sz w:val="22"/>
          <w:szCs w:val="22"/>
          <w:lang w:val="sk-SK"/>
        </w:rPr>
      </w:pPr>
      <w:r w:rsidRPr="003F71D2">
        <w:rPr>
          <w:b/>
          <w:bCs/>
          <w:sz w:val="22"/>
          <w:szCs w:val="22"/>
          <w:lang w:val="sk-SK"/>
        </w:rPr>
        <w:t>4.9</w:t>
      </w:r>
      <w:r w:rsidRPr="003F71D2">
        <w:rPr>
          <w:b/>
          <w:bCs/>
          <w:sz w:val="22"/>
          <w:szCs w:val="22"/>
          <w:lang w:val="sk-SK"/>
        </w:rPr>
        <w:tab/>
        <w:t xml:space="preserve">Predávkovanie </w:t>
      </w:r>
    </w:p>
    <w:p w14:paraId="2A149418" w14:textId="4F264238" w:rsidR="00B3403A" w:rsidRPr="003F71D2" w:rsidRDefault="00DB3564" w:rsidP="003F71D2">
      <w:pPr>
        <w:pStyle w:val="Default"/>
        <w:rPr>
          <w:sz w:val="22"/>
          <w:szCs w:val="22"/>
          <w:lang w:val="sk-SK"/>
        </w:rPr>
      </w:pPr>
      <w:r w:rsidRPr="003F71D2">
        <w:rPr>
          <w:sz w:val="22"/>
          <w:szCs w:val="22"/>
          <w:lang w:val="sk-SK"/>
        </w:rPr>
        <w:t xml:space="preserve">Klinické skúsenosti s akútnym predávkovaním kyseliny zoledrónovej sú obmedzené. Zaznamenali sa aj omylom podané dávky až do 48 mg kyseliny zoledrónovej. Pacientov, ktorí dostali vyššie ako odporúčané dávky (pozri časť 4.2), je potrebné starostlivo sledovať, pretože sa pozorovalo </w:t>
      </w:r>
      <w:r w:rsidR="00B8045C" w:rsidRPr="003F71D2">
        <w:rPr>
          <w:sz w:val="22"/>
          <w:szCs w:val="22"/>
          <w:lang w:val="sk-SK"/>
        </w:rPr>
        <w:t>Porucha</w:t>
      </w:r>
      <w:r w:rsidR="00110402" w:rsidRPr="003F71D2">
        <w:rPr>
          <w:sz w:val="22"/>
          <w:szCs w:val="22"/>
          <w:lang w:val="sk-SK"/>
        </w:rPr>
        <w:t xml:space="preserve"> </w:t>
      </w:r>
      <w:r w:rsidRPr="003F71D2">
        <w:rPr>
          <w:sz w:val="22"/>
          <w:szCs w:val="22"/>
          <w:lang w:val="sk-SK"/>
        </w:rPr>
        <w:t xml:space="preserve">funkcie obličiek (vrátane zlyhania obličiek) a </w:t>
      </w:r>
      <w:r w:rsidR="00B03B88" w:rsidRPr="003F71D2">
        <w:rPr>
          <w:sz w:val="22"/>
          <w:szCs w:val="22"/>
          <w:lang w:val="sk-SK"/>
        </w:rPr>
        <w:t>abnormality</w:t>
      </w:r>
      <w:r w:rsidRPr="003F71D2">
        <w:rPr>
          <w:sz w:val="22"/>
          <w:szCs w:val="22"/>
          <w:lang w:val="sk-SK"/>
        </w:rPr>
        <w:t xml:space="preserve"> sérových elektrolytov (vrátane vápnika, fosforu a horčíka). Ak vznikne hypokalciémia, majú sa podať infúzie glukonanu vápenatého, ak je to klinicky indikované. </w:t>
      </w:r>
    </w:p>
    <w:p w14:paraId="728218CF" w14:textId="77777777" w:rsidR="00C005BF" w:rsidRPr="003F71D2" w:rsidRDefault="00C005BF" w:rsidP="003F71D2">
      <w:pPr>
        <w:pStyle w:val="Default"/>
        <w:rPr>
          <w:color w:val="auto"/>
          <w:sz w:val="22"/>
          <w:szCs w:val="22"/>
          <w:lang w:val="sk-SK"/>
        </w:rPr>
      </w:pPr>
    </w:p>
    <w:p w14:paraId="03FEB0F8" w14:textId="77777777" w:rsidR="002C38F4" w:rsidRPr="003F71D2" w:rsidRDefault="002C38F4" w:rsidP="003F71D2">
      <w:pPr>
        <w:pStyle w:val="Default"/>
        <w:rPr>
          <w:color w:val="auto"/>
          <w:sz w:val="22"/>
          <w:szCs w:val="22"/>
          <w:lang w:val="sk-SK"/>
        </w:rPr>
      </w:pPr>
    </w:p>
    <w:p w14:paraId="5CD7BFA2" w14:textId="4EF4F241" w:rsidR="00ED0EE7" w:rsidRPr="003F71D2" w:rsidRDefault="00DB3564" w:rsidP="003F71D2">
      <w:pPr>
        <w:pStyle w:val="Default"/>
        <w:rPr>
          <w:sz w:val="22"/>
          <w:szCs w:val="22"/>
          <w:lang w:val="sk-SK"/>
        </w:rPr>
      </w:pPr>
      <w:r w:rsidRPr="003F71D2">
        <w:rPr>
          <w:b/>
          <w:bCs/>
          <w:sz w:val="22"/>
          <w:szCs w:val="22"/>
          <w:lang w:val="sk-SK"/>
        </w:rPr>
        <w:t>5.</w:t>
      </w:r>
      <w:r w:rsidRPr="003F71D2">
        <w:rPr>
          <w:b/>
          <w:bCs/>
          <w:sz w:val="22"/>
          <w:szCs w:val="22"/>
          <w:lang w:val="sk-SK"/>
        </w:rPr>
        <w:tab/>
        <w:t xml:space="preserve">FARMAKOLOGICKÉ VLASTNOSTI </w:t>
      </w:r>
    </w:p>
    <w:p w14:paraId="5BDF83C4" w14:textId="77777777" w:rsidR="00ED0EE7" w:rsidRPr="003F71D2" w:rsidRDefault="00ED0EE7" w:rsidP="003F71D2">
      <w:pPr>
        <w:pStyle w:val="Default"/>
        <w:rPr>
          <w:b/>
          <w:bCs/>
          <w:sz w:val="22"/>
          <w:szCs w:val="22"/>
          <w:lang w:val="sk-SK"/>
        </w:rPr>
      </w:pPr>
    </w:p>
    <w:p w14:paraId="28CECED8" w14:textId="25FE9323" w:rsidR="00ED0EE7" w:rsidRPr="003F71D2" w:rsidRDefault="00DB3564" w:rsidP="003F71D2">
      <w:pPr>
        <w:pStyle w:val="Default"/>
        <w:rPr>
          <w:sz w:val="22"/>
          <w:szCs w:val="22"/>
          <w:lang w:val="sk-SK"/>
        </w:rPr>
      </w:pPr>
      <w:r w:rsidRPr="003F71D2">
        <w:rPr>
          <w:b/>
          <w:bCs/>
          <w:sz w:val="22"/>
          <w:szCs w:val="22"/>
          <w:lang w:val="sk-SK"/>
        </w:rPr>
        <w:t>5.1</w:t>
      </w:r>
      <w:r w:rsidRPr="003F71D2">
        <w:rPr>
          <w:b/>
          <w:bCs/>
          <w:sz w:val="22"/>
          <w:szCs w:val="22"/>
          <w:lang w:val="sk-SK"/>
        </w:rPr>
        <w:tab/>
        <w:t xml:space="preserve">Farmakodynamické vlastnosti </w:t>
      </w:r>
    </w:p>
    <w:p w14:paraId="20E209BD" w14:textId="77777777" w:rsidR="00ED0EE7" w:rsidRPr="003F71D2" w:rsidRDefault="00ED0EE7" w:rsidP="003F71D2">
      <w:pPr>
        <w:pStyle w:val="Default"/>
        <w:rPr>
          <w:sz w:val="22"/>
          <w:szCs w:val="22"/>
          <w:lang w:val="sk-SK"/>
        </w:rPr>
      </w:pPr>
    </w:p>
    <w:p w14:paraId="1A9C6643" w14:textId="72AE7C89" w:rsidR="00ED0EE7" w:rsidRPr="003F71D2" w:rsidRDefault="00DB3564" w:rsidP="003F71D2">
      <w:pPr>
        <w:pStyle w:val="Default"/>
        <w:rPr>
          <w:sz w:val="22"/>
          <w:szCs w:val="22"/>
          <w:lang w:val="sk-SK"/>
        </w:rPr>
      </w:pPr>
      <w:r w:rsidRPr="003F71D2">
        <w:rPr>
          <w:sz w:val="22"/>
          <w:szCs w:val="22"/>
          <w:lang w:val="sk-SK"/>
        </w:rPr>
        <w:lastRenderedPageBreak/>
        <w:t xml:space="preserve">Farmakoterapeutická skupina: </w:t>
      </w:r>
      <w:r w:rsidR="000746D9" w:rsidRPr="003F71D2">
        <w:rPr>
          <w:sz w:val="22"/>
          <w:szCs w:val="22"/>
          <w:lang w:val="sk-SK"/>
        </w:rPr>
        <w:t xml:space="preserve">Liečivá na liečbu </w:t>
      </w:r>
      <w:r w:rsidR="00B03B88" w:rsidRPr="003F71D2">
        <w:rPr>
          <w:sz w:val="22"/>
          <w:szCs w:val="22"/>
          <w:lang w:val="sk-SK"/>
        </w:rPr>
        <w:t>ochorení</w:t>
      </w:r>
      <w:r w:rsidR="000746D9" w:rsidRPr="003F71D2">
        <w:rPr>
          <w:sz w:val="22"/>
          <w:szCs w:val="22"/>
          <w:lang w:val="sk-SK"/>
        </w:rPr>
        <w:t xml:space="preserve"> kostí, b</w:t>
      </w:r>
      <w:r w:rsidRPr="003F71D2">
        <w:rPr>
          <w:sz w:val="22"/>
          <w:szCs w:val="22"/>
          <w:lang w:val="sk-SK"/>
        </w:rPr>
        <w:t xml:space="preserve">isfosfonáty, ATC kód: M05BA08 </w:t>
      </w:r>
    </w:p>
    <w:p w14:paraId="32F2551E" w14:textId="77777777" w:rsidR="00B03B88" w:rsidRPr="003F71D2" w:rsidRDefault="00B03B88" w:rsidP="003F71D2">
      <w:pPr>
        <w:pStyle w:val="Default"/>
        <w:rPr>
          <w:sz w:val="22"/>
          <w:szCs w:val="22"/>
          <w:lang w:val="sk-SK"/>
        </w:rPr>
      </w:pPr>
    </w:p>
    <w:p w14:paraId="7D0BE091" w14:textId="77777777" w:rsidR="00ED0EE7" w:rsidRPr="003F71D2" w:rsidRDefault="00DB3564" w:rsidP="003F71D2">
      <w:pPr>
        <w:pStyle w:val="Default"/>
        <w:rPr>
          <w:sz w:val="22"/>
          <w:szCs w:val="22"/>
          <w:lang w:val="sk-SK"/>
        </w:rPr>
      </w:pPr>
      <w:r w:rsidRPr="003F71D2">
        <w:rPr>
          <w:sz w:val="22"/>
          <w:szCs w:val="22"/>
          <w:lang w:val="sk-SK"/>
        </w:rPr>
        <w:t xml:space="preserve">Kyselina zoledrónová patrí do skupiny bisfosfonátov a pôsobí primárne na kosti. Je to inhibítor resorpcie kostí, spôsobenej osteoklastami. </w:t>
      </w:r>
    </w:p>
    <w:p w14:paraId="4BB31EC6" w14:textId="77777777" w:rsidR="00ED0EE7" w:rsidRPr="003F71D2" w:rsidRDefault="00ED0EE7" w:rsidP="003F71D2">
      <w:pPr>
        <w:pStyle w:val="Default"/>
        <w:rPr>
          <w:sz w:val="22"/>
          <w:szCs w:val="22"/>
          <w:lang w:val="sk-SK"/>
        </w:rPr>
      </w:pPr>
    </w:p>
    <w:p w14:paraId="31B074C3" w14:textId="77777777" w:rsidR="00ED0EE7" w:rsidRPr="003F71D2" w:rsidRDefault="00DB3564" w:rsidP="003F71D2">
      <w:pPr>
        <w:pStyle w:val="Default"/>
        <w:rPr>
          <w:sz w:val="22"/>
          <w:szCs w:val="22"/>
          <w:lang w:val="sk-SK"/>
        </w:rPr>
      </w:pPr>
      <w:r w:rsidRPr="003F71D2">
        <w:rPr>
          <w:sz w:val="22"/>
          <w:szCs w:val="22"/>
          <w:lang w:val="sk-SK"/>
        </w:rPr>
        <w:t xml:space="preserve">Selektívny účinok bisfosfonátov na kosti podmieňuje ich vysoká afinita k mineralizovanej kosti, ale presný mechanizmus na úrovni molekúl, ktorý vedie k inhibícii aktivity osteoklastov, zatiaľ nie je jasný. V dlhodobých štúdiách na zvieratách kyselina zoledrónová tlmí resorpciu kosti bez nepriaznivého ovplyvnenia tvorby, mineralizácie alebo mechanických vlastností kosti. </w:t>
      </w:r>
    </w:p>
    <w:p w14:paraId="15B82210" w14:textId="77777777" w:rsidR="00B03B88" w:rsidRPr="003F71D2" w:rsidRDefault="00B03B88" w:rsidP="003F71D2">
      <w:pPr>
        <w:pStyle w:val="Default"/>
        <w:rPr>
          <w:sz w:val="22"/>
          <w:szCs w:val="22"/>
          <w:lang w:val="sk-SK"/>
        </w:rPr>
      </w:pPr>
    </w:p>
    <w:p w14:paraId="597C26B8" w14:textId="3CB19E81" w:rsidR="00ED0EE7" w:rsidRPr="003F71D2" w:rsidRDefault="00DB3564" w:rsidP="003F71D2">
      <w:pPr>
        <w:pStyle w:val="Default"/>
        <w:rPr>
          <w:sz w:val="22"/>
          <w:szCs w:val="22"/>
          <w:lang w:val="sk-SK"/>
        </w:rPr>
      </w:pPr>
      <w:r w:rsidRPr="003F71D2">
        <w:rPr>
          <w:sz w:val="22"/>
          <w:szCs w:val="22"/>
          <w:lang w:val="sk-SK"/>
        </w:rPr>
        <w:t>Kyselina zoledrónová je nielen účinným inhibítorom resorpcie kostí, ale má aj viaceré protinádorové vlastnosti, ktoré by mohli prispievať k jej celkovej účinnosti liečby metast</w:t>
      </w:r>
      <w:r w:rsidR="00B03B88" w:rsidRPr="003F71D2">
        <w:rPr>
          <w:sz w:val="22"/>
          <w:szCs w:val="22"/>
          <w:lang w:val="sk-SK"/>
        </w:rPr>
        <w:t>ázujúceho</w:t>
      </w:r>
      <w:r w:rsidRPr="003F71D2">
        <w:rPr>
          <w:sz w:val="22"/>
          <w:szCs w:val="22"/>
          <w:lang w:val="sk-SK"/>
        </w:rPr>
        <w:t xml:space="preserve"> ochorenia kostí. V predklinických skúšaniach sa ukázali nasledujúce vlastnosti: </w:t>
      </w:r>
    </w:p>
    <w:p w14:paraId="0AE63E6F" w14:textId="2AEC9ADE" w:rsidR="00ED0EE7" w:rsidRPr="003F71D2" w:rsidRDefault="00DB3564" w:rsidP="00C63330">
      <w:pPr>
        <w:pStyle w:val="Default"/>
        <w:numPr>
          <w:ilvl w:val="0"/>
          <w:numId w:val="13"/>
        </w:numPr>
        <w:rPr>
          <w:sz w:val="22"/>
          <w:szCs w:val="22"/>
          <w:lang w:val="sk-SK"/>
        </w:rPr>
      </w:pPr>
      <w:r w:rsidRPr="003F71D2">
        <w:rPr>
          <w:i/>
          <w:iCs/>
          <w:sz w:val="22"/>
          <w:szCs w:val="22"/>
          <w:lang w:val="sk-SK"/>
        </w:rPr>
        <w:t xml:space="preserve">In vivo: </w:t>
      </w:r>
      <w:r w:rsidRPr="003F71D2">
        <w:rPr>
          <w:sz w:val="22"/>
          <w:szCs w:val="22"/>
          <w:lang w:val="sk-SK"/>
        </w:rPr>
        <w:t xml:space="preserve">inhibícia resorpcie kostí osteoklastami, ktorá mení mikroprostredie kostnej drene a robí ho menej priaznivým pre rast nádorových buniek, antiangiogenetický účinok a analgetický účinok. </w:t>
      </w:r>
    </w:p>
    <w:p w14:paraId="3DF5D6C8" w14:textId="51FDFD4E" w:rsidR="00ED0EE7" w:rsidRPr="003F71D2" w:rsidRDefault="00DB3564" w:rsidP="00C63330">
      <w:pPr>
        <w:pStyle w:val="Default"/>
        <w:numPr>
          <w:ilvl w:val="0"/>
          <w:numId w:val="14"/>
        </w:numPr>
        <w:rPr>
          <w:sz w:val="22"/>
          <w:szCs w:val="22"/>
          <w:lang w:val="sk-SK"/>
        </w:rPr>
      </w:pPr>
      <w:r w:rsidRPr="003F71D2">
        <w:rPr>
          <w:i/>
          <w:iCs/>
          <w:sz w:val="22"/>
          <w:szCs w:val="22"/>
          <w:lang w:val="sk-SK"/>
        </w:rPr>
        <w:t xml:space="preserve">In vitro: </w:t>
      </w:r>
      <w:r w:rsidRPr="003F71D2">
        <w:rPr>
          <w:sz w:val="22"/>
          <w:szCs w:val="22"/>
          <w:lang w:val="sk-SK"/>
        </w:rPr>
        <w:t xml:space="preserve">inhibícia proliferácie osteoblastov, priamy cytostatický a proapoptotický účinok na nádorové bunky, synergický cytostatický účinok s inými protinádorovými liečivami, antiadhezívny a antiinvazívny účinok. </w:t>
      </w:r>
    </w:p>
    <w:p w14:paraId="1B3D81D0" w14:textId="77777777" w:rsidR="00ED0EE7" w:rsidRPr="003F71D2" w:rsidRDefault="00ED0EE7" w:rsidP="003F71D2">
      <w:pPr>
        <w:pStyle w:val="Default"/>
        <w:rPr>
          <w:sz w:val="22"/>
          <w:szCs w:val="22"/>
          <w:lang w:val="sk-SK"/>
        </w:rPr>
      </w:pPr>
    </w:p>
    <w:p w14:paraId="21A9C329" w14:textId="77777777" w:rsidR="00ED0EE7" w:rsidRPr="003F71D2" w:rsidRDefault="00DB3564" w:rsidP="003F71D2">
      <w:pPr>
        <w:pStyle w:val="Default"/>
        <w:rPr>
          <w:sz w:val="22"/>
          <w:szCs w:val="22"/>
          <w:u w:val="single"/>
          <w:lang w:val="sk-SK"/>
        </w:rPr>
      </w:pPr>
      <w:r w:rsidRPr="003F71D2">
        <w:rPr>
          <w:sz w:val="22"/>
          <w:szCs w:val="22"/>
          <w:u w:val="single"/>
          <w:lang w:val="sk-SK"/>
        </w:rPr>
        <w:t xml:space="preserve">Výsledky klinických skúšaní pri prevencii príhod súvisiacich so skeletom u pacientov s postihnutím kostí pri pokročilých malignitách </w:t>
      </w:r>
    </w:p>
    <w:p w14:paraId="08B0B106" w14:textId="77777777" w:rsidR="00ED0EE7" w:rsidRPr="003F71D2" w:rsidRDefault="00DB3564" w:rsidP="003F71D2">
      <w:pPr>
        <w:pStyle w:val="Default"/>
        <w:rPr>
          <w:sz w:val="22"/>
          <w:szCs w:val="22"/>
          <w:lang w:val="sk-SK"/>
        </w:rPr>
      </w:pPr>
      <w:r w:rsidRPr="003F71D2">
        <w:rPr>
          <w:sz w:val="22"/>
          <w:szCs w:val="22"/>
          <w:lang w:val="sk-SK"/>
        </w:rPr>
        <w:t xml:space="preserve">Prvé randomizované, dvojito zaslepené klinické skúšanie kontrolované placebom porovnávalo 4 mg kyseliny zoledrónovej s placebom na prevenciu príhod súvisiacich so skeletom (SRE) u pacientov s rakovinou prostaty. Kyselina zoledrónová v dávke 4 mg významne znížila podiel pacientov, u ktorých sa vyskytla aspoň jedna SRE, predĺžila medián času do prvej SRE o &gt; 5 mesiacov a znížila výskyt príhod pripadajúcich na pacienta za rok - mieru morbidity skeletu. Analýza viacpočetných príhod ukázala zníženie rizika vzniku SRE v skupine 4 mg kyseliny zoledrónovej o 36 % v porovnaní s placebom. Pacienti, ktorí dostávali 4 mg kyseliny zoledrónovej, hlásili menšie stupňovanie bolesti ako pacienti, ktorí dostávali placebo, pričom rozdiel dosiahol štatistickú významnosť v 3., 9., 21., a 24. mesiaci. Menej pacientov liečených 4 mg kyseliny zoledrónovej utrpelo patologické zlomeniny. Účinky liečby boli menej výrazné u pacientov s blastickými léziami. Výsledky účinnosti sú uvedené v Tabuľke 2. </w:t>
      </w:r>
    </w:p>
    <w:p w14:paraId="7D83DE56" w14:textId="77777777" w:rsidR="002C38F4" w:rsidRPr="003F71D2" w:rsidRDefault="002C38F4" w:rsidP="003F71D2">
      <w:pPr>
        <w:pStyle w:val="Default"/>
        <w:rPr>
          <w:sz w:val="22"/>
          <w:szCs w:val="22"/>
          <w:lang w:val="sk-SK"/>
        </w:rPr>
      </w:pPr>
    </w:p>
    <w:p w14:paraId="6458163E" w14:textId="5F5EE918" w:rsidR="00C27390" w:rsidRPr="003F71D2" w:rsidRDefault="00DB3564" w:rsidP="003F71D2">
      <w:pPr>
        <w:pStyle w:val="Default"/>
        <w:rPr>
          <w:sz w:val="22"/>
          <w:szCs w:val="22"/>
          <w:lang w:val="sk-SK"/>
        </w:rPr>
      </w:pPr>
      <w:r w:rsidRPr="003F71D2">
        <w:rPr>
          <w:sz w:val="22"/>
          <w:szCs w:val="22"/>
          <w:lang w:val="sk-SK"/>
        </w:rPr>
        <w:t xml:space="preserve">V druhom klinickom skúšaní, do ktorého boli zahrnuté solídne nádory okrem rakoviny prsníka alebo prostaty, kyselina zoledrónová v dávke 4 mg významne znížila podiel pacientov s SRE, predĺžila medián času do prvej SRE o &gt;2 mesiace a znížila mieru morbidity skeletu. Analýza viacpočetných príhod ukázala zníženie rizika vzniku SRE v skupine 4 mg kyseliny zoledrónovej o 30,7 % v porovnaní s placebom. Výsledky účinnosti sú uvedené v Tabuľke 3. </w:t>
      </w:r>
    </w:p>
    <w:tbl>
      <w:tblPr>
        <w:tblW w:w="0" w:type="auto"/>
        <w:tblInd w:w="-176" w:type="dxa"/>
        <w:tblBorders>
          <w:top w:val="nil"/>
          <w:left w:val="nil"/>
          <w:bottom w:val="nil"/>
          <w:right w:val="nil"/>
        </w:tblBorders>
        <w:tblLook w:val="0000" w:firstRow="0" w:lastRow="0" w:firstColumn="0" w:lastColumn="0" w:noHBand="0" w:noVBand="0"/>
      </w:tblPr>
      <w:tblGrid>
        <w:gridCol w:w="2127"/>
        <w:gridCol w:w="1330"/>
        <w:gridCol w:w="955"/>
        <w:gridCol w:w="1265"/>
        <w:gridCol w:w="955"/>
        <w:gridCol w:w="773"/>
        <w:gridCol w:w="402"/>
        <w:gridCol w:w="1773"/>
      </w:tblGrid>
      <w:tr w:rsidR="00ED0EE7" w:rsidRPr="003F71D2" w14:paraId="528A39B4" w14:textId="77777777" w:rsidTr="00A56DEF">
        <w:trPr>
          <w:gridAfter w:val="2"/>
          <w:wAfter w:w="2176" w:type="dxa"/>
          <w:trHeight w:val="200"/>
        </w:trPr>
        <w:tc>
          <w:tcPr>
            <w:tcW w:w="7406" w:type="dxa"/>
            <w:gridSpan w:val="6"/>
          </w:tcPr>
          <w:p w14:paraId="7B012C1F" w14:textId="77777777" w:rsidR="00ED0EE7" w:rsidRPr="003F71D2" w:rsidRDefault="00ED0EE7" w:rsidP="003F71D2">
            <w:pPr>
              <w:pStyle w:val="Default"/>
              <w:rPr>
                <w:b/>
                <w:bCs/>
                <w:sz w:val="22"/>
                <w:szCs w:val="22"/>
                <w:lang w:val="sk-SK"/>
              </w:rPr>
            </w:pPr>
          </w:p>
          <w:p w14:paraId="47CC72ED" w14:textId="572125F1" w:rsidR="00A56DEF" w:rsidRPr="003F71D2" w:rsidRDefault="00DB3564" w:rsidP="003F71D2">
            <w:pPr>
              <w:pStyle w:val="Default"/>
              <w:ind w:right="-427"/>
              <w:rPr>
                <w:sz w:val="22"/>
                <w:szCs w:val="22"/>
                <w:lang w:val="sk-SK"/>
              </w:rPr>
            </w:pPr>
            <w:r w:rsidRPr="003F71D2">
              <w:rPr>
                <w:b/>
                <w:bCs/>
                <w:sz w:val="22"/>
                <w:szCs w:val="22"/>
                <w:lang w:val="sk-SK"/>
              </w:rPr>
              <w:t xml:space="preserve">Tabuľka 2: </w:t>
            </w:r>
            <w:r w:rsidRPr="003F71D2">
              <w:rPr>
                <w:sz w:val="22"/>
                <w:szCs w:val="22"/>
                <w:lang w:val="sk-SK"/>
              </w:rPr>
              <w:t>Výsledky účinnosti (pacienti s rakovinou prostaty liečení</w:t>
            </w:r>
            <w:r w:rsidR="00A56DEF" w:rsidRPr="003F71D2">
              <w:rPr>
                <w:sz w:val="22"/>
                <w:szCs w:val="22"/>
                <w:lang w:val="sk-SK"/>
              </w:rPr>
              <w:t xml:space="preserve"> </w:t>
            </w:r>
            <w:r w:rsidRPr="003F71D2">
              <w:rPr>
                <w:sz w:val="22"/>
                <w:szCs w:val="22"/>
                <w:lang w:val="sk-SK"/>
              </w:rPr>
              <w:t>hormónmi)</w:t>
            </w:r>
          </w:p>
          <w:p w14:paraId="770694DF" w14:textId="0961D4C1" w:rsidR="00ED0EE7" w:rsidRPr="003F71D2" w:rsidRDefault="00DB3564" w:rsidP="003F71D2">
            <w:pPr>
              <w:pStyle w:val="Default"/>
              <w:ind w:right="-427"/>
              <w:rPr>
                <w:sz w:val="22"/>
                <w:szCs w:val="22"/>
                <w:lang w:val="sk-SK"/>
              </w:rPr>
            </w:pPr>
            <w:r w:rsidRPr="003F71D2">
              <w:rPr>
                <w:sz w:val="22"/>
                <w:szCs w:val="22"/>
                <w:lang w:val="sk-SK"/>
              </w:rPr>
              <w:t xml:space="preserve"> </w:t>
            </w:r>
          </w:p>
        </w:tc>
      </w:tr>
      <w:tr w:rsidR="004B3130" w:rsidRPr="003F71D2" w14:paraId="63651414" w14:textId="77777777" w:rsidTr="00A56DEF">
        <w:tblPrEx>
          <w:tblCellMar>
            <w:left w:w="40" w:type="dxa"/>
            <w:right w:w="40" w:type="dxa"/>
          </w:tblCellMar>
        </w:tblPrEx>
        <w:trPr>
          <w:trHeight w:hRule="exact" w:val="461"/>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1BD490A0" w14:textId="77777777" w:rsidR="007E7CB3" w:rsidRPr="003F71D2" w:rsidRDefault="007E7CB3" w:rsidP="003F71D2">
            <w:pPr>
              <w:shd w:val="clear" w:color="auto" w:fill="FFFFFF"/>
              <w:spacing w:line="240" w:lineRule="auto"/>
              <w:rPr>
                <w:rFonts w:ascii="Times New Roman" w:hAnsi="Times New Roman" w:cs="Times New Roman"/>
                <w:lang w:val="sk-SK"/>
              </w:rPr>
            </w:pPr>
          </w:p>
        </w:tc>
        <w:tc>
          <w:tcPr>
            <w:tcW w:w="2285" w:type="dxa"/>
            <w:gridSpan w:val="2"/>
            <w:tcBorders>
              <w:top w:val="single" w:sz="6" w:space="0" w:color="auto"/>
              <w:left w:val="single" w:sz="6" w:space="0" w:color="auto"/>
              <w:bottom w:val="single" w:sz="6" w:space="0" w:color="auto"/>
              <w:right w:val="single" w:sz="6" w:space="0" w:color="auto"/>
            </w:tcBorders>
            <w:shd w:val="clear" w:color="auto" w:fill="FFFFFF"/>
          </w:tcPr>
          <w:p w14:paraId="44BD029F" w14:textId="14178C27" w:rsidR="007E7CB3" w:rsidRPr="003F71D2" w:rsidRDefault="00B03B88" w:rsidP="00C63330">
            <w:pPr>
              <w:pStyle w:val="Default"/>
              <w:jc w:val="center"/>
              <w:rPr>
                <w:sz w:val="22"/>
                <w:szCs w:val="22"/>
                <w:lang w:val="sk-SK"/>
              </w:rPr>
            </w:pPr>
            <w:r w:rsidRPr="003F71D2">
              <w:rPr>
                <w:sz w:val="22"/>
                <w:szCs w:val="22"/>
                <w:lang w:val="sk-SK"/>
              </w:rPr>
              <w:t>Akákoľvek SRE (+ TIH)</w:t>
            </w:r>
          </w:p>
          <w:tbl>
            <w:tblPr>
              <w:tblW w:w="0" w:type="auto"/>
              <w:tblBorders>
                <w:top w:val="nil"/>
                <w:left w:val="nil"/>
                <w:bottom w:val="nil"/>
                <w:right w:val="nil"/>
              </w:tblBorders>
              <w:tblLook w:val="0000" w:firstRow="0" w:lastRow="0" w:firstColumn="0" w:lastColumn="0" w:noHBand="0" w:noVBand="0"/>
            </w:tblPr>
            <w:tblGrid>
              <w:gridCol w:w="222"/>
            </w:tblGrid>
            <w:tr w:rsidR="007E7CB3" w:rsidRPr="003F71D2" w14:paraId="69C61376" w14:textId="77777777">
              <w:trPr>
                <w:trHeight w:val="200"/>
              </w:trPr>
              <w:tc>
                <w:tcPr>
                  <w:tcW w:w="0" w:type="auto"/>
                </w:tcPr>
                <w:p w14:paraId="221A65F4" w14:textId="051A81F9" w:rsidR="007E7CB3" w:rsidRPr="003F71D2" w:rsidRDefault="007E7CB3" w:rsidP="00C63330">
                  <w:pPr>
                    <w:pStyle w:val="Default"/>
                    <w:jc w:val="center"/>
                    <w:rPr>
                      <w:sz w:val="22"/>
                      <w:szCs w:val="22"/>
                      <w:lang w:val="sk-SK"/>
                    </w:rPr>
                  </w:pPr>
                </w:p>
              </w:tc>
            </w:tr>
          </w:tbl>
          <w:p w14:paraId="6EE57D31" w14:textId="77777777" w:rsidR="007E7CB3" w:rsidRPr="003F71D2" w:rsidRDefault="007E7CB3" w:rsidP="00C63330">
            <w:pPr>
              <w:pStyle w:val="Default"/>
              <w:jc w:val="center"/>
              <w:rPr>
                <w:color w:val="auto"/>
                <w:sz w:val="22"/>
                <w:szCs w:val="22"/>
                <w:lang w:val="sk-SK"/>
              </w:rPr>
            </w:pPr>
          </w:p>
          <w:p w14:paraId="7500AD25" w14:textId="77777777" w:rsidR="007E7CB3" w:rsidRPr="003F71D2" w:rsidRDefault="007E7CB3" w:rsidP="00C63330">
            <w:pPr>
              <w:shd w:val="clear" w:color="auto" w:fill="FFFFFF"/>
              <w:spacing w:line="240" w:lineRule="auto"/>
              <w:jc w:val="center"/>
              <w:rPr>
                <w:rFonts w:ascii="Times New Roman" w:hAnsi="Times New Roman" w:cs="Times New Roman"/>
                <w:lang w:val="sk-SK"/>
              </w:rPr>
            </w:pPr>
          </w:p>
        </w:tc>
        <w:tc>
          <w:tcPr>
            <w:tcW w:w="2220" w:type="dxa"/>
            <w:gridSpan w:val="2"/>
            <w:tcBorders>
              <w:top w:val="single" w:sz="6" w:space="0" w:color="auto"/>
              <w:left w:val="single" w:sz="6" w:space="0" w:color="auto"/>
              <w:bottom w:val="single" w:sz="6" w:space="0" w:color="auto"/>
              <w:right w:val="single" w:sz="6" w:space="0" w:color="auto"/>
            </w:tcBorders>
            <w:shd w:val="clear" w:color="auto" w:fill="FFFFFF"/>
          </w:tcPr>
          <w:p w14:paraId="35FF5775"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zlomeniny*</w:t>
            </w:r>
          </w:p>
        </w:tc>
        <w:tc>
          <w:tcPr>
            <w:tcW w:w="2949" w:type="dxa"/>
            <w:gridSpan w:val="3"/>
            <w:tcBorders>
              <w:top w:val="single" w:sz="6" w:space="0" w:color="auto"/>
              <w:left w:val="single" w:sz="6" w:space="0" w:color="auto"/>
              <w:bottom w:val="single" w:sz="6" w:space="0" w:color="auto"/>
              <w:right w:val="single" w:sz="6" w:space="0" w:color="auto"/>
            </w:tcBorders>
            <w:shd w:val="clear" w:color="auto" w:fill="FFFFFF"/>
          </w:tcPr>
          <w:tbl>
            <w:tblPr>
              <w:tblW w:w="0" w:type="auto"/>
              <w:jc w:val="center"/>
              <w:tblBorders>
                <w:top w:val="nil"/>
                <w:left w:val="nil"/>
                <w:bottom w:val="nil"/>
                <w:right w:val="nil"/>
              </w:tblBorders>
              <w:tblLook w:val="0000" w:firstRow="0" w:lastRow="0" w:firstColumn="0" w:lastColumn="0" w:noHBand="0" w:noVBand="0"/>
            </w:tblPr>
            <w:tblGrid>
              <w:gridCol w:w="1823"/>
            </w:tblGrid>
            <w:tr w:rsidR="00C5794C" w:rsidRPr="003F71D2" w14:paraId="083A7E0D" w14:textId="77777777" w:rsidTr="00002588">
              <w:trPr>
                <w:trHeight w:val="200"/>
                <w:jc w:val="center"/>
              </w:trPr>
              <w:tc>
                <w:tcPr>
                  <w:tcW w:w="0" w:type="auto"/>
                </w:tcPr>
                <w:p w14:paraId="3EF64178" w14:textId="7B6E0CDE" w:rsidR="00C5794C" w:rsidRPr="003F71D2" w:rsidRDefault="00C5794C" w:rsidP="00C63330">
                  <w:pPr>
                    <w:pStyle w:val="Default"/>
                    <w:jc w:val="center"/>
                    <w:rPr>
                      <w:sz w:val="22"/>
                      <w:szCs w:val="22"/>
                      <w:lang w:val="sk-SK"/>
                    </w:rPr>
                  </w:pPr>
                  <w:r w:rsidRPr="003F71D2">
                    <w:rPr>
                      <w:sz w:val="22"/>
                      <w:szCs w:val="22"/>
                      <w:lang w:val="sk-SK"/>
                    </w:rPr>
                    <w:t>Rádioterapia kostí</w:t>
                  </w:r>
                </w:p>
              </w:tc>
            </w:tr>
          </w:tbl>
          <w:p w14:paraId="4B2C1BAA" w14:textId="77777777" w:rsidR="004B3130" w:rsidRPr="003F71D2" w:rsidRDefault="004B3130" w:rsidP="00C63330">
            <w:pPr>
              <w:pStyle w:val="Default"/>
              <w:jc w:val="center"/>
              <w:rPr>
                <w:color w:val="auto"/>
                <w:sz w:val="22"/>
                <w:szCs w:val="22"/>
                <w:lang w:val="sk-SK"/>
              </w:rPr>
            </w:pPr>
          </w:p>
          <w:p w14:paraId="762E2597" w14:textId="77777777" w:rsidR="007E7CB3" w:rsidRPr="003F71D2" w:rsidRDefault="007E7CB3" w:rsidP="00C63330">
            <w:pPr>
              <w:shd w:val="clear" w:color="auto" w:fill="FFFFFF"/>
              <w:spacing w:line="240" w:lineRule="auto"/>
              <w:jc w:val="center"/>
              <w:rPr>
                <w:rFonts w:ascii="Times New Roman" w:hAnsi="Times New Roman" w:cs="Times New Roman"/>
                <w:lang w:val="sk-SK"/>
              </w:rPr>
            </w:pPr>
          </w:p>
        </w:tc>
      </w:tr>
      <w:tr w:rsidR="007E7CB3" w:rsidRPr="003F71D2" w14:paraId="77FA5E3E" w14:textId="77777777" w:rsidTr="00A56DEF">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949"/>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37C037C8" w14:textId="77777777" w:rsidR="007E7CB3" w:rsidRPr="003F71D2" w:rsidRDefault="007E7CB3" w:rsidP="003F71D2">
            <w:pPr>
              <w:shd w:val="clear" w:color="auto" w:fill="FFFFFF"/>
              <w:spacing w:line="240" w:lineRule="auto"/>
              <w:rPr>
                <w:rFonts w:ascii="Times New Roman" w:hAnsi="Times New Roman" w:cs="Times New Roman"/>
                <w:lang w:val="sk-SK"/>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6428B870" w14:textId="5B8AEB34"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w:t>
            </w:r>
            <w:r w:rsidR="00CD7BC4">
              <w:rPr>
                <w:rFonts w:ascii="Times New Roman" w:hAnsi="Times New Roman" w:cs="Times New Roman"/>
                <w:lang w:val="sk-SK"/>
              </w:rPr>
              <w:br/>
            </w:r>
            <w:r w:rsidRPr="003F71D2">
              <w:rPr>
                <w:rFonts w:ascii="Times New Roman" w:hAnsi="Times New Roman" w:cs="Times New Roman"/>
                <w:lang w:val="sk-SK"/>
              </w:rPr>
              <w:t>4 mg</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09389727"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3"/>
                <w:lang w:val="sk-SK"/>
              </w:rPr>
              <w:t>Placebo</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14:paraId="5B0B6D50"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4 mg</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606D6E1A"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3"/>
                <w:lang w:val="sk-SK"/>
              </w:rPr>
              <w:t>Placebo</w:t>
            </w:r>
          </w:p>
        </w:tc>
        <w:tc>
          <w:tcPr>
            <w:tcW w:w="1175" w:type="dxa"/>
            <w:gridSpan w:val="2"/>
            <w:tcBorders>
              <w:top w:val="single" w:sz="6" w:space="0" w:color="auto"/>
              <w:left w:val="single" w:sz="6" w:space="0" w:color="auto"/>
              <w:bottom w:val="single" w:sz="6" w:space="0" w:color="auto"/>
              <w:right w:val="single" w:sz="6" w:space="0" w:color="auto"/>
            </w:tcBorders>
            <w:shd w:val="clear" w:color="auto" w:fill="FFFFFF"/>
          </w:tcPr>
          <w:p w14:paraId="6125C5B1"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4 mg</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011E06E0"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3"/>
                <w:lang w:val="sk-SK"/>
              </w:rPr>
              <w:t>Placebo</w:t>
            </w:r>
          </w:p>
        </w:tc>
      </w:tr>
      <w:tr w:rsidR="007E7CB3" w:rsidRPr="003F71D2" w14:paraId="61047AB8" w14:textId="77777777" w:rsidTr="00A56DEF">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64"/>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5AFE6A6E" w14:textId="77777777" w:rsidR="007E7CB3"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N</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6D45F7B8"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214</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303D2E0E"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208</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14:paraId="361C8B41"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214</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001710FD"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208</w:t>
            </w:r>
          </w:p>
        </w:tc>
        <w:tc>
          <w:tcPr>
            <w:tcW w:w="1175" w:type="dxa"/>
            <w:gridSpan w:val="2"/>
            <w:tcBorders>
              <w:top w:val="single" w:sz="6" w:space="0" w:color="auto"/>
              <w:left w:val="single" w:sz="6" w:space="0" w:color="auto"/>
              <w:bottom w:val="single" w:sz="6" w:space="0" w:color="auto"/>
              <w:right w:val="single" w:sz="6" w:space="0" w:color="auto"/>
            </w:tcBorders>
            <w:shd w:val="clear" w:color="auto" w:fill="FFFFFF"/>
          </w:tcPr>
          <w:p w14:paraId="0FF35B42"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214</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06009FF0"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208</w:t>
            </w:r>
          </w:p>
        </w:tc>
      </w:tr>
      <w:tr w:rsidR="007E7CB3" w:rsidRPr="003F71D2" w14:paraId="4DF57C2E" w14:textId="77777777" w:rsidTr="00C63330">
        <w:tblPrEx>
          <w:tblCellMar>
            <w:left w:w="40" w:type="dxa"/>
            <w:right w:w="40" w:type="dxa"/>
          </w:tblCellMar>
        </w:tblPrEx>
        <w:trPr>
          <w:trHeight w:hRule="exact" w:val="580"/>
        </w:trPr>
        <w:tc>
          <w:tcPr>
            <w:tcW w:w="2128" w:type="dxa"/>
            <w:tcBorders>
              <w:top w:val="single" w:sz="6" w:space="0" w:color="auto"/>
              <w:left w:val="single" w:sz="6" w:space="0" w:color="auto"/>
              <w:bottom w:val="single" w:sz="6" w:space="0" w:color="auto"/>
              <w:right w:val="single" w:sz="6"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2047"/>
            </w:tblGrid>
            <w:tr w:rsidR="004B3130" w:rsidRPr="003F71D2" w14:paraId="6ABF0F48" w14:textId="77777777">
              <w:trPr>
                <w:trHeight w:val="453"/>
              </w:trPr>
              <w:tc>
                <w:tcPr>
                  <w:tcW w:w="0" w:type="auto"/>
                </w:tcPr>
                <w:p w14:paraId="7A88BCC7" w14:textId="77777777" w:rsidR="004B3130" w:rsidRPr="003F71D2" w:rsidRDefault="00DB3564" w:rsidP="003F71D2">
                  <w:pPr>
                    <w:pStyle w:val="Default"/>
                    <w:rPr>
                      <w:sz w:val="22"/>
                      <w:szCs w:val="22"/>
                      <w:lang w:val="sk-SK"/>
                    </w:rPr>
                  </w:pPr>
                  <w:r w:rsidRPr="003F71D2">
                    <w:rPr>
                      <w:sz w:val="22"/>
                      <w:szCs w:val="22"/>
                      <w:lang w:val="sk-SK"/>
                    </w:rPr>
                    <w:t xml:space="preserve">Podiel pacientov s SRE (%) </w:t>
                  </w:r>
                </w:p>
              </w:tc>
            </w:tr>
          </w:tbl>
          <w:p w14:paraId="095249CA" w14:textId="77777777" w:rsidR="007E7CB3" w:rsidRPr="003F71D2" w:rsidRDefault="007E7CB3" w:rsidP="003F71D2">
            <w:pPr>
              <w:shd w:val="clear" w:color="auto" w:fill="FFFFFF"/>
              <w:spacing w:line="240" w:lineRule="auto"/>
              <w:ind w:left="102"/>
              <w:rPr>
                <w:rFonts w:ascii="Times New Roman" w:hAnsi="Times New Roman" w:cs="Times New Roman"/>
                <w:lang w:val="sk-SK"/>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34E572EC"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38</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61768579"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49</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14:paraId="1AEB6693"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17</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53CAD34B"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25</w:t>
            </w:r>
          </w:p>
        </w:tc>
        <w:tc>
          <w:tcPr>
            <w:tcW w:w="1175" w:type="dxa"/>
            <w:gridSpan w:val="2"/>
            <w:tcBorders>
              <w:top w:val="single" w:sz="6" w:space="0" w:color="auto"/>
              <w:left w:val="single" w:sz="6" w:space="0" w:color="auto"/>
              <w:bottom w:val="single" w:sz="6" w:space="0" w:color="auto"/>
              <w:right w:val="single" w:sz="6" w:space="0" w:color="auto"/>
            </w:tcBorders>
            <w:shd w:val="clear" w:color="auto" w:fill="FFFFFF"/>
          </w:tcPr>
          <w:p w14:paraId="2718BF70"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26</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7B74E155"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33</w:t>
            </w:r>
          </w:p>
        </w:tc>
      </w:tr>
      <w:tr w:rsidR="004B3130" w:rsidRPr="003F71D2" w14:paraId="23914B88" w14:textId="77777777" w:rsidTr="00A56DEF">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64"/>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5DA9C5C1" w14:textId="77777777" w:rsidR="007E7CB3"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285" w:type="dxa"/>
            <w:gridSpan w:val="2"/>
            <w:tcBorders>
              <w:top w:val="single" w:sz="6" w:space="0" w:color="auto"/>
              <w:left w:val="single" w:sz="6" w:space="0" w:color="auto"/>
              <w:bottom w:val="single" w:sz="6" w:space="0" w:color="auto"/>
              <w:right w:val="single" w:sz="6" w:space="0" w:color="auto"/>
            </w:tcBorders>
            <w:shd w:val="clear" w:color="auto" w:fill="FFFFFF"/>
          </w:tcPr>
          <w:p w14:paraId="55145D2C"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0,028</w:t>
            </w:r>
          </w:p>
        </w:tc>
        <w:tc>
          <w:tcPr>
            <w:tcW w:w="2220" w:type="dxa"/>
            <w:gridSpan w:val="2"/>
            <w:tcBorders>
              <w:top w:val="single" w:sz="6" w:space="0" w:color="auto"/>
              <w:left w:val="single" w:sz="6" w:space="0" w:color="auto"/>
              <w:bottom w:val="single" w:sz="6" w:space="0" w:color="auto"/>
              <w:right w:val="single" w:sz="6" w:space="0" w:color="auto"/>
            </w:tcBorders>
            <w:shd w:val="clear" w:color="auto" w:fill="FFFFFF"/>
          </w:tcPr>
          <w:p w14:paraId="09473595"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0,052</w:t>
            </w:r>
          </w:p>
        </w:tc>
        <w:tc>
          <w:tcPr>
            <w:tcW w:w="294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0BDF4B61"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0,119</w:t>
            </w:r>
          </w:p>
          <w:p w14:paraId="105B8F33"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19</w:t>
            </w:r>
          </w:p>
        </w:tc>
      </w:tr>
      <w:tr w:rsidR="007E7CB3" w:rsidRPr="003F71D2" w14:paraId="7253FA60" w14:textId="77777777" w:rsidTr="00C63330">
        <w:tblPrEx>
          <w:tblCellMar>
            <w:left w:w="40" w:type="dxa"/>
            <w:right w:w="40" w:type="dxa"/>
          </w:tblCellMar>
        </w:tblPrEx>
        <w:trPr>
          <w:trHeight w:hRule="exact" w:val="653"/>
        </w:trPr>
        <w:tc>
          <w:tcPr>
            <w:tcW w:w="2128" w:type="dxa"/>
            <w:tcBorders>
              <w:top w:val="single" w:sz="6" w:space="0" w:color="auto"/>
              <w:left w:val="single" w:sz="6" w:space="0" w:color="auto"/>
              <w:bottom w:val="single" w:sz="6" w:space="0" w:color="auto"/>
              <w:right w:val="single" w:sz="6"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2047"/>
            </w:tblGrid>
            <w:tr w:rsidR="004B3130" w:rsidRPr="003F71D2" w14:paraId="7F85AC09" w14:textId="77777777">
              <w:trPr>
                <w:trHeight w:val="453"/>
              </w:trPr>
              <w:tc>
                <w:tcPr>
                  <w:tcW w:w="0" w:type="auto"/>
                </w:tcPr>
                <w:p w14:paraId="05F412E6" w14:textId="77777777" w:rsidR="004B3130" w:rsidRPr="003F71D2" w:rsidRDefault="00DB3564" w:rsidP="003F71D2">
                  <w:pPr>
                    <w:pStyle w:val="Default"/>
                    <w:rPr>
                      <w:sz w:val="22"/>
                      <w:szCs w:val="22"/>
                      <w:lang w:val="sk-SK"/>
                    </w:rPr>
                  </w:pPr>
                  <w:r w:rsidRPr="003F71D2">
                    <w:rPr>
                      <w:sz w:val="22"/>
                      <w:szCs w:val="22"/>
                      <w:lang w:val="sk-SK"/>
                    </w:rPr>
                    <w:t xml:space="preserve">Medián času do SRE (dni) </w:t>
                  </w:r>
                </w:p>
              </w:tc>
            </w:tr>
          </w:tbl>
          <w:p w14:paraId="4625D519" w14:textId="77777777" w:rsidR="004B3130" w:rsidRPr="003F71D2" w:rsidRDefault="004B3130" w:rsidP="003F71D2">
            <w:pPr>
              <w:pStyle w:val="Default"/>
              <w:rPr>
                <w:color w:val="auto"/>
                <w:sz w:val="22"/>
                <w:szCs w:val="22"/>
                <w:lang w:val="sk-SK"/>
              </w:rPr>
            </w:pPr>
          </w:p>
          <w:p w14:paraId="346CF56D" w14:textId="77777777" w:rsidR="007E7CB3" w:rsidRPr="003F71D2" w:rsidRDefault="007E7CB3" w:rsidP="003F71D2">
            <w:pPr>
              <w:shd w:val="clear" w:color="auto" w:fill="FFFFFF"/>
              <w:spacing w:line="240" w:lineRule="auto"/>
              <w:ind w:left="102"/>
              <w:rPr>
                <w:rFonts w:ascii="Times New Roman" w:hAnsi="Times New Roman" w:cs="Times New Roman"/>
                <w:lang w:val="sk-SK"/>
              </w:rPr>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53102C2A"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488</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2E7B31BB"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321</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14:paraId="472FB10B"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0BA7D23C"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c>
          <w:tcPr>
            <w:tcW w:w="1175" w:type="dxa"/>
            <w:gridSpan w:val="2"/>
            <w:tcBorders>
              <w:top w:val="single" w:sz="6" w:space="0" w:color="auto"/>
              <w:left w:val="single" w:sz="6" w:space="0" w:color="auto"/>
              <w:bottom w:val="single" w:sz="6" w:space="0" w:color="auto"/>
              <w:right w:val="single" w:sz="6" w:space="0" w:color="auto"/>
            </w:tcBorders>
            <w:shd w:val="clear" w:color="auto" w:fill="FFFFFF"/>
          </w:tcPr>
          <w:p w14:paraId="4038F61A"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64462706"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640</w:t>
            </w:r>
          </w:p>
        </w:tc>
      </w:tr>
      <w:tr w:rsidR="004B3130" w:rsidRPr="003F71D2" w14:paraId="553A18A8" w14:textId="77777777" w:rsidTr="00A56DEF">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59"/>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1AB935FB" w14:textId="77777777" w:rsidR="007E7CB3"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lastRenderedPageBreak/>
              <w:t>Hodnota p</w:t>
            </w:r>
          </w:p>
        </w:tc>
        <w:tc>
          <w:tcPr>
            <w:tcW w:w="2285" w:type="dxa"/>
            <w:gridSpan w:val="2"/>
            <w:tcBorders>
              <w:top w:val="single" w:sz="6" w:space="0" w:color="auto"/>
              <w:left w:val="single" w:sz="6" w:space="0" w:color="auto"/>
              <w:bottom w:val="single" w:sz="6" w:space="0" w:color="auto"/>
              <w:right w:val="single" w:sz="6" w:space="0" w:color="auto"/>
            </w:tcBorders>
            <w:shd w:val="clear" w:color="auto" w:fill="FFFFFF"/>
          </w:tcPr>
          <w:p w14:paraId="4E589076"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0,009</w:t>
            </w:r>
          </w:p>
        </w:tc>
        <w:tc>
          <w:tcPr>
            <w:tcW w:w="2220" w:type="dxa"/>
            <w:gridSpan w:val="2"/>
            <w:tcBorders>
              <w:top w:val="single" w:sz="6" w:space="0" w:color="auto"/>
              <w:left w:val="single" w:sz="6" w:space="0" w:color="auto"/>
              <w:bottom w:val="single" w:sz="6" w:space="0" w:color="auto"/>
              <w:right w:val="single" w:sz="6" w:space="0" w:color="auto"/>
            </w:tcBorders>
            <w:shd w:val="clear" w:color="auto" w:fill="FFFFFF"/>
          </w:tcPr>
          <w:p w14:paraId="36AAD423"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0,020</w:t>
            </w:r>
          </w:p>
        </w:tc>
        <w:tc>
          <w:tcPr>
            <w:tcW w:w="2949" w:type="dxa"/>
            <w:gridSpan w:val="3"/>
            <w:tcBorders>
              <w:top w:val="single" w:sz="6" w:space="0" w:color="auto"/>
              <w:left w:val="single" w:sz="6" w:space="0" w:color="auto"/>
              <w:bottom w:val="single" w:sz="6" w:space="0" w:color="auto"/>
              <w:right w:val="single" w:sz="6" w:space="0" w:color="auto"/>
            </w:tcBorders>
            <w:shd w:val="clear" w:color="auto" w:fill="FFFFFF"/>
          </w:tcPr>
          <w:p w14:paraId="52991150"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0,055</w:t>
            </w:r>
          </w:p>
        </w:tc>
      </w:tr>
      <w:tr w:rsidR="007E7CB3" w:rsidRPr="003F71D2" w14:paraId="2BA5C6B4" w14:textId="77777777" w:rsidTr="00C63330">
        <w:tblPrEx>
          <w:tblCellMar>
            <w:left w:w="40" w:type="dxa"/>
            <w:right w:w="40" w:type="dxa"/>
          </w:tblCellMar>
        </w:tblPrEx>
        <w:trPr>
          <w:trHeight w:hRule="exact" w:val="529"/>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30D0C2C5" w14:textId="77777777" w:rsidR="007E7CB3"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spacing w:val="-2"/>
                <w:lang w:val="sk-SK"/>
              </w:rPr>
              <w:t>Miera morbidity skeletu</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53CCBBF5"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0,77</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70538F47"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1,47</w:t>
            </w:r>
          </w:p>
        </w:tc>
        <w:tc>
          <w:tcPr>
            <w:tcW w:w="1265" w:type="dxa"/>
            <w:tcBorders>
              <w:top w:val="single" w:sz="6" w:space="0" w:color="auto"/>
              <w:left w:val="single" w:sz="6" w:space="0" w:color="auto"/>
              <w:bottom w:val="single" w:sz="6" w:space="0" w:color="auto"/>
              <w:right w:val="single" w:sz="6" w:space="0" w:color="auto"/>
            </w:tcBorders>
            <w:shd w:val="clear" w:color="auto" w:fill="FFFFFF"/>
          </w:tcPr>
          <w:p w14:paraId="50AC7880"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0,20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03979AF3"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0,45</w:t>
            </w:r>
          </w:p>
        </w:tc>
        <w:tc>
          <w:tcPr>
            <w:tcW w:w="1175" w:type="dxa"/>
            <w:gridSpan w:val="2"/>
            <w:tcBorders>
              <w:top w:val="single" w:sz="6" w:space="0" w:color="auto"/>
              <w:left w:val="single" w:sz="6" w:space="0" w:color="auto"/>
              <w:bottom w:val="single" w:sz="6" w:space="0" w:color="auto"/>
              <w:right w:val="single" w:sz="6" w:space="0" w:color="auto"/>
            </w:tcBorders>
            <w:shd w:val="clear" w:color="auto" w:fill="FFFFFF"/>
          </w:tcPr>
          <w:p w14:paraId="6A200496"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0,42</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14:paraId="695CE40D"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0,89</w:t>
            </w:r>
          </w:p>
        </w:tc>
      </w:tr>
      <w:tr w:rsidR="004B3130" w:rsidRPr="003F71D2" w14:paraId="0CCE61B3" w14:textId="77777777" w:rsidTr="00A56DEF">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54"/>
        </w:trPr>
        <w:tc>
          <w:tcPr>
            <w:tcW w:w="2128" w:type="dxa"/>
            <w:tcBorders>
              <w:top w:val="single" w:sz="6" w:space="0" w:color="auto"/>
              <w:left w:val="single" w:sz="6" w:space="0" w:color="auto"/>
              <w:bottom w:val="single" w:sz="6" w:space="0" w:color="auto"/>
              <w:right w:val="single" w:sz="6" w:space="0" w:color="auto"/>
            </w:tcBorders>
            <w:shd w:val="clear" w:color="auto" w:fill="FFFFFF"/>
          </w:tcPr>
          <w:p w14:paraId="11C4A429" w14:textId="77777777" w:rsidR="007E7CB3"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285" w:type="dxa"/>
            <w:gridSpan w:val="2"/>
            <w:tcBorders>
              <w:top w:val="single" w:sz="6" w:space="0" w:color="auto"/>
              <w:left w:val="single" w:sz="6" w:space="0" w:color="auto"/>
              <w:bottom w:val="single" w:sz="6" w:space="0" w:color="auto"/>
              <w:right w:val="single" w:sz="6" w:space="0" w:color="auto"/>
            </w:tcBorders>
            <w:shd w:val="clear" w:color="auto" w:fill="FFFFFF"/>
          </w:tcPr>
          <w:p w14:paraId="3FDA7849"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0,005</w:t>
            </w:r>
          </w:p>
        </w:tc>
        <w:tc>
          <w:tcPr>
            <w:tcW w:w="2220" w:type="dxa"/>
            <w:gridSpan w:val="2"/>
            <w:tcBorders>
              <w:top w:val="single" w:sz="6" w:space="0" w:color="auto"/>
              <w:left w:val="single" w:sz="6" w:space="0" w:color="auto"/>
              <w:bottom w:val="single" w:sz="6" w:space="0" w:color="auto"/>
              <w:right w:val="single" w:sz="6" w:space="0" w:color="auto"/>
            </w:tcBorders>
            <w:shd w:val="clear" w:color="auto" w:fill="FFFFFF"/>
          </w:tcPr>
          <w:p w14:paraId="3B45559F"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0,023</w:t>
            </w:r>
          </w:p>
        </w:tc>
        <w:tc>
          <w:tcPr>
            <w:tcW w:w="2949" w:type="dxa"/>
            <w:gridSpan w:val="3"/>
            <w:tcBorders>
              <w:top w:val="single" w:sz="6" w:space="0" w:color="auto"/>
              <w:left w:val="single" w:sz="6" w:space="0" w:color="auto"/>
              <w:bottom w:val="single" w:sz="6" w:space="0" w:color="auto"/>
              <w:right w:val="single" w:sz="6" w:space="0" w:color="auto"/>
            </w:tcBorders>
            <w:shd w:val="clear" w:color="auto" w:fill="FFFFFF"/>
          </w:tcPr>
          <w:p w14:paraId="6DF28B14"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0,060</w:t>
            </w:r>
          </w:p>
        </w:tc>
      </w:tr>
      <w:tr w:rsidR="007E7CB3" w:rsidRPr="003F71D2" w14:paraId="20875C3C" w14:textId="77777777" w:rsidTr="00C63330">
        <w:trPr>
          <w:trHeight w:hRule="exact" w:val="1163"/>
        </w:trPr>
        <w:tc>
          <w:tcPr>
            <w:tcW w:w="2128" w:type="dxa"/>
            <w:tcBorders>
              <w:top w:val="single" w:sz="6"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1911"/>
            </w:tblGrid>
            <w:tr w:rsidR="004B3130" w:rsidRPr="003F71D2" w14:paraId="41B98FF9" w14:textId="77777777">
              <w:trPr>
                <w:trHeight w:val="706"/>
              </w:trPr>
              <w:tc>
                <w:tcPr>
                  <w:tcW w:w="0" w:type="auto"/>
                </w:tcPr>
                <w:p w14:paraId="21407AF3" w14:textId="77777777" w:rsidR="004B3130" w:rsidRPr="003F71D2" w:rsidRDefault="00DB3564" w:rsidP="003F71D2">
                  <w:pPr>
                    <w:pStyle w:val="Default"/>
                    <w:rPr>
                      <w:sz w:val="22"/>
                      <w:szCs w:val="22"/>
                      <w:lang w:val="sk-SK"/>
                    </w:rPr>
                  </w:pPr>
                  <w:r w:rsidRPr="003F71D2">
                    <w:rPr>
                      <w:sz w:val="22"/>
                      <w:szCs w:val="22"/>
                      <w:lang w:val="sk-SK"/>
                    </w:rPr>
                    <w:t xml:space="preserve">Zníženie rizika utrpieť viacpočetné príhody** (%) </w:t>
                  </w:r>
                </w:p>
              </w:tc>
            </w:tr>
          </w:tbl>
          <w:p w14:paraId="06D5192E" w14:textId="77777777" w:rsidR="004B3130" w:rsidRPr="003F71D2" w:rsidRDefault="004B3130" w:rsidP="003F71D2">
            <w:pPr>
              <w:pStyle w:val="Default"/>
              <w:rPr>
                <w:color w:val="auto"/>
                <w:sz w:val="22"/>
                <w:szCs w:val="22"/>
                <w:lang w:val="sk-SK"/>
              </w:rPr>
            </w:pPr>
          </w:p>
          <w:p w14:paraId="3833A565" w14:textId="77777777" w:rsidR="007E7CB3" w:rsidRPr="003F71D2" w:rsidRDefault="007E7CB3" w:rsidP="003F71D2">
            <w:pPr>
              <w:shd w:val="clear" w:color="auto" w:fill="FFFFFF"/>
              <w:spacing w:line="240" w:lineRule="auto"/>
              <w:ind w:left="34"/>
              <w:rPr>
                <w:rFonts w:ascii="Times New Roman" w:hAnsi="Times New Roman" w:cs="Times New Roman"/>
                <w:lang w:val="sk-SK"/>
              </w:rPr>
            </w:pPr>
          </w:p>
        </w:tc>
        <w:tc>
          <w:tcPr>
            <w:tcW w:w="1330" w:type="dxa"/>
            <w:tcBorders>
              <w:left w:val="single" w:sz="4" w:space="0" w:color="auto"/>
              <w:bottom w:val="single" w:sz="4" w:space="0" w:color="auto"/>
              <w:right w:val="single" w:sz="4" w:space="0" w:color="auto"/>
            </w:tcBorders>
          </w:tcPr>
          <w:p w14:paraId="305CE98F"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36</w:t>
            </w:r>
          </w:p>
        </w:tc>
        <w:tc>
          <w:tcPr>
            <w:tcW w:w="955" w:type="dxa"/>
            <w:tcBorders>
              <w:left w:val="single" w:sz="4" w:space="0" w:color="auto"/>
              <w:bottom w:val="single" w:sz="4" w:space="0" w:color="auto"/>
              <w:right w:val="single" w:sz="4" w:space="0" w:color="auto"/>
            </w:tcBorders>
          </w:tcPr>
          <w:p w14:paraId="7778F2EE" w14:textId="77777777" w:rsidR="007E7CB3" w:rsidRPr="003F71D2" w:rsidRDefault="007E7CB3" w:rsidP="00C63330">
            <w:pPr>
              <w:shd w:val="clear" w:color="auto" w:fill="FFFFFF"/>
              <w:spacing w:line="240" w:lineRule="auto"/>
              <w:jc w:val="center"/>
              <w:rPr>
                <w:rFonts w:ascii="Times New Roman" w:hAnsi="Times New Roman" w:cs="Times New Roman"/>
                <w:lang w:val="sk-SK"/>
              </w:rPr>
            </w:pPr>
          </w:p>
        </w:tc>
        <w:tc>
          <w:tcPr>
            <w:tcW w:w="1265" w:type="dxa"/>
            <w:tcBorders>
              <w:left w:val="single" w:sz="4" w:space="0" w:color="auto"/>
              <w:bottom w:val="single" w:sz="4" w:space="0" w:color="auto"/>
              <w:right w:val="single" w:sz="4" w:space="0" w:color="auto"/>
            </w:tcBorders>
          </w:tcPr>
          <w:p w14:paraId="760C8872"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955" w:type="dxa"/>
            <w:tcBorders>
              <w:left w:val="single" w:sz="4" w:space="0" w:color="auto"/>
              <w:bottom w:val="single" w:sz="4" w:space="0" w:color="auto"/>
              <w:right w:val="single" w:sz="4" w:space="0" w:color="auto"/>
            </w:tcBorders>
          </w:tcPr>
          <w:p w14:paraId="59DB8482"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1175" w:type="dxa"/>
            <w:gridSpan w:val="2"/>
            <w:tcBorders>
              <w:left w:val="single" w:sz="4" w:space="0" w:color="auto"/>
              <w:bottom w:val="single" w:sz="4" w:space="0" w:color="auto"/>
              <w:right w:val="single" w:sz="4" w:space="0" w:color="auto"/>
            </w:tcBorders>
          </w:tcPr>
          <w:p w14:paraId="55775C3F"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1774" w:type="dxa"/>
            <w:tcBorders>
              <w:left w:val="single" w:sz="4" w:space="0" w:color="auto"/>
              <w:bottom w:val="single" w:sz="4" w:space="0" w:color="auto"/>
              <w:right w:val="single" w:sz="4" w:space="0" w:color="auto"/>
            </w:tcBorders>
          </w:tcPr>
          <w:p w14:paraId="5F1AC1BD"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r>
      <w:tr w:rsidR="004B3130" w:rsidRPr="003F71D2" w14:paraId="7D725730" w14:textId="77777777" w:rsidTr="00A56DEF">
        <w:tblPrEx>
          <w:tblBorders>
            <w:top w:val="none" w:sz="0" w:space="0" w:color="auto"/>
            <w:left w:val="none" w:sz="0" w:space="0" w:color="auto"/>
            <w:bottom w:val="none" w:sz="0" w:space="0" w:color="auto"/>
            <w:right w:val="none" w:sz="0" w:space="0" w:color="auto"/>
          </w:tblBorders>
        </w:tblPrEx>
        <w:trPr>
          <w:trHeight w:hRule="exact" w:val="264"/>
        </w:trPr>
        <w:tc>
          <w:tcPr>
            <w:tcW w:w="2128" w:type="dxa"/>
            <w:tcBorders>
              <w:top w:val="single" w:sz="4" w:space="0" w:color="auto"/>
              <w:left w:val="single" w:sz="4" w:space="0" w:color="auto"/>
              <w:bottom w:val="single" w:sz="4" w:space="0" w:color="auto"/>
              <w:right w:val="single" w:sz="4" w:space="0" w:color="auto"/>
            </w:tcBorders>
          </w:tcPr>
          <w:p w14:paraId="03EA24D8" w14:textId="77777777" w:rsidR="007E7CB3" w:rsidRPr="003F71D2" w:rsidRDefault="00DB3564" w:rsidP="003F71D2">
            <w:pPr>
              <w:shd w:val="clear" w:color="auto" w:fill="FFFFFF"/>
              <w:spacing w:line="240" w:lineRule="auto"/>
              <w:ind w:left="34"/>
              <w:rPr>
                <w:rFonts w:ascii="Times New Roman" w:hAnsi="Times New Roman" w:cs="Times New Roman"/>
                <w:lang w:val="sk-SK"/>
              </w:rPr>
            </w:pPr>
            <w:r w:rsidRPr="003F71D2">
              <w:rPr>
                <w:rFonts w:ascii="Times New Roman" w:hAnsi="Times New Roman" w:cs="Times New Roman"/>
                <w:lang w:val="sk-SK"/>
              </w:rPr>
              <w:t>Hodnota p</w:t>
            </w:r>
          </w:p>
        </w:tc>
        <w:tc>
          <w:tcPr>
            <w:tcW w:w="2285" w:type="dxa"/>
            <w:gridSpan w:val="2"/>
            <w:tcBorders>
              <w:top w:val="single" w:sz="4" w:space="0" w:color="auto"/>
              <w:left w:val="single" w:sz="4" w:space="0" w:color="auto"/>
              <w:bottom w:val="single" w:sz="4" w:space="0" w:color="auto"/>
              <w:right w:val="single" w:sz="4" w:space="0" w:color="auto"/>
            </w:tcBorders>
          </w:tcPr>
          <w:p w14:paraId="48942B0A"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0.002</w:t>
            </w:r>
          </w:p>
        </w:tc>
        <w:tc>
          <w:tcPr>
            <w:tcW w:w="2220" w:type="dxa"/>
            <w:gridSpan w:val="2"/>
            <w:tcBorders>
              <w:top w:val="single" w:sz="4" w:space="0" w:color="auto"/>
              <w:left w:val="single" w:sz="4" w:space="0" w:color="auto"/>
              <w:bottom w:val="single" w:sz="4" w:space="0" w:color="auto"/>
              <w:right w:val="single" w:sz="4" w:space="0" w:color="auto"/>
            </w:tcBorders>
          </w:tcPr>
          <w:p w14:paraId="7743FDCA"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2949" w:type="dxa"/>
            <w:gridSpan w:val="3"/>
            <w:tcBorders>
              <w:top w:val="single" w:sz="4" w:space="0" w:color="auto"/>
              <w:left w:val="single" w:sz="4" w:space="0" w:color="auto"/>
              <w:bottom w:val="single" w:sz="4" w:space="0" w:color="auto"/>
              <w:right w:val="single" w:sz="4" w:space="0" w:color="auto"/>
            </w:tcBorders>
          </w:tcPr>
          <w:p w14:paraId="066C2273" w14:textId="77777777" w:rsidR="007E7CB3"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r>
    </w:tbl>
    <w:p w14:paraId="2687BC3B" w14:textId="359DFA64" w:rsidR="004B3130" w:rsidRPr="003F71D2" w:rsidRDefault="00DB3564" w:rsidP="003F71D2">
      <w:pPr>
        <w:pStyle w:val="Default"/>
        <w:rPr>
          <w:sz w:val="22"/>
          <w:szCs w:val="22"/>
          <w:lang w:val="sk-SK"/>
        </w:rPr>
      </w:pPr>
      <w:r w:rsidRPr="003F71D2">
        <w:rPr>
          <w:sz w:val="22"/>
          <w:szCs w:val="22"/>
          <w:lang w:val="sk-SK"/>
        </w:rPr>
        <w:t xml:space="preserve">* </w:t>
      </w:r>
      <w:r w:rsidR="00C5794C" w:rsidRPr="003F71D2">
        <w:rPr>
          <w:sz w:val="22"/>
          <w:szCs w:val="22"/>
          <w:lang w:val="sk-SK"/>
        </w:rPr>
        <w:t xml:space="preserve"> </w:t>
      </w:r>
      <w:r w:rsidR="00CD7BC4">
        <w:rPr>
          <w:sz w:val="22"/>
          <w:szCs w:val="22"/>
          <w:lang w:val="sk-SK"/>
        </w:rPr>
        <w:tab/>
      </w:r>
      <w:r w:rsidRPr="003F71D2">
        <w:rPr>
          <w:sz w:val="22"/>
          <w:szCs w:val="22"/>
          <w:lang w:val="sk-SK"/>
        </w:rPr>
        <w:t xml:space="preserve">Zahŕňa zlomeniny stavcov a iné zlomeniny </w:t>
      </w:r>
    </w:p>
    <w:p w14:paraId="404CFD93" w14:textId="089B8E19" w:rsidR="004B3130" w:rsidRPr="003F71D2" w:rsidRDefault="00DB3564" w:rsidP="00C63330">
      <w:pPr>
        <w:pStyle w:val="Default"/>
        <w:ind w:left="708" w:hanging="708"/>
        <w:rPr>
          <w:sz w:val="22"/>
          <w:szCs w:val="22"/>
          <w:lang w:val="sk-SK"/>
        </w:rPr>
      </w:pPr>
      <w:r w:rsidRPr="003F71D2">
        <w:rPr>
          <w:sz w:val="22"/>
          <w:szCs w:val="22"/>
          <w:lang w:val="sk-SK"/>
        </w:rPr>
        <w:t xml:space="preserve">** </w:t>
      </w:r>
      <w:r w:rsidR="00C5794C" w:rsidRPr="003F71D2">
        <w:rPr>
          <w:sz w:val="22"/>
          <w:szCs w:val="22"/>
          <w:lang w:val="sk-SK"/>
        </w:rPr>
        <w:t xml:space="preserve"> </w:t>
      </w:r>
      <w:r w:rsidR="00CD7BC4">
        <w:rPr>
          <w:sz w:val="22"/>
          <w:szCs w:val="22"/>
          <w:lang w:val="sk-SK"/>
        </w:rPr>
        <w:tab/>
      </w:r>
      <w:r w:rsidRPr="003F71D2">
        <w:rPr>
          <w:sz w:val="22"/>
          <w:szCs w:val="22"/>
          <w:lang w:val="sk-SK"/>
        </w:rPr>
        <w:t xml:space="preserve">Zohľadňuje všetky príhody súvisiace so skeletom, celkový počet ako aj čas do každej príhody počas klinického skúšania </w:t>
      </w:r>
    </w:p>
    <w:p w14:paraId="64A8B795" w14:textId="52A6F84C" w:rsidR="004B3130" w:rsidRPr="003F71D2" w:rsidRDefault="00DB3564" w:rsidP="003F71D2">
      <w:pPr>
        <w:pStyle w:val="Default"/>
        <w:rPr>
          <w:sz w:val="22"/>
          <w:szCs w:val="22"/>
          <w:lang w:val="sk-SK"/>
        </w:rPr>
      </w:pPr>
      <w:r w:rsidRPr="003F71D2">
        <w:rPr>
          <w:sz w:val="22"/>
          <w:szCs w:val="22"/>
          <w:lang w:val="sk-SK"/>
        </w:rPr>
        <w:t xml:space="preserve">NR </w:t>
      </w:r>
      <w:r w:rsidR="00CD7BC4">
        <w:rPr>
          <w:sz w:val="22"/>
          <w:szCs w:val="22"/>
          <w:lang w:val="sk-SK"/>
        </w:rPr>
        <w:tab/>
      </w:r>
      <w:r w:rsidRPr="003F71D2">
        <w:rPr>
          <w:sz w:val="22"/>
          <w:szCs w:val="22"/>
          <w:lang w:val="sk-SK"/>
        </w:rPr>
        <w:t xml:space="preserve">Nedosiahol sa </w:t>
      </w:r>
    </w:p>
    <w:p w14:paraId="764003EE" w14:textId="6A9063AF" w:rsidR="00A56DEF" w:rsidRPr="003F71D2" w:rsidRDefault="00DB3564" w:rsidP="003F71D2">
      <w:pPr>
        <w:pStyle w:val="Default"/>
        <w:rPr>
          <w:sz w:val="22"/>
          <w:szCs w:val="22"/>
          <w:lang w:val="sk-SK"/>
        </w:rPr>
      </w:pPr>
      <w:r w:rsidRPr="003F71D2">
        <w:rPr>
          <w:sz w:val="22"/>
          <w:szCs w:val="22"/>
          <w:lang w:val="sk-SK"/>
        </w:rPr>
        <w:t xml:space="preserve">NA </w:t>
      </w:r>
      <w:r w:rsidR="00CD7BC4">
        <w:rPr>
          <w:sz w:val="22"/>
          <w:szCs w:val="22"/>
          <w:lang w:val="sk-SK"/>
        </w:rPr>
        <w:tab/>
      </w:r>
      <w:r w:rsidRPr="003F71D2">
        <w:rPr>
          <w:sz w:val="22"/>
          <w:szCs w:val="22"/>
          <w:lang w:val="sk-SK"/>
        </w:rPr>
        <w:t xml:space="preserve">Neaplikovateľné </w:t>
      </w:r>
    </w:p>
    <w:p w14:paraId="0F599C53" w14:textId="77777777" w:rsidR="004B3130" w:rsidRPr="003F71D2" w:rsidRDefault="004B3130" w:rsidP="003F71D2">
      <w:pPr>
        <w:pStyle w:val="Default"/>
        <w:rPr>
          <w:sz w:val="22"/>
          <w:szCs w:val="22"/>
          <w:lang w:val="sk-SK"/>
        </w:rPr>
      </w:pPr>
    </w:p>
    <w:tbl>
      <w:tblPr>
        <w:tblW w:w="0" w:type="auto"/>
        <w:tblBorders>
          <w:top w:val="nil"/>
          <w:left w:val="nil"/>
          <w:bottom w:val="nil"/>
          <w:right w:val="nil"/>
        </w:tblBorders>
        <w:tblLook w:val="0000" w:firstRow="0" w:lastRow="0" w:firstColumn="0" w:lastColumn="0" w:noHBand="0" w:noVBand="0"/>
      </w:tblPr>
      <w:tblGrid>
        <w:gridCol w:w="2245"/>
        <w:gridCol w:w="1319"/>
        <w:gridCol w:w="998"/>
        <w:gridCol w:w="1283"/>
        <w:gridCol w:w="998"/>
        <w:gridCol w:w="1164"/>
        <w:gridCol w:w="1134"/>
      </w:tblGrid>
      <w:tr w:rsidR="004B3130" w:rsidRPr="003F71D2" w14:paraId="75FAB882" w14:textId="77777777">
        <w:trPr>
          <w:gridAfter w:val="1"/>
          <w:wAfter w:w="1134" w:type="dxa"/>
          <w:trHeight w:val="200"/>
        </w:trPr>
        <w:tc>
          <w:tcPr>
            <w:tcW w:w="0" w:type="auto"/>
            <w:gridSpan w:val="6"/>
          </w:tcPr>
          <w:p w14:paraId="68B5EF7B" w14:textId="77777777" w:rsidR="00E4189D" w:rsidRPr="003F71D2" w:rsidRDefault="00E4189D" w:rsidP="003F71D2">
            <w:pPr>
              <w:pStyle w:val="Default"/>
              <w:rPr>
                <w:b/>
                <w:bCs/>
                <w:sz w:val="22"/>
                <w:szCs w:val="22"/>
                <w:lang w:val="sk-SK"/>
              </w:rPr>
            </w:pPr>
          </w:p>
          <w:p w14:paraId="26B12C3C" w14:textId="77777777" w:rsidR="004B3130" w:rsidRPr="003F71D2" w:rsidRDefault="00DB3564" w:rsidP="003F71D2">
            <w:pPr>
              <w:pStyle w:val="Default"/>
              <w:rPr>
                <w:sz w:val="22"/>
                <w:szCs w:val="22"/>
                <w:lang w:val="sk-SK"/>
              </w:rPr>
            </w:pPr>
            <w:r w:rsidRPr="003F71D2">
              <w:rPr>
                <w:b/>
                <w:bCs/>
                <w:sz w:val="22"/>
                <w:szCs w:val="22"/>
                <w:lang w:val="sk-SK"/>
              </w:rPr>
              <w:t xml:space="preserve">Tabuľka 3: </w:t>
            </w:r>
            <w:r w:rsidRPr="003F71D2">
              <w:rPr>
                <w:sz w:val="22"/>
                <w:szCs w:val="22"/>
                <w:lang w:val="sk-SK"/>
              </w:rPr>
              <w:t xml:space="preserve">Výsledky účinnosti (solídne nádory okrem rakoviny prsníka alebo prostaty) </w:t>
            </w:r>
          </w:p>
        </w:tc>
      </w:tr>
      <w:tr w:rsidR="00A56DEF" w:rsidRPr="003F71D2" w14:paraId="0409F5BD" w14:textId="77777777">
        <w:trPr>
          <w:gridAfter w:val="1"/>
          <w:wAfter w:w="1134" w:type="dxa"/>
          <w:trHeight w:val="200"/>
        </w:trPr>
        <w:tc>
          <w:tcPr>
            <w:tcW w:w="0" w:type="auto"/>
            <w:gridSpan w:val="6"/>
          </w:tcPr>
          <w:p w14:paraId="281335F6" w14:textId="77777777" w:rsidR="00A56DEF" w:rsidRPr="003F71D2" w:rsidRDefault="00A56DEF" w:rsidP="003F71D2">
            <w:pPr>
              <w:pStyle w:val="Default"/>
              <w:rPr>
                <w:b/>
                <w:bCs/>
                <w:sz w:val="22"/>
                <w:szCs w:val="22"/>
                <w:lang w:val="sk-SK"/>
              </w:rPr>
            </w:pPr>
          </w:p>
        </w:tc>
      </w:tr>
      <w:tr w:rsidR="004B3130" w:rsidRPr="003F71D2" w14:paraId="3A9A6CF0"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523"/>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4C0F526F" w14:textId="77777777" w:rsidR="004B3130" w:rsidRPr="003F71D2" w:rsidRDefault="004B3130" w:rsidP="003F71D2">
            <w:pPr>
              <w:shd w:val="clear" w:color="auto" w:fill="FFFFFF"/>
              <w:spacing w:line="240" w:lineRule="auto"/>
              <w:rPr>
                <w:rFonts w:ascii="Times New Roman" w:hAnsi="Times New Roman" w:cs="Times New Roman"/>
                <w:lang w:val="sk-SK"/>
              </w:rPr>
            </w:pPr>
          </w:p>
        </w:tc>
        <w:tc>
          <w:tcPr>
            <w:tcW w:w="2304" w:type="dxa"/>
            <w:gridSpan w:val="2"/>
            <w:tcBorders>
              <w:top w:val="single" w:sz="6" w:space="0" w:color="auto"/>
              <w:left w:val="single" w:sz="6" w:space="0" w:color="auto"/>
              <w:bottom w:val="single" w:sz="6" w:space="0" w:color="auto"/>
              <w:right w:val="single" w:sz="6" w:space="0" w:color="auto"/>
            </w:tcBorders>
            <w:shd w:val="clear" w:color="auto" w:fill="FFFFFF"/>
          </w:tcPr>
          <w:p w14:paraId="02DA4C63"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Akákoľvek SRE (+ TIH)</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0BB12033"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zlomeniny*</w:t>
            </w:r>
          </w:p>
          <w:p w14:paraId="252CFAC8" w14:textId="77777777" w:rsidR="004B3130" w:rsidRPr="003F71D2" w:rsidRDefault="004B3130" w:rsidP="00C63330">
            <w:pPr>
              <w:shd w:val="clear" w:color="auto" w:fill="FFFFFF"/>
              <w:spacing w:line="240" w:lineRule="auto"/>
              <w:jc w:val="center"/>
              <w:rPr>
                <w:rFonts w:ascii="Times New Roman" w:hAnsi="Times New Roman" w:cs="Times New Roman"/>
                <w:lang w:val="sk-SK"/>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499D823E" w14:textId="043C0D40" w:rsidR="004B3130" w:rsidRPr="003F71D2" w:rsidRDefault="00DB3564" w:rsidP="00C63330">
            <w:pPr>
              <w:pStyle w:val="Default"/>
              <w:jc w:val="center"/>
              <w:rPr>
                <w:sz w:val="22"/>
                <w:szCs w:val="22"/>
                <w:lang w:val="sk-SK"/>
              </w:rPr>
            </w:pPr>
            <w:r w:rsidRPr="003F71D2">
              <w:rPr>
                <w:sz w:val="22"/>
                <w:szCs w:val="22"/>
                <w:lang w:val="sk-SK"/>
              </w:rPr>
              <w:t>Rádioterapia kostí</w:t>
            </w:r>
          </w:p>
        </w:tc>
      </w:tr>
      <w:tr w:rsidR="004B3130" w:rsidRPr="003F71D2" w14:paraId="37205621"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1091"/>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5151FE44" w14:textId="77777777" w:rsidR="004B3130" w:rsidRPr="003F71D2" w:rsidRDefault="004B3130" w:rsidP="003F71D2">
            <w:pPr>
              <w:shd w:val="clear" w:color="auto" w:fill="FFFFFF"/>
              <w:spacing w:line="240" w:lineRule="auto"/>
              <w:rPr>
                <w:rFonts w:ascii="Times New Roman" w:hAnsi="Times New Roman" w:cs="Times New Roman"/>
                <w:lang w:val="sk-SK"/>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14:paraId="519450B1"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4 mg</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1E875E9"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3"/>
                <w:lang w:val="sk-SK"/>
              </w:rPr>
              <w:t>Placebo</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E003CCC"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4 mg</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A2906B9"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3"/>
                <w:lang w:val="sk-SK"/>
              </w:rPr>
              <w:t>Placebo</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2F3ABEA"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4 mg</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9171F80"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3"/>
                <w:lang w:val="sk-SK"/>
              </w:rPr>
              <w:t>Placebo</w:t>
            </w:r>
          </w:p>
        </w:tc>
      </w:tr>
      <w:tr w:rsidR="004B3130" w:rsidRPr="003F71D2" w14:paraId="0FD213F0"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69"/>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6E9507A7" w14:textId="77777777" w:rsidR="004B3130"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N</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14:paraId="66537F70"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257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4CC993"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8DDD6BC"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257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183A4F8"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25C7A31"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0C850D7"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250</w:t>
            </w:r>
          </w:p>
        </w:tc>
      </w:tr>
      <w:tr w:rsidR="004B3130" w:rsidRPr="003F71D2" w14:paraId="04352106"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514"/>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0953A1C7" w14:textId="77777777" w:rsidR="004B3130"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Podiel pacientov s SRE (%)</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14:paraId="6871FC9F"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7F55BD7"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48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AD13F85"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87E80E5"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823B824"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5C2CF2"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34</w:t>
            </w:r>
          </w:p>
        </w:tc>
      </w:tr>
      <w:tr w:rsidR="004B3130" w:rsidRPr="003F71D2" w14:paraId="325BE29B"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59"/>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0540A63F" w14:textId="77777777" w:rsidR="004B3130"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tcBorders>
              <w:top w:val="single" w:sz="6" w:space="0" w:color="auto"/>
              <w:left w:val="single" w:sz="6" w:space="0" w:color="auto"/>
              <w:bottom w:val="single" w:sz="6" w:space="0" w:color="auto"/>
              <w:right w:val="single" w:sz="6" w:space="0" w:color="auto"/>
            </w:tcBorders>
            <w:shd w:val="clear" w:color="auto" w:fill="FFFFFF"/>
          </w:tcPr>
          <w:p w14:paraId="1C3661CE"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0,039</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6D52E809" w14:textId="17EB7E31"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0,064</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209C970F"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0,173</w:t>
            </w:r>
          </w:p>
        </w:tc>
      </w:tr>
      <w:tr w:rsidR="004B3130" w:rsidRPr="003F71D2" w14:paraId="21604EE1"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523"/>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0A112B14" w14:textId="77777777" w:rsidR="004B3130"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Medián času do SRE (dni)</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14:paraId="4FAE5EC7"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76E131"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EA9FA08"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9E9C7AC"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9DBEE4"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424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6B10D84"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307</w:t>
            </w:r>
          </w:p>
        </w:tc>
      </w:tr>
      <w:tr w:rsidR="004B3130" w:rsidRPr="003F71D2" w14:paraId="4FB388D0"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64"/>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06BEE3FC" w14:textId="77777777" w:rsidR="004B3130"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tcBorders>
              <w:top w:val="single" w:sz="6" w:space="0" w:color="auto"/>
              <w:left w:val="single" w:sz="6" w:space="0" w:color="auto"/>
              <w:bottom w:val="single" w:sz="6" w:space="0" w:color="auto"/>
              <w:right w:val="single" w:sz="6" w:space="0" w:color="auto"/>
            </w:tcBorders>
            <w:shd w:val="clear" w:color="auto" w:fill="FFFFFF"/>
          </w:tcPr>
          <w:p w14:paraId="643CF0A5"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0,009</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10E8C954"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0,020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4D8057C2" w14:textId="4054E402"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0,079</w:t>
            </w:r>
          </w:p>
        </w:tc>
      </w:tr>
      <w:tr w:rsidR="004B3130" w:rsidRPr="003F71D2" w14:paraId="498A2A52"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514"/>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35947D83" w14:textId="77777777" w:rsidR="004B3130"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spacing w:val="-2"/>
                <w:lang w:val="sk-SK"/>
              </w:rPr>
              <w:t>Miera morbidity skeletu</w:t>
            </w:r>
          </w:p>
        </w:tc>
        <w:tc>
          <w:tcPr>
            <w:tcW w:w="1312" w:type="dxa"/>
            <w:tcBorders>
              <w:top w:val="single" w:sz="6" w:space="0" w:color="auto"/>
              <w:left w:val="single" w:sz="6" w:space="0" w:color="auto"/>
              <w:bottom w:val="single" w:sz="6" w:space="0" w:color="auto"/>
              <w:right w:val="single" w:sz="6" w:space="0" w:color="auto"/>
            </w:tcBorders>
            <w:shd w:val="clear" w:color="auto" w:fill="FFFFFF"/>
          </w:tcPr>
          <w:p w14:paraId="1C9FDE4A"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1,74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C1F6C3D"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C883236"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0,39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FFAF11F"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901123F"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925C883"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1,89</w:t>
            </w:r>
          </w:p>
        </w:tc>
      </w:tr>
      <w:tr w:rsidR="004B3130" w:rsidRPr="003F71D2" w14:paraId="6BC7953B" w14:textId="77777777" w:rsidTr="00DA395B">
        <w:tblPrEx>
          <w:tblBorders>
            <w:top w:val="none" w:sz="0" w:space="0" w:color="auto"/>
            <w:left w:val="none" w:sz="0" w:space="0" w:color="auto"/>
            <w:bottom w:val="none" w:sz="0" w:space="0" w:color="auto"/>
            <w:right w:val="none" w:sz="0" w:space="0" w:color="auto"/>
          </w:tblBorders>
          <w:tblCellMar>
            <w:left w:w="40" w:type="dxa"/>
            <w:right w:w="40" w:type="dxa"/>
          </w:tblCellMar>
        </w:tblPrEx>
        <w:trPr>
          <w:trHeight w:hRule="exact" w:val="264"/>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548678BC" w14:textId="77777777" w:rsidR="004B3130"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tcBorders>
              <w:top w:val="single" w:sz="6" w:space="0" w:color="auto"/>
              <w:left w:val="single" w:sz="6" w:space="0" w:color="auto"/>
              <w:bottom w:val="single" w:sz="6" w:space="0" w:color="auto"/>
              <w:right w:val="single" w:sz="6" w:space="0" w:color="auto"/>
            </w:tcBorders>
            <w:shd w:val="clear" w:color="auto" w:fill="FFFFFF"/>
          </w:tcPr>
          <w:p w14:paraId="45D2A22F"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0,012</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3CA4AF67"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0,066</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14:paraId="14E9E374"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0,099</w:t>
            </w:r>
          </w:p>
        </w:tc>
      </w:tr>
      <w:tr w:rsidR="004B3130" w:rsidRPr="003F71D2" w14:paraId="0A5FF6FF" w14:textId="77777777" w:rsidTr="00C63330">
        <w:trPr>
          <w:trHeight w:hRule="exact" w:val="879"/>
        </w:trPr>
        <w:tc>
          <w:tcPr>
            <w:tcW w:w="2232" w:type="dxa"/>
            <w:tcBorders>
              <w:top w:val="single" w:sz="6" w:space="0" w:color="auto"/>
              <w:left w:val="single" w:sz="4" w:space="0" w:color="auto"/>
              <w:bottom w:val="single" w:sz="4" w:space="0" w:color="auto"/>
              <w:right w:val="single" w:sz="4" w:space="0" w:color="auto"/>
            </w:tcBorders>
          </w:tcPr>
          <w:p w14:paraId="62B4EC32" w14:textId="77777777" w:rsidR="004B3130"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Zníženie rizika utrpieť viacpočetné príhody** (%)</w:t>
            </w:r>
          </w:p>
        </w:tc>
        <w:tc>
          <w:tcPr>
            <w:tcW w:w="1312" w:type="dxa"/>
            <w:tcBorders>
              <w:top w:val="single" w:sz="4" w:space="0" w:color="auto"/>
              <w:left w:val="single" w:sz="4" w:space="0" w:color="auto"/>
              <w:bottom w:val="single" w:sz="4" w:space="0" w:color="auto"/>
              <w:right w:val="single" w:sz="4" w:space="0" w:color="auto"/>
            </w:tcBorders>
          </w:tcPr>
          <w:p w14:paraId="51D62C6E"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30,7</w:t>
            </w:r>
          </w:p>
        </w:tc>
        <w:tc>
          <w:tcPr>
            <w:tcW w:w="992" w:type="dxa"/>
            <w:tcBorders>
              <w:top w:val="single" w:sz="4" w:space="0" w:color="auto"/>
              <w:left w:val="single" w:sz="4" w:space="0" w:color="auto"/>
              <w:bottom w:val="single" w:sz="4" w:space="0" w:color="auto"/>
              <w:right w:val="single" w:sz="4" w:space="0" w:color="auto"/>
            </w:tcBorders>
          </w:tcPr>
          <w:p w14:paraId="207351E1" w14:textId="77777777" w:rsidR="004B3130" w:rsidRPr="003F71D2" w:rsidRDefault="004B3130" w:rsidP="00C63330">
            <w:pPr>
              <w:shd w:val="clear" w:color="auto" w:fill="FFFFFF"/>
              <w:spacing w:line="240" w:lineRule="auto"/>
              <w:jc w:val="center"/>
              <w:rPr>
                <w:rFonts w:ascii="Times New Roman" w:hAnsi="Times New Roman" w:cs="Times New Roman"/>
                <w:lang w:val="sk-SK"/>
              </w:rPr>
            </w:pPr>
          </w:p>
        </w:tc>
        <w:tc>
          <w:tcPr>
            <w:tcW w:w="1276" w:type="dxa"/>
            <w:tcBorders>
              <w:top w:val="single" w:sz="4" w:space="0" w:color="auto"/>
              <w:left w:val="single" w:sz="4" w:space="0" w:color="auto"/>
              <w:bottom w:val="single" w:sz="4" w:space="0" w:color="auto"/>
              <w:right w:val="single" w:sz="4" w:space="0" w:color="auto"/>
            </w:tcBorders>
          </w:tcPr>
          <w:p w14:paraId="0318D705"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992" w:type="dxa"/>
            <w:tcBorders>
              <w:top w:val="single" w:sz="4" w:space="0" w:color="auto"/>
              <w:left w:val="single" w:sz="4" w:space="0" w:color="auto"/>
              <w:bottom w:val="single" w:sz="4" w:space="0" w:color="auto"/>
              <w:right w:val="single" w:sz="4" w:space="0" w:color="auto"/>
            </w:tcBorders>
          </w:tcPr>
          <w:p w14:paraId="6AFD89B8"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1134" w:type="dxa"/>
            <w:tcBorders>
              <w:top w:val="single" w:sz="4" w:space="0" w:color="auto"/>
              <w:left w:val="single" w:sz="4" w:space="0" w:color="auto"/>
              <w:bottom w:val="single" w:sz="4" w:space="0" w:color="auto"/>
              <w:right w:val="single" w:sz="4" w:space="0" w:color="auto"/>
            </w:tcBorders>
          </w:tcPr>
          <w:p w14:paraId="1B994CD0"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1134" w:type="dxa"/>
            <w:tcBorders>
              <w:top w:val="single" w:sz="4" w:space="0" w:color="auto"/>
              <w:left w:val="single" w:sz="4" w:space="0" w:color="auto"/>
              <w:bottom w:val="single" w:sz="4" w:space="0" w:color="auto"/>
              <w:right w:val="single" w:sz="4" w:space="0" w:color="auto"/>
            </w:tcBorders>
          </w:tcPr>
          <w:p w14:paraId="6324806E"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r>
      <w:tr w:rsidR="004B3130" w:rsidRPr="003F71D2" w14:paraId="0063377F" w14:textId="77777777" w:rsidTr="00DA395B">
        <w:tblPrEx>
          <w:tblBorders>
            <w:top w:val="none" w:sz="0" w:space="0" w:color="auto"/>
            <w:left w:val="none" w:sz="0" w:space="0" w:color="auto"/>
            <w:bottom w:val="none" w:sz="0" w:space="0" w:color="auto"/>
            <w:right w:val="none" w:sz="0" w:space="0" w:color="auto"/>
          </w:tblBorders>
        </w:tblPrEx>
        <w:trPr>
          <w:trHeight w:hRule="exact" w:val="264"/>
        </w:trPr>
        <w:tc>
          <w:tcPr>
            <w:tcW w:w="2232" w:type="dxa"/>
            <w:tcBorders>
              <w:top w:val="single" w:sz="4" w:space="0" w:color="auto"/>
              <w:left w:val="single" w:sz="4" w:space="0" w:color="auto"/>
              <w:bottom w:val="single" w:sz="4" w:space="0" w:color="auto"/>
              <w:right w:val="single" w:sz="4" w:space="0" w:color="auto"/>
            </w:tcBorders>
          </w:tcPr>
          <w:p w14:paraId="1E9351DB" w14:textId="77777777" w:rsidR="004B3130"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tcBorders>
              <w:top w:val="single" w:sz="4" w:space="0" w:color="auto"/>
              <w:left w:val="single" w:sz="4" w:space="0" w:color="auto"/>
              <w:bottom w:val="single" w:sz="4" w:space="0" w:color="auto"/>
              <w:right w:val="single" w:sz="4" w:space="0" w:color="auto"/>
            </w:tcBorders>
          </w:tcPr>
          <w:p w14:paraId="14B80166"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0,.003</w:t>
            </w:r>
          </w:p>
        </w:tc>
        <w:tc>
          <w:tcPr>
            <w:tcW w:w="2268" w:type="dxa"/>
            <w:gridSpan w:val="2"/>
            <w:tcBorders>
              <w:top w:val="single" w:sz="4" w:space="0" w:color="auto"/>
              <w:left w:val="single" w:sz="4" w:space="0" w:color="auto"/>
              <w:bottom w:val="single" w:sz="4" w:space="0" w:color="auto"/>
              <w:right w:val="single" w:sz="4" w:space="0" w:color="auto"/>
            </w:tcBorders>
          </w:tcPr>
          <w:p w14:paraId="721A5A6D"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2268" w:type="dxa"/>
            <w:gridSpan w:val="2"/>
            <w:tcBorders>
              <w:top w:val="single" w:sz="4" w:space="0" w:color="auto"/>
              <w:left w:val="single" w:sz="4" w:space="0" w:color="auto"/>
              <w:bottom w:val="single" w:sz="4" w:space="0" w:color="auto"/>
              <w:right w:val="single" w:sz="4" w:space="0" w:color="auto"/>
            </w:tcBorders>
          </w:tcPr>
          <w:p w14:paraId="780C0686" w14:textId="77777777" w:rsidR="004B3130"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r>
    </w:tbl>
    <w:p w14:paraId="7954BD81" w14:textId="0ED4F831" w:rsidR="00DA395B" w:rsidRPr="003F71D2" w:rsidRDefault="00DB3564" w:rsidP="003F71D2">
      <w:pPr>
        <w:pStyle w:val="Default"/>
        <w:rPr>
          <w:sz w:val="22"/>
          <w:szCs w:val="22"/>
          <w:lang w:val="sk-SK"/>
        </w:rPr>
      </w:pPr>
      <w:r w:rsidRPr="003F71D2">
        <w:rPr>
          <w:sz w:val="22"/>
          <w:szCs w:val="22"/>
          <w:lang w:val="sk-SK"/>
        </w:rPr>
        <w:t xml:space="preserve">* </w:t>
      </w:r>
      <w:r w:rsidR="004C2195">
        <w:rPr>
          <w:sz w:val="22"/>
          <w:szCs w:val="22"/>
          <w:lang w:val="sk-SK"/>
        </w:rPr>
        <w:tab/>
      </w:r>
      <w:r w:rsidRPr="003F71D2">
        <w:rPr>
          <w:sz w:val="22"/>
          <w:szCs w:val="22"/>
          <w:lang w:val="sk-SK"/>
        </w:rPr>
        <w:t xml:space="preserve">Zahŕňa zlomeniny stavcov a iné zlomeniny </w:t>
      </w:r>
    </w:p>
    <w:p w14:paraId="42F6EAD0" w14:textId="1B421C29" w:rsidR="00DA395B" w:rsidRPr="003F71D2" w:rsidRDefault="00DB3564" w:rsidP="00C63330">
      <w:pPr>
        <w:pStyle w:val="Default"/>
        <w:ind w:left="708" w:hanging="708"/>
        <w:rPr>
          <w:sz w:val="22"/>
          <w:szCs w:val="22"/>
          <w:lang w:val="sk-SK"/>
        </w:rPr>
      </w:pPr>
      <w:r w:rsidRPr="003F71D2">
        <w:rPr>
          <w:sz w:val="22"/>
          <w:szCs w:val="22"/>
          <w:lang w:val="sk-SK"/>
        </w:rPr>
        <w:t xml:space="preserve">** </w:t>
      </w:r>
      <w:r w:rsidR="004C2195">
        <w:rPr>
          <w:sz w:val="22"/>
          <w:szCs w:val="22"/>
          <w:lang w:val="sk-SK"/>
        </w:rPr>
        <w:tab/>
      </w:r>
      <w:r w:rsidRPr="003F71D2">
        <w:rPr>
          <w:sz w:val="22"/>
          <w:szCs w:val="22"/>
          <w:lang w:val="sk-SK"/>
        </w:rPr>
        <w:t xml:space="preserve">Zohľadňuje všetky príhody súvisiace so skeletom, celkový počet ako aj čas do každej príhody počas klinického skúšania </w:t>
      </w:r>
    </w:p>
    <w:p w14:paraId="159AF379" w14:textId="523F18C0" w:rsidR="00DA395B" w:rsidRPr="003F71D2" w:rsidRDefault="00DB3564" w:rsidP="003F71D2">
      <w:pPr>
        <w:pStyle w:val="Default"/>
        <w:rPr>
          <w:sz w:val="22"/>
          <w:szCs w:val="22"/>
          <w:lang w:val="sk-SK"/>
        </w:rPr>
      </w:pPr>
      <w:r w:rsidRPr="003F71D2">
        <w:rPr>
          <w:sz w:val="22"/>
          <w:szCs w:val="22"/>
          <w:lang w:val="sk-SK"/>
        </w:rPr>
        <w:t xml:space="preserve">NR </w:t>
      </w:r>
      <w:r w:rsidR="004C2195">
        <w:rPr>
          <w:sz w:val="22"/>
          <w:szCs w:val="22"/>
          <w:lang w:val="sk-SK"/>
        </w:rPr>
        <w:tab/>
      </w:r>
      <w:r w:rsidRPr="003F71D2">
        <w:rPr>
          <w:sz w:val="22"/>
          <w:szCs w:val="22"/>
          <w:lang w:val="sk-SK"/>
        </w:rPr>
        <w:t xml:space="preserve">Nedosiahol sa </w:t>
      </w:r>
    </w:p>
    <w:p w14:paraId="747B2E7D" w14:textId="59A55F01" w:rsidR="00ED0EE7" w:rsidRPr="003F71D2" w:rsidRDefault="00DB3564" w:rsidP="003F71D2">
      <w:pPr>
        <w:pStyle w:val="Default"/>
        <w:rPr>
          <w:sz w:val="22"/>
          <w:szCs w:val="22"/>
          <w:lang w:val="sk-SK"/>
        </w:rPr>
      </w:pPr>
      <w:r w:rsidRPr="003F71D2">
        <w:rPr>
          <w:sz w:val="22"/>
          <w:szCs w:val="22"/>
          <w:lang w:val="sk-SK"/>
        </w:rPr>
        <w:t xml:space="preserve">NA </w:t>
      </w:r>
      <w:r w:rsidR="004C2195">
        <w:rPr>
          <w:sz w:val="22"/>
          <w:szCs w:val="22"/>
          <w:lang w:val="sk-SK"/>
        </w:rPr>
        <w:tab/>
      </w:r>
      <w:r w:rsidRPr="003F71D2">
        <w:rPr>
          <w:sz w:val="22"/>
          <w:szCs w:val="22"/>
          <w:lang w:val="sk-SK"/>
        </w:rPr>
        <w:t xml:space="preserve">Neaplikovateľné </w:t>
      </w:r>
    </w:p>
    <w:p w14:paraId="34B360D4" w14:textId="77777777" w:rsidR="002C38F4" w:rsidRPr="003F71D2" w:rsidRDefault="002C38F4" w:rsidP="003F71D2">
      <w:pPr>
        <w:pStyle w:val="Default"/>
        <w:rPr>
          <w:sz w:val="22"/>
          <w:szCs w:val="22"/>
          <w:lang w:val="sk-SK"/>
        </w:rPr>
      </w:pPr>
    </w:p>
    <w:p w14:paraId="563AD668" w14:textId="26D27C0A" w:rsidR="002C38F4" w:rsidRPr="003F71D2" w:rsidRDefault="00DB3564" w:rsidP="003F71D2">
      <w:pPr>
        <w:pStyle w:val="Default"/>
        <w:rPr>
          <w:sz w:val="22"/>
          <w:szCs w:val="22"/>
          <w:lang w:val="sk-SK"/>
        </w:rPr>
      </w:pPr>
      <w:r w:rsidRPr="003F71D2">
        <w:rPr>
          <w:sz w:val="22"/>
          <w:szCs w:val="22"/>
          <w:lang w:val="sk-SK"/>
        </w:rPr>
        <w:t>V treťom randomizovanom, dvojito z</w:t>
      </w:r>
      <w:r w:rsidR="00C27390" w:rsidRPr="003F71D2">
        <w:rPr>
          <w:sz w:val="22"/>
          <w:szCs w:val="22"/>
          <w:lang w:val="sk-SK"/>
        </w:rPr>
        <w:t>a</w:t>
      </w:r>
      <w:r w:rsidRPr="003F71D2">
        <w:rPr>
          <w:sz w:val="22"/>
          <w:szCs w:val="22"/>
          <w:lang w:val="sk-SK"/>
        </w:rPr>
        <w:t xml:space="preserve">slepenom klinickom skúšaní fázy III sa porovnávala kyselina zoledrónová 4 mg a pamidronát 90 mg každé 3 až 4 týždne u pacientok s mnohopočetným myelómom alebo rakovinou prsníka a aspoň jednou léziou kosti. Výsledky ukázali, že kyselina zoledrónová v dávke 4 mg vykazuje porovnateľnú účinnosť s 90 mg pamidronátu pri prevencii SRE. Analýza viacpočetných príhod ukázala významné zníženie rizika vzniku SRE o 16 % u pacientok liečených 4 mg kyseliny </w:t>
      </w:r>
      <w:r w:rsidRPr="003F71D2">
        <w:rPr>
          <w:sz w:val="22"/>
          <w:szCs w:val="22"/>
          <w:lang w:val="sk-SK"/>
        </w:rPr>
        <w:lastRenderedPageBreak/>
        <w:t>zoledrónovej v porovnaní s pacientkami, ktorí dostávali pamidronát. Výsledky účinnosti sú uvedené v Tabuľke 4.</w:t>
      </w:r>
    </w:p>
    <w:tbl>
      <w:tblPr>
        <w:tblW w:w="0" w:type="auto"/>
        <w:tblBorders>
          <w:top w:val="nil"/>
          <w:left w:val="nil"/>
          <w:bottom w:val="nil"/>
          <w:right w:val="nil"/>
        </w:tblBorders>
        <w:tblLook w:val="0000" w:firstRow="0" w:lastRow="0" w:firstColumn="0" w:lastColumn="0" w:noHBand="0" w:noVBand="0"/>
      </w:tblPr>
      <w:tblGrid>
        <w:gridCol w:w="8642"/>
      </w:tblGrid>
      <w:tr w:rsidR="00E80732" w:rsidRPr="003F71D2" w14:paraId="5E13BF18" w14:textId="77777777">
        <w:trPr>
          <w:trHeight w:val="200"/>
        </w:trPr>
        <w:tc>
          <w:tcPr>
            <w:tcW w:w="0" w:type="auto"/>
          </w:tcPr>
          <w:p w14:paraId="5D59E822" w14:textId="77777777" w:rsidR="00E4189D" w:rsidRPr="003F71D2" w:rsidRDefault="00E4189D" w:rsidP="003F71D2">
            <w:pPr>
              <w:pStyle w:val="Default"/>
              <w:rPr>
                <w:b/>
                <w:bCs/>
                <w:sz w:val="22"/>
                <w:szCs w:val="22"/>
                <w:lang w:val="sk-SK"/>
              </w:rPr>
            </w:pPr>
          </w:p>
          <w:p w14:paraId="5D2B3817" w14:textId="77777777" w:rsidR="00E80732" w:rsidRPr="003F71D2" w:rsidRDefault="00DB3564" w:rsidP="003F71D2">
            <w:pPr>
              <w:pStyle w:val="Default"/>
              <w:rPr>
                <w:sz w:val="22"/>
                <w:szCs w:val="22"/>
                <w:lang w:val="sk-SK"/>
              </w:rPr>
            </w:pPr>
            <w:r w:rsidRPr="003F71D2">
              <w:rPr>
                <w:b/>
                <w:bCs/>
                <w:sz w:val="22"/>
                <w:szCs w:val="22"/>
                <w:lang w:val="sk-SK"/>
              </w:rPr>
              <w:t xml:space="preserve">Tabuľka 4: </w:t>
            </w:r>
            <w:r w:rsidRPr="003F71D2">
              <w:rPr>
                <w:sz w:val="22"/>
                <w:szCs w:val="22"/>
                <w:lang w:val="sk-SK"/>
              </w:rPr>
              <w:t xml:space="preserve">Výsledky účinnosti (pacientky s mnohopočetným myelómom a rakovinou prsníka) </w:t>
            </w:r>
          </w:p>
        </w:tc>
      </w:tr>
    </w:tbl>
    <w:p w14:paraId="3696D569" w14:textId="77777777" w:rsidR="00E80732" w:rsidRPr="003F71D2" w:rsidRDefault="00E80732" w:rsidP="003F71D2">
      <w:pPr>
        <w:pStyle w:val="Default"/>
        <w:rPr>
          <w:sz w:val="22"/>
          <w:szCs w:val="22"/>
          <w:lang w:val="sk-SK"/>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32"/>
        <w:gridCol w:w="1409"/>
        <w:gridCol w:w="895"/>
        <w:gridCol w:w="1373"/>
        <w:gridCol w:w="895"/>
        <w:gridCol w:w="1373"/>
        <w:gridCol w:w="895"/>
      </w:tblGrid>
      <w:tr w:rsidR="00E80732" w:rsidRPr="003F71D2" w14:paraId="7F3672C5" w14:textId="77777777" w:rsidTr="00824734">
        <w:trPr>
          <w:trHeight w:hRule="exact" w:val="523"/>
        </w:trPr>
        <w:tc>
          <w:tcPr>
            <w:tcW w:w="2232" w:type="dxa"/>
            <w:shd w:val="clear" w:color="auto" w:fill="FFFFFF"/>
          </w:tcPr>
          <w:p w14:paraId="5385E0E1" w14:textId="77777777" w:rsidR="00E80732" w:rsidRPr="003F71D2" w:rsidRDefault="00E80732" w:rsidP="003F71D2">
            <w:pPr>
              <w:shd w:val="clear" w:color="auto" w:fill="FFFFFF"/>
              <w:spacing w:line="240" w:lineRule="auto"/>
              <w:rPr>
                <w:rFonts w:ascii="Times New Roman" w:hAnsi="Times New Roman" w:cs="Times New Roman"/>
                <w:lang w:val="sk-SK"/>
              </w:rPr>
            </w:pPr>
          </w:p>
        </w:tc>
        <w:tc>
          <w:tcPr>
            <w:tcW w:w="2304" w:type="dxa"/>
            <w:gridSpan w:val="2"/>
            <w:shd w:val="clear" w:color="auto" w:fill="FFFFFF"/>
          </w:tcPr>
          <w:p w14:paraId="5210F95E"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Akákoľvek SRE (+ TIH)</w:t>
            </w:r>
          </w:p>
        </w:tc>
        <w:tc>
          <w:tcPr>
            <w:tcW w:w="2268" w:type="dxa"/>
            <w:gridSpan w:val="2"/>
            <w:shd w:val="clear" w:color="auto" w:fill="FFFFFF"/>
          </w:tcPr>
          <w:p w14:paraId="703B7EFC"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zlomeniny*</w:t>
            </w:r>
          </w:p>
          <w:p w14:paraId="358382B5" w14:textId="77777777" w:rsidR="00E80732" w:rsidRPr="003F71D2" w:rsidRDefault="00E80732" w:rsidP="00C63330">
            <w:pPr>
              <w:shd w:val="clear" w:color="auto" w:fill="FFFFFF"/>
              <w:spacing w:line="240" w:lineRule="auto"/>
              <w:jc w:val="center"/>
              <w:rPr>
                <w:rFonts w:ascii="Times New Roman" w:hAnsi="Times New Roman" w:cs="Times New Roman"/>
                <w:lang w:val="sk-SK"/>
              </w:rPr>
            </w:pPr>
          </w:p>
        </w:tc>
        <w:tc>
          <w:tcPr>
            <w:tcW w:w="2268" w:type="dxa"/>
            <w:gridSpan w:val="2"/>
            <w:shd w:val="clear" w:color="auto" w:fill="FFFFFF"/>
          </w:tcPr>
          <w:p w14:paraId="113A28A8"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Rádioterapia kostí</w:t>
            </w:r>
          </w:p>
        </w:tc>
      </w:tr>
      <w:tr w:rsidR="00E80732" w:rsidRPr="003F71D2" w14:paraId="6F6DE8A3" w14:textId="77777777" w:rsidTr="00C63330">
        <w:trPr>
          <w:trHeight w:hRule="exact" w:val="909"/>
        </w:trPr>
        <w:tc>
          <w:tcPr>
            <w:tcW w:w="2232" w:type="dxa"/>
          </w:tcPr>
          <w:p w14:paraId="66DDE32E" w14:textId="77777777" w:rsidR="00E80732" w:rsidRPr="003F71D2" w:rsidRDefault="00E80732" w:rsidP="003F71D2">
            <w:pPr>
              <w:shd w:val="clear" w:color="auto" w:fill="FFFFFF"/>
              <w:spacing w:line="240" w:lineRule="auto"/>
              <w:rPr>
                <w:rFonts w:ascii="Times New Roman" w:hAnsi="Times New Roman" w:cs="Times New Roman"/>
                <w:lang w:val="sk-SK"/>
              </w:rPr>
            </w:pPr>
          </w:p>
        </w:tc>
        <w:tc>
          <w:tcPr>
            <w:tcW w:w="1409" w:type="dxa"/>
          </w:tcPr>
          <w:p w14:paraId="6961400A"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4 mg</w:t>
            </w:r>
          </w:p>
        </w:tc>
        <w:tc>
          <w:tcPr>
            <w:tcW w:w="895" w:type="dxa"/>
          </w:tcPr>
          <w:p w14:paraId="52E2A1CA"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spacing w:val="-4"/>
                <w:lang w:val="sk-SK"/>
              </w:rPr>
              <w:t>Pam 90 mg</w:t>
            </w:r>
          </w:p>
        </w:tc>
        <w:tc>
          <w:tcPr>
            <w:tcW w:w="1373" w:type="dxa"/>
          </w:tcPr>
          <w:p w14:paraId="5B659A46" w14:textId="39F8CBFE" w:rsidR="00E80732" w:rsidRPr="003F71D2" w:rsidRDefault="00DB3564" w:rsidP="00C63330">
            <w:pPr>
              <w:shd w:val="clear" w:color="auto" w:fill="FFFFFF"/>
              <w:spacing w:line="240" w:lineRule="auto"/>
              <w:ind w:right="-108"/>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w:t>
            </w:r>
            <w:r w:rsidR="00A35C6E">
              <w:rPr>
                <w:rFonts w:ascii="Times New Roman" w:hAnsi="Times New Roman" w:cs="Times New Roman"/>
                <w:lang w:val="sk-SK"/>
              </w:rPr>
              <w:br/>
            </w:r>
            <w:r w:rsidRPr="003F71D2">
              <w:rPr>
                <w:rFonts w:ascii="Times New Roman" w:hAnsi="Times New Roman" w:cs="Times New Roman"/>
                <w:lang w:val="sk-SK"/>
              </w:rPr>
              <w:t>4 mg</w:t>
            </w:r>
          </w:p>
        </w:tc>
        <w:tc>
          <w:tcPr>
            <w:tcW w:w="895" w:type="dxa"/>
          </w:tcPr>
          <w:p w14:paraId="63DC4BBD"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Pam 90 mg</w:t>
            </w:r>
          </w:p>
        </w:tc>
        <w:tc>
          <w:tcPr>
            <w:tcW w:w="1373" w:type="dxa"/>
          </w:tcPr>
          <w:p w14:paraId="15528979" w14:textId="0257413F" w:rsidR="00E80732" w:rsidRPr="003F71D2" w:rsidRDefault="00DB3564" w:rsidP="00C63330">
            <w:pPr>
              <w:shd w:val="clear" w:color="auto" w:fill="FFFFFF"/>
              <w:spacing w:line="240" w:lineRule="auto"/>
              <w:ind w:right="-108"/>
              <w:jc w:val="center"/>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w:t>
            </w:r>
            <w:r w:rsidR="00A35C6E">
              <w:rPr>
                <w:rFonts w:ascii="Times New Roman" w:hAnsi="Times New Roman" w:cs="Times New Roman"/>
                <w:lang w:val="sk-SK"/>
              </w:rPr>
              <w:br/>
            </w:r>
            <w:r w:rsidRPr="003F71D2">
              <w:rPr>
                <w:rFonts w:ascii="Times New Roman" w:hAnsi="Times New Roman" w:cs="Times New Roman"/>
                <w:lang w:val="sk-SK"/>
              </w:rPr>
              <w:t>4 mg</w:t>
            </w:r>
          </w:p>
        </w:tc>
        <w:tc>
          <w:tcPr>
            <w:tcW w:w="895" w:type="dxa"/>
          </w:tcPr>
          <w:p w14:paraId="1A70AB72"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Pam 90 mg</w:t>
            </w:r>
          </w:p>
        </w:tc>
      </w:tr>
      <w:tr w:rsidR="00E80732" w:rsidRPr="003F71D2" w14:paraId="6BB6F4CA" w14:textId="77777777" w:rsidTr="00C63330">
        <w:trPr>
          <w:trHeight w:hRule="exact" w:val="359"/>
        </w:trPr>
        <w:tc>
          <w:tcPr>
            <w:tcW w:w="2232" w:type="dxa"/>
          </w:tcPr>
          <w:p w14:paraId="6682A634" w14:textId="77777777" w:rsidR="00E80732"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N</w:t>
            </w:r>
          </w:p>
        </w:tc>
        <w:tc>
          <w:tcPr>
            <w:tcW w:w="1409" w:type="dxa"/>
          </w:tcPr>
          <w:p w14:paraId="3D2F15CC" w14:textId="77777777" w:rsidR="00E80732" w:rsidRPr="003F71D2" w:rsidRDefault="00DB3564" w:rsidP="00C63330">
            <w:pPr>
              <w:shd w:val="clear" w:color="auto" w:fill="FFFFFF"/>
              <w:spacing w:line="240" w:lineRule="auto"/>
              <w:jc w:val="center"/>
              <w:rPr>
                <w:rFonts w:ascii="Times New Roman" w:hAnsi="Times New Roman" w:cs="Times New Roman"/>
                <w:spacing w:val="-1"/>
                <w:lang w:val="sk-SK"/>
              </w:rPr>
            </w:pPr>
            <w:r w:rsidRPr="003F71D2">
              <w:rPr>
                <w:rFonts w:ascii="Times New Roman" w:hAnsi="Times New Roman" w:cs="Times New Roman"/>
                <w:lang w:val="sk-SK"/>
              </w:rPr>
              <w:t>561</w:t>
            </w:r>
          </w:p>
        </w:tc>
        <w:tc>
          <w:tcPr>
            <w:tcW w:w="895" w:type="dxa"/>
          </w:tcPr>
          <w:p w14:paraId="52640515" w14:textId="77777777" w:rsidR="00E80732" w:rsidRPr="003F71D2" w:rsidRDefault="00DB3564" w:rsidP="00C63330">
            <w:pPr>
              <w:shd w:val="clear" w:color="auto" w:fill="FFFFFF"/>
              <w:spacing w:line="240" w:lineRule="auto"/>
              <w:jc w:val="center"/>
              <w:rPr>
                <w:rFonts w:ascii="Times New Roman" w:hAnsi="Times New Roman" w:cs="Times New Roman"/>
                <w:spacing w:val="-4"/>
                <w:lang w:val="sk-SK"/>
              </w:rPr>
            </w:pPr>
            <w:r w:rsidRPr="003F71D2">
              <w:rPr>
                <w:rFonts w:ascii="Times New Roman" w:hAnsi="Times New Roman" w:cs="Times New Roman"/>
                <w:lang w:val="sk-SK"/>
              </w:rPr>
              <w:t>555</w:t>
            </w:r>
          </w:p>
        </w:tc>
        <w:tc>
          <w:tcPr>
            <w:tcW w:w="1373" w:type="dxa"/>
          </w:tcPr>
          <w:p w14:paraId="6223C587" w14:textId="77777777" w:rsidR="00E80732" w:rsidRPr="003F71D2" w:rsidRDefault="00DB3564" w:rsidP="00C63330">
            <w:pPr>
              <w:shd w:val="clear" w:color="auto" w:fill="FFFFFF"/>
              <w:spacing w:line="240" w:lineRule="auto"/>
              <w:ind w:right="-108"/>
              <w:jc w:val="center"/>
              <w:rPr>
                <w:rFonts w:ascii="Times New Roman" w:hAnsi="Times New Roman" w:cs="Times New Roman"/>
                <w:spacing w:val="-1"/>
                <w:lang w:val="sk-SK"/>
              </w:rPr>
            </w:pPr>
            <w:r w:rsidRPr="003F71D2">
              <w:rPr>
                <w:rFonts w:ascii="Times New Roman" w:hAnsi="Times New Roman" w:cs="Times New Roman"/>
                <w:lang w:val="sk-SK"/>
              </w:rPr>
              <w:t>561</w:t>
            </w:r>
          </w:p>
        </w:tc>
        <w:tc>
          <w:tcPr>
            <w:tcW w:w="895" w:type="dxa"/>
          </w:tcPr>
          <w:p w14:paraId="115DB026"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555</w:t>
            </w:r>
          </w:p>
        </w:tc>
        <w:tc>
          <w:tcPr>
            <w:tcW w:w="1373" w:type="dxa"/>
          </w:tcPr>
          <w:p w14:paraId="523B6F0E" w14:textId="77777777" w:rsidR="00E80732" w:rsidRPr="003F71D2" w:rsidRDefault="00DB3564" w:rsidP="00C63330">
            <w:pPr>
              <w:shd w:val="clear" w:color="auto" w:fill="FFFFFF"/>
              <w:spacing w:line="240" w:lineRule="auto"/>
              <w:ind w:right="-108"/>
              <w:jc w:val="center"/>
              <w:rPr>
                <w:rFonts w:ascii="Times New Roman" w:hAnsi="Times New Roman" w:cs="Times New Roman"/>
                <w:spacing w:val="-1"/>
                <w:lang w:val="sk-SK"/>
              </w:rPr>
            </w:pPr>
            <w:r w:rsidRPr="003F71D2">
              <w:rPr>
                <w:rFonts w:ascii="Times New Roman" w:hAnsi="Times New Roman" w:cs="Times New Roman"/>
                <w:lang w:val="sk-SK"/>
              </w:rPr>
              <w:t>561</w:t>
            </w:r>
          </w:p>
        </w:tc>
        <w:tc>
          <w:tcPr>
            <w:tcW w:w="895" w:type="dxa"/>
          </w:tcPr>
          <w:p w14:paraId="4D205057"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555</w:t>
            </w:r>
          </w:p>
        </w:tc>
      </w:tr>
      <w:tr w:rsidR="00E80732" w:rsidRPr="003F71D2" w14:paraId="30AF175A" w14:textId="77777777" w:rsidTr="00C63330">
        <w:trPr>
          <w:trHeight w:hRule="exact" w:val="514"/>
        </w:trPr>
        <w:tc>
          <w:tcPr>
            <w:tcW w:w="2232" w:type="dxa"/>
          </w:tcPr>
          <w:p w14:paraId="64D9EBC2" w14:textId="77777777" w:rsidR="00E80732"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Podiel pacientok s SRE (%)</w:t>
            </w:r>
          </w:p>
        </w:tc>
        <w:tc>
          <w:tcPr>
            <w:tcW w:w="1409" w:type="dxa"/>
          </w:tcPr>
          <w:p w14:paraId="17364D6B"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48</w:t>
            </w:r>
          </w:p>
        </w:tc>
        <w:tc>
          <w:tcPr>
            <w:tcW w:w="895" w:type="dxa"/>
          </w:tcPr>
          <w:p w14:paraId="1944B07B"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52</w:t>
            </w:r>
          </w:p>
        </w:tc>
        <w:tc>
          <w:tcPr>
            <w:tcW w:w="1373" w:type="dxa"/>
          </w:tcPr>
          <w:p w14:paraId="7B331168"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37</w:t>
            </w:r>
          </w:p>
        </w:tc>
        <w:tc>
          <w:tcPr>
            <w:tcW w:w="895" w:type="dxa"/>
          </w:tcPr>
          <w:p w14:paraId="712FC1DB"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39</w:t>
            </w:r>
          </w:p>
        </w:tc>
        <w:tc>
          <w:tcPr>
            <w:tcW w:w="1373" w:type="dxa"/>
          </w:tcPr>
          <w:p w14:paraId="502CF128"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19</w:t>
            </w:r>
          </w:p>
        </w:tc>
        <w:tc>
          <w:tcPr>
            <w:tcW w:w="895" w:type="dxa"/>
          </w:tcPr>
          <w:p w14:paraId="672C7C72"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24</w:t>
            </w:r>
          </w:p>
        </w:tc>
      </w:tr>
      <w:tr w:rsidR="00E80732" w:rsidRPr="003F71D2" w14:paraId="44D8652C" w14:textId="77777777" w:rsidTr="00824734">
        <w:trPr>
          <w:trHeight w:hRule="exact" w:val="259"/>
        </w:trPr>
        <w:tc>
          <w:tcPr>
            <w:tcW w:w="2232" w:type="dxa"/>
            <w:shd w:val="clear" w:color="auto" w:fill="FFFFFF"/>
          </w:tcPr>
          <w:p w14:paraId="481FADCA" w14:textId="77777777" w:rsidR="00E80732"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shd w:val="clear" w:color="auto" w:fill="FFFFFF"/>
          </w:tcPr>
          <w:p w14:paraId="025AECE9"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0,198</w:t>
            </w:r>
          </w:p>
        </w:tc>
        <w:tc>
          <w:tcPr>
            <w:tcW w:w="2268" w:type="dxa"/>
            <w:gridSpan w:val="2"/>
            <w:shd w:val="clear" w:color="auto" w:fill="FFFFFF"/>
          </w:tcPr>
          <w:p w14:paraId="753F67E7"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0,653</w:t>
            </w:r>
          </w:p>
        </w:tc>
        <w:tc>
          <w:tcPr>
            <w:tcW w:w="2268" w:type="dxa"/>
            <w:gridSpan w:val="2"/>
            <w:shd w:val="clear" w:color="auto" w:fill="FFFFFF"/>
          </w:tcPr>
          <w:p w14:paraId="1C821124"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0,037</w:t>
            </w:r>
          </w:p>
        </w:tc>
      </w:tr>
      <w:tr w:rsidR="00E80732" w:rsidRPr="003F71D2" w14:paraId="32C34FAA" w14:textId="77777777" w:rsidTr="00C63330">
        <w:trPr>
          <w:trHeight w:hRule="exact" w:val="523"/>
        </w:trPr>
        <w:tc>
          <w:tcPr>
            <w:tcW w:w="2232" w:type="dxa"/>
          </w:tcPr>
          <w:p w14:paraId="3CAE33AF" w14:textId="77777777" w:rsidR="00E80732"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Medián času do SRE (dni)</w:t>
            </w:r>
          </w:p>
        </w:tc>
        <w:tc>
          <w:tcPr>
            <w:tcW w:w="1409" w:type="dxa"/>
          </w:tcPr>
          <w:p w14:paraId="02018D3B"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376</w:t>
            </w:r>
          </w:p>
        </w:tc>
        <w:tc>
          <w:tcPr>
            <w:tcW w:w="895" w:type="dxa"/>
          </w:tcPr>
          <w:p w14:paraId="1093BCF2"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356</w:t>
            </w:r>
          </w:p>
        </w:tc>
        <w:tc>
          <w:tcPr>
            <w:tcW w:w="1373" w:type="dxa"/>
          </w:tcPr>
          <w:p w14:paraId="0EC43F59"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c>
          <w:tcPr>
            <w:tcW w:w="895" w:type="dxa"/>
          </w:tcPr>
          <w:p w14:paraId="19BF02FD"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714</w:t>
            </w:r>
          </w:p>
        </w:tc>
        <w:tc>
          <w:tcPr>
            <w:tcW w:w="1373" w:type="dxa"/>
          </w:tcPr>
          <w:p w14:paraId="4FE26C97"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c>
          <w:tcPr>
            <w:tcW w:w="895" w:type="dxa"/>
          </w:tcPr>
          <w:p w14:paraId="3C6CBE0A"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NR</w:t>
            </w:r>
          </w:p>
        </w:tc>
      </w:tr>
      <w:tr w:rsidR="00E80732" w:rsidRPr="003F71D2" w14:paraId="474D0EC4" w14:textId="77777777" w:rsidTr="00824734">
        <w:trPr>
          <w:trHeight w:hRule="exact" w:val="264"/>
        </w:trPr>
        <w:tc>
          <w:tcPr>
            <w:tcW w:w="2232" w:type="dxa"/>
            <w:shd w:val="clear" w:color="auto" w:fill="FFFFFF"/>
          </w:tcPr>
          <w:p w14:paraId="09D3F1EC" w14:textId="77777777" w:rsidR="00E80732"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shd w:val="clear" w:color="auto" w:fill="FFFFFF"/>
          </w:tcPr>
          <w:p w14:paraId="22F490F3"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0,151</w:t>
            </w:r>
          </w:p>
        </w:tc>
        <w:tc>
          <w:tcPr>
            <w:tcW w:w="2268" w:type="dxa"/>
            <w:gridSpan w:val="2"/>
            <w:shd w:val="clear" w:color="auto" w:fill="FFFFFF"/>
          </w:tcPr>
          <w:p w14:paraId="1B69862F"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0,672</w:t>
            </w:r>
          </w:p>
        </w:tc>
        <w:tc>
          <w:tcPr>
            <w:tcW w:w="2268" w:type="dxa"/>
            <w:gridSpan w:val="2"/>
            <w:shd w:val="clear" w:color="auto" w:fill="FFFFFF"/>
          </w:tcPr>
          <w:p w14:paraId="3A4D6CA0"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0,026</w:t>
            </w:r>
          </w:p>
        </w:tc>
      </w:tr>
      <w:tr w:rsidR="00E80732" w:rsidRPr="003F71D2" w14:paraId="0376DCA7" w14:textId="77777777" w:rsidTr="00C63330">
        <w:trPr>
          <w:trHeight w:hRule="exact" w:val="514"/>
        </w:trPr>
        <w:tc>
          <w:tcPr>
            <w:tcW w:w="2232" w:type="dxa"/>
            <w:shd w:val="clear" w:color="auto" w:fill="FFFFFF"/>
          </w:tcPr>
          <w:p w14:paraId="723C4A78" w14:textId="77777777" w:rsidR="00E80732"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spacing w:val="-2"/>
                <w:lang w:val="sk-SK"/>
              </w:rPr>
              <w:t>Miera morbidity skeletu</w:t>
            </w:r>
          </w:p>
        </w:tc>
        <w:tc>
          <w:tcPr>
            <w:tcW w:w="1409" w:type="dxa"/>
            <w:shd w:val="clear" w:color="auto" w:fill="FFFFFF"/>
          </w:tcPr>
          <w:p w14:paraId="0E01D28F"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1,04</w:t>
            </w:r>
          </w:p>
        </w:tc>
        <w:tc>
          <w:tcPr>
            <w:tcW w:w="895" w:type="dxa"/>
            <w:shd w:val="clear" w:color="auto" w:fill="FFFFFF"/>
          </w:tcPr>
          <w:p w14:paraId="76F78041"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1,39</w:t>
            </w:r>
          </w:p>
        </w:tc>
        <w:tc>
          <w:tcPr>
            <w:tcW w:w="1373" w:type="dxa"/>
            <w:shd w:val="clear" w:color="auto" w:fill="FFFFFF"/>
          </w:tcPr>
          <w:p w14:paraId="10002252"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0,53</w:t>
            </w:r>
          </w:p>
        </w:tc>
        <w:tc>
          <w:tcPr>
            <w:tcW w:w="895" w:type="dxa"/>
            <w:shd w:val="clear" w:color="auto" w:fill="FFFFFF"/>
          </w:tcPr>
          <w:p w14:paraId="70315C0F"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0,60</w:t>
            </w:r>
          </w:p>
        </w:tc>
        <w:tc>
          <w:tcPr>
            <w:tcW w:w="1373" w:type="dxa"/>
            <w:shd w:val="clear" w:color="auto" w:fill="FFFFFF"/>
          </w:tcPr>
          <w:p w14:paraId="30A59519"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0.47</w:t>
            </w:r>
          </w:p>
        </w:tc>
        <w:tc>
          <w:tcPr>
            <w:tcW w:w="895" w:type="dxa"/>
            <w:shd w:val="clear" w:color="auto" w:fill="FFFFFF"/>
          </w:tcPr>
          <w:p w14:paraId="5B55BE6A"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0,71</w:t>
            </w:r>
          </w:p>
        </w:tc>
      </w:tr>
      <w:tr w:rsidR="00E80732" w:rsidRPr="003F71D2" w14:paraId="1529DBF8" w14:textId="77777777" w:rsidTr="00824734">
        <w:trPr>
          <w:trHeight w:hRule="exact" w:val="264"/>
        </w:trPr>
        <w:tc>
          <w:tcPr>
            <w:tcW w:w="2232" w:type="dxa"/>
            <w:shd w:val="clear" w:color="auto" w:fill="FFFFFF"/>
          </w:tcPr>
          <w:p w14:paraId="01FB949D" w14:textId="77777777" w:rsidR="00E80732" w:rsidRPr="003F71D2" w:rsidRDefault="00DB3564" w:rsidP="003F71D2">
            <w:pPr>
              <w:shd w:val="clear" w:color="auto" w:fill="FFFFFF"/>
              <w:spacing w:line="240" w:lineRule="auto"/>
              <w:ind w:left="102"/>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shd w:val="clear" w:color="auto" w:fill="FFFFFF"/>
          </w:tcPr>
          <w:p w14:paraId="2B810961"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0,084</w:t>
            </w:r>
          </w:p>
        </w:tc>
        <w:tc>
          <w:tcPr>
            <w:tcW w:w="2268" w:type="dxa"/>
            <w:gridSpan w:val="2"/>
            <w:shd w:val="clear" w:color="auto" w:fill="FFFFFF"/>
          </w:tcPr>
          <w:p w14:paraId="10518684"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0,614</w:t>
            </w:r>
          </w:p>
          <w:p w14:paraId="22A229E1" w14:textId="77777777" w:rsidR="00E80732" w:rsidRPr="003F71D2" w:rsidRDefault="00E80732" w:rsidP="00C63330">
            <w:pPr>
              <w:shd w:val="clear" w:color="auto" w:fill="FFFFFF"/>
              <w:spacing w:line="240" w:lineRule="auto"/>
              <w:jc w:val="center"/>
              <w:rPr>
                <w:rFonts w:ascii="Times New Roman" w:hAnsi="Times New Roman" w:cs="Times New Roman"/>
                <w:lang w:val="sk-SK"/>
              </w:rPr>
            </w:pPr>
          </w:p>
        </w:tc>
        <w:tc>
          <w:tcPr>
            <w:tcW w:w="2268" w:type="dxa"/>
            <w:gridSpan w:val="2"/>
            <w:shd w:val="clear" w:color="auto" w:fill="FFFFFF"/>
          </w:tcPr>
          <w:p w14:paraId="422D71DB"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0,015</w:t>
            </w:r>
          </w:p>
          <w:p w14:paraId="6475C595" w14:textId="77777777" w:rsidR="00E80732" w:rsidRPr="003F71D2" w:rsidRDefault="00E80732" w:rsidP="00C63330">
            <w:pPr>
              <w:shd w:val="clear" w:color="auto" w:fill="FFFFFF"/>
              <w:spacing w:line="240" w:lineRule="auto"/>
              <w:jc w:val="center"/>
              <w:rPr>
                <w:rFonts w:ascii="Times New Roman" w:hAnsi="Times New Roman" w:cs="Times New Roman"/>
                <w:lang w:val="sk-SK"/>
              </w:rPr>
            </w:pPr>
          </w:p>
        </w:tc>
      </w:tr>
      <w:tr w:rsidR="00E80732" w:rsidRPr="003F71D2" w14:paraId="29F6C870" w14:textId="77777777" w:rsidTr="00C63330">
        <w:trPr>
          <w:trHeight w:hRule="exact" w:val="922"/>
        </w:trPr>
        <w:tc>
          <w:tcPr>
            <w:tcW w:w="2232" w:type="dxa"/>
          </w:tcPr>
          <w:p w14:paraId="01E86FB8" w14:textId="77777777" w:rsidR="00E80732"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Zníženie rizika utrpieť viacpočetné príhody** (%)</w:t>
            </w:r>
          </w:p>
        </w:tc>
        <w:tc>
          <w:tcPr>
            <w:tcW w:w="1409" w:type="dxa"/>
          </w:tcPr>
          <w:p w14:paraId="4D12A947"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16</w:t>
            </w:r>
          </w:p>
        </w:tc>
        <w:tc>
          <w:tcPr>
            <w:tcW w:w="895" w:type="dxa"/>
          </w:tcPr>
          <w:p w14:paraId="5FF4F4EA" w14:textId="77777777" w:rsidR="00E80732" w:rsidRPr="003F71D2" w:rsidRDefault="00E80732" w:rsidP="00C63330">
            <w:pPr>
              <w:shd w:val="clear" w:color="auto" w:fill="FFFFFF"/>
              <w:spacing w:line="240" w:lineRule="auto"/>
              <w:jc w:val="center"/>
              <w:rPr>
                <w:rFonts w:ascii="Times New Roman" w:hAnsi="Times New Roman" w:cs="Times New Roman"/>
                <w:lang w:val="sk-SK"/>
              </w:rPr>
            </w:pPr>
          </w:p>
        </w:tc>
        <w:tc>
          <w:tcPr>
            <w:tcW w:w="1373" w:type="dxa"/>
          </w:tcPr>
          <w:p w14:paraId="5364A9F8"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895" w:type="dxa"/>
          </w:tcPr>
          <w:p w14:paraId="57D97DB0"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1373" w:type="dxa"/>
          </w:tcPr>
          <w:p w14:paraId="4DB7A6AC"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895" w:type="dxa"/>
          </w:tcPr>
          <w:p w14:paraId="1981F73E"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r>
      <w:tr w:rsidR="00E80732" w:rsidRPr="003F71D2" w14:paraId="55317A9F" w14:textId="77777777" w:rsidTr="00824734">
        <w:tblPrEx>
          <w:tblCellMar>
            <w:left w:w="108" w:type="dxa"/>
            <w:right w:w="108" w:type="dxa"/>
          </w:tblCellMar>
        </w:tblPrEx>
        <w:trPr>
          <w:trHeight w:hRule="exact" w:val="264"/>
        </w:trPr>
        <w:tc>
          <w:tcPr>
            <w:tcW w:w="2232" w:type="dxa"/>
          </w:tcPr>
          <w:p w14:paraId="7B742C07" w14:textId="77777777" w:rsidR="00E80732"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Hodnota p</w:t>
            </w:r>
          </w:p>
        </w:tc>
        <w:tc>
          <w:tcPr>
            <w:tcW w:w="2304" w:type="dxa"/>
            <w:gridSpan w:val="2"/>
          </w:tcPr>
          <w:p w14:paraId="32CA035A"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0,030</w:t>
            </w:r>
          </w:p>
        </w:tc>
        <w:tc>
          <w:tcPr>
            <w:tcW w:w="2268" w:type="dxa"/>
            <w:gridSpan w:val="2"/>
          </w:tcPr>
          <w:p w14:paraId="0AEF6273"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c>
          <w:tcPr>
            <w:tcW w:w="2268" w:type="dxa"/>
            <w:gridSpan w:val="2"/>
          </w:tcPr>
          <w:p w14:paraId="1CA08596" w14:textId="77777777" w:rsidR="00E80732" w:rsidRPr="003F71D2" w:rsidRDefault="00DB3564" w:rsidP="00C63330">
            <w:pPr>
              <w:shd w:val="clear" w:color="auto" w:fill="FFFFFF"/>
              <w:spacing w:line="240" w:lineRule="auto"/>
              <w:jc w:val="center"/>
              <w:rPr>
                <w:rFonts w:ascii="Times New Roman" w:hAnsi="Times New Roman" w:cs="Times New Roman"/>
                <w:lang w:val="sk-SK"/>
              </w:rPr>
            </w:pPr>
            <w:r w:rsidRPr="003F71D2">
              <w:rPr>
                <w:rFonts w:ascii="Times New Roman" w:hAnsi="Times New Roman" w:cs="Times New Roman"/>
                <w:lang w:val="sk-SK"/>
              </w:rPr>
              <w:t>NA</w:t>
            </w:r>
          </w:p>
        </w:tc>
      </w:tr>
    </w:tbl>
    <w:p w14:paraId="5B8257EF" w14:textId="33BA894F" w:rsidR="009466CE" w:rsidRPr="003F71D2" w:rsidRDefault="00DB3564" w:rsidP="003F71D2">
      <w:pPr>
        <w:pStyle w:val="Default"/>
        <w:rPr>
          <w:sz w:val="22"/>
          <w:szCs w:val="22"/>
          <w:lang w:val="sk-SK"/>
        </w:rPr>
      </w:pPr>
      <w:r w:rsidRPr="003F71D2">
        <w:rPr>
          <w:sz w:val="22"/>
          <w:szCs w:val="22"/>
          <w:lang w:val="sk-SK"/>
        </w:rPr>
        <w:t xml:space="preserve">* </w:t>
      </w:r>
      <w:r w:rsidR="007672A1">
        <w:rPr>
          <w:sz w:val="22"/>
          <w:szCs w:val="22"/>
          <w:lang w:val="sk-SK"/>
        </w:rPr>
        <w:tab/>
      </w:r>
      <w:r w:rsidRPr="003F71D2">
        <w:rPr>
          <w:sz w:val="22"/>
          <w:szCs w:val="22"/>
          <w:lang w:val="sk-SK"/>
        </w:rPr>
        <w:t xml:space="preserve">Zahŕňa zlomeniny stavcov a iné zlomeniny </w:t>
      </w:r>
    </w:p>
    <w:p w14:paraId="32744AAF" w14:textId="163269C7" w:rsidR="009466CE" w:rsidRPr="003F71D2" w:rsidRDefault="00DB3564" w:rsidP="00C63330">
      <w:pPr>
        <w:pStyle w:val="Default"/>
        <w:ind w:left="708" w:hanging="708"/>
        <w:rPr>
          <w:sz w:val="22"/>
          <w:szCs w:val="22"/>
          <w:lang w:val="sk-SK"/>
        </w:rPr>
      </w:pPr>
      <w:r w:rsidRPr="003F71D2">
        <w:rPr>
          <w:sz w:val="22"/>
          <w:szCs w:val="22"/>
          <w:lang w:val="sk-SK"/>
        </w:rPr>
        <w:t xml:space="preserve">** </w:t>
      </w:r>
      <w:r w:rsidR="007672A1">
        <w:rPr>
          <w:sz w:val="22"/>
          <w:szCs w:val="22"/>
          <w:lang w:val="sk-SK"/>
        </w:rPr>
        <w:tab/>
      </w:r>
      <w:r w:rsidRPr="003F71D2">
        <w:rPr>
          <w:sz w:val="22"/>
          <w:szCs w:val="22"/>
          <w:lang w:val="sk-SK"/>
        </w:rPr>
        <w:t xml:space="preserve">Zohľadňuje všetky príhody súvisiace so skeletom, celkový počet ako aj čas do každej príhody počas klinického skúšania </w:t>
      </w:r>
    </w:p>
    <w:p w14:paraId="3261F3C4" w14:textId="2710B51C" w:rsidR="009466CE" w:rsidRPr="003F71D2" w:rsidRDefault="00DB3564" w:rsidP="003F71D2">
      <w:pPr>
        <w:pStyle w:val="Default"/>
        <w:rPr>
          <w:sz w:val="22"/>
          <w:szCs w:val="22"/>
          <w:lang w:val="sk-SK"/>
        </w:rPr>
      </w:pPr>
      <w:r w:rsidRPr="003F71D2">
        <w:rPr>
          <w:sz w:val="22"/>
          <w:szCs w:val="22"/>
          <w:lang w:val="sk-SK"/>
        </w:rPr>
        <w:t xml:space="preserve">NR </w:t>
      </w:r>
      <w:r w:rsidR="007672A1">
        <w:rPr>
          <w:sz w:val="22"/>
          <w:szCs w:val="22"/>
          <w:lang w:val="sk-SK"/>
        </w:rPr>
        <w:tab/>
      </w:r>
      <w:r w:rsidRPr="003F71D2">
        <w:rPr>
          <w:sz w:val="22"/>
          <w:szCs w:val="22"/>
          <w:lang w:val="sk-SK"/>
        </w:rPr>
        <w:t xml:space="preserve">Nedosiahol sa </w:t>
      </w:r>
    </w:p>
    <w:p w14:paraId="72D17806" w14:textId="4700C764" w:rsidR="009466CE" w:rsidRPr="003F71D2" w:rsidRDefault="00DB3564" w:rsidP="003F71D2">
      <w:pPr>
        <w:pStyle w:val="Default"/>
        <w:rPr>
          <w:sz w:val="22"/>
          <w:szCs w:val="22"/>
          <w:lang w:val="sk-SK"/>
        </w:rPr>
      </w:pPr>
      <w:r w:rsidRPr="003F71D2">
        <w:rPr>
          <w:sz w:val="22"/>
          <w:szCs w:val="22"/>
          <w:lang w:val="sk-SK"/>
        </w:rPr>
        <w:t xml:space="preserve">NA </w:t>
      </w:r>
      <w:r w:rsidR="007672A1">
        <w:rPr>
          <w:sz w:val="22"/>
          <w:szCs w:val="22"/>
          <w:lang w:val="sk-SK"/>
        </w:rPr>
        <w:tab/>
      </w:r>
      <w:r w:rsidRPr="003F71D2">
        <w:rPr>
          <w:sz w:val="22"/>
          <w:szCs w:val="22"/>
          <w:lang w:val="sk-SK"/>
        </w:rPr>
        <w:t xml:space="preserve">Neaplikovateľné </w:t>
      </w:r>
    </w:p>
    <w:p w14:paraId="68F66581" w14:textId="77777777" w:rsidR="009466CE" w:rsidRPr="003F71D2" w:rsidRDefault="009466CE" w:rsidP="003F71D2">
      <w:pPr>
        <w:pStyle w:val="Default"/>
        <w:rPr>
          <w:sz w:val="22"/>
          <w:szCs w:val="22"/>
          <w:lang w:val="sk-SK"/>
        </w:rPr>
      </w:pPr>
    </w:p>
    <w:p w14:paraId="4FA0F249" w14:textId="13BC0223" w:rsidR="009466CE" w:rsidRPr="003F71D2" w:rsidRDefault="00DB3564" w:rsidP="003F71D2">
      <w:pPr>
        <w:pStyle w:val="Default"/>
        <w:rPr>
          <w:sz w:val="22"/>
          <w:szCs w:val="22"/>
          <w:lang w:val="sk-SK"/>
        </w:rPr>
      </w:pPr>
      <w:r w:rsidRPr="003F71D2">
        <w:rPr>
          <w:sz w:val="22"/>
          <w:szCs w:val="22"/>
          <w:lang w:val="sk-SK"/>
        </w:rPr>
        <w:t>Kyselina zoledrónová v dávke 4 mg sa skúmala aj v dvojito zaslepenom, randomizovanom klinickom skúšaní kontrolovanom placebom u 228 pacientok s preukázanými metastázami do kostí pri rakovine prsníka, v ktorom sa vyhodnotil účinok kyseliny zoledrónovej</w:t>
      </w:r>
      <w:r w:rsidR="00CE0F1B">
        <w:rPr>
          <w:sz w:val="22"/>
          <w:szCs w:val="22"/>
          <w:lang w:val="sk-SK"/>
        </w:rPr>
        <w:t xml:space="preserve"> v dávke 4 mg</w:t>
      </w:r>
      <w:r w:rsidRPr="003F71D2">
        <w:rPr>
          <w:sz w:val="22"/>
          <w:szCs w:val="22"/>
          <w:lang w:val="sk-SK"/>
        </w:rPr>
        <w:t xml:space="preserve"> na pomer výskytu príhod súvisiacich so skeletom (SRE), vypočítaný ako celkový počet SRE príhod (okrem hyperkalciémie a po úprave vzhľadom na predchádzajúcu zlomeninu), delený obdobím celkového rizika. Pacientky dostávali buď 4 mg kyseliny zoledrónovej, alebo placebo každé štyri týždne počas jedného roka. Pacientky boli rovnomerne rozdelené do skupín liečby kyselinou zoledrónovou a placebom. </w:t>
      </w:r>
    </w:p>
    <w:p w14:paraId="6C7BADFD" w14:textId="77777777" w:rsidR="009466CE" w:rsidRPr="003F71D2" w:rsidRDefault="009466CE" w:rsidP="003F71D2">
      <w:pPr>
        <w:pStyle w:val="Default"/>
        <w:rPr>
          <w:sz w:val="22"/>
          <w:szCs w:val="22"/>
          <w:lang w:val="sk-SK"/>
        </w:rPr>
      </w:pPr>
    </w:p>
    <w:p w14:paraId="5FCEAA16" w14:textId="32273992" w:rsidR="009466CE" w:rsidRDefault="00DB3564" w:rsidP="003F71D2">
      <w:pPr>
        <w:pStyle w:val="Default"/>
        <w:rPr>
          <w:sz w:val="22"/>
          <w:szCs w:val="22"/>
          <w:lang w:val="sk-SK"/>
        </w:rPr>
      </w:pPr>
      <w:r w:rsidRPr="003F71D2">
        <w:rPr>
          <w:sz w:val="22"/>
          <w:szCs w:val="22"/>
          <w:lang w:val="sk-SK"/>
        </w:rPr>
        <w:t xml:space="preserve">Výskyt SRE (príhody/osoba za rok) bol 0,628 pri kyseline zoledrónovej a 1,096 pri placebe. Podiel pacientok s aspoň jednou SRE (okrem hyperkalciémie) bol 29,8 % v skupine liečenej kyselinou zoledrónovou oproti 49,6 % v skupine placeba (p=0,003). Medián času do vzniku prvej SRE sa v ramene liečby kyselinou zoledrónovou na konci klinického skúšania nedosiahol a v porovnaní s placebom bol významne dlhší (p=0,007). V porovnaní s placebom kyselina zoledrónová v dávke 4 mg znížila riziko SRE o 41 % v analýze viacpočetných príhod (pomer rizika=0,59, p=0,019). </w:t>
      </w:r>
    </w:p>
    <w:p w14:paraId="25D853DB" w14:textId="7715CCC6" w:rsidR="00CE0F1B" w:rsidRDefault="00CE0F1B" w:rsidP="003F71D2">
      <w:pPr>
        <w:pStyle w:val="Default"/>
        <w:rPr>
          <w:sz w:val="22"/>
          <w:szCs w:val="22"/>
          <w:lang w:val="sk-SK"/>
        </w:rPr>
      </w:pPr>
    </w:p>
    <w:p w14:paraId="1A5DCE6E" w14:textId="25E03D1E" w:rsidR="00CE0F1B" w:rsidRPr="00C63330" w:rsidRDefault="00CE0F1B" w:rsidP="003F71D2">
      <w:pPr>
        <w:pStyle w:val="Default"/>
        <w:rPr>
          <w:color w:val="auto"/>
          <w:sz w:val="22"/>
          <w:szCs w:val="22"/>
          <w:lang w:val="sk-SK"/>
        </w:rPr>
      </w:pPr>
      <w:r w:rsidRPr="00D81505">
        <w:rPr>
          <w:color w:val="auto"/>
          <w:sz w:val="22"/>
          <w:szCs w:val="22"/>
          <w:lang w:val="sk-SK"/>
        </w:rPr>
        <w:t>V skupine liečenej kyselinou zoledrónovou sa v porovnaní s placebom pozorovalo štatisticky významné zlepšenie pri hodnotení bolesti (pri použití Bri</w:t>
      </w:r>
      <w:r w:rsidRPr="00C57EC8">
        <w:rPr>
          <w:color w:val="auto"/>
          <w:sz w:val="22"/>
          <w:szCs w:val="22"/>
          <w:lang w:val="sk-SK"/>
        </w:rPr>
        <w:t>ef Pain Inventory, BPI) po 4 týždňoch a v každom neskoršom čase počas klinického skúšania (Obrázok 1). Hodnotenie bolesti pri kyseline zoledrónovej bolo trvale pod východiskovou hodnotou a zmierneni</w:t>
      </w:r>
      <w:r w:rsidRPr="005F2E25">
        <w:rPr>
          <w:color w:val="auto"/>
          <w:sz w:val="22"/>
          <w:szCs w:val="22"/>
          <w:lang w:val="sk-SK"/>
        </w:rPr>
        <w:t xml:space="preserve">e bolesti sprevádzala tendencia k poklesu analgetického skóre. </w:t>
      </w:r>
    </w:p>
    <w:p w14:paraId="10359769" w14:textId="12F44054" w:rsidR="00E4189D" w:rsidRPr="003F71D2" w:rsidRDefault="00E4189D" w:rsidP="003F71D2">
      <w:pPr>
        <w:pStyle w:val="Default"/>
        <w:rPr>
          <w:b/>
          <w:bCs/>
          <w:sz w:val="22"/>
          <w:szCs w:val="22"/>
          <w:lang w:val="sk-SK"/>
        </w:rPr>
      </w:pPr>
    </w:p>
    <w:p w14:paraId="72FE4F57" w14:textId="757DE7CE" w:rsidR="009466CE" w:rsidRPr="003F71D2" w:rsidRDefault="00DB3564" w:rsidP="003F71D2">
      <w:pPr>
        <w:pStyle w:val="Default"/>
        <w:rPr>
          <w:sz w:val="22"/>
          <w:szCs w:val="22"/>
          <w:lang w:val="sk-SK"/>
        </w:rPr>
      </w:pPr>
      <w:r w:rsidRPr="003F71D2">
        <w:rPr>
          <w:b/>
          <w:bCs/>
          <w:sz w:val="22"/>
          <w:szCs w:val="22"/>
          <w:lang w:val="sk-SK"/>
        </w:rPr>
        <w:t xml:space="preserve">Obrázok 1: Priemerné zmeny skóre podľa BPI oproti východiskovej hodnote. Vyznačené sú štatisticky významné rozdiely (*p&lt;0,05) pri porovnaní spôsobov liečby (4 mg kyseliny zoledrónovej oproti placebu) </w:t>
      </w:r>
    </w:p>
    <w:p w14:paraId="21369F4A" w14:textId="195DB389" w:rsidR="009466CE" w:rsidRDefault="009466CE" w:rsidP="003F71D2">
      <w:pPr>
        <w:shd w:val="clear" w:color="auto" w:fill="FFFFFF"/>
        <w:spacing w:line="240" w:lineRule="auto"/>
        <w:rPr>
          <w:rFonts w:ascii="Times New Roman" w:hAnsi="Times New Roman" w:cs="Times New Roman"/>
          <w:lang w:val="sk-SK"/>
        </w:rPr>
      </w:pPr>
    </w:p>
    <w:p w14:paraId="0F163D66" w14:textId="4C47E3AE" w:rsidR="002E5A63" w:rsidRDefault="002E5A63" w:rsidP="00C63330">
      <w:pPr>
        <w:shd w:val="clear" w:color="auto" w:fill="FFFFFF"/>
        <w:spacing w:line="240" w:lineRule="auto"/>
        <w:rPr>
          <w:rFonts w:ascii="Times New Roman" w:hAnsi="Times New Roman" w:cs="Times New Roman"/>
          <w:lang w:val="sk-SK"/>
        </w:rPr>
      </w:pPr>
      <w:r w:rsidRPr="00C63330">
        <w:rPr>
          <w:rFonts w:ascii="Times New Roman" w:hAnsi="Times New Roman" w:cs="Times New Roman"/>
          <w:noProof/>
          <w:lang w:val="sk-SK" w:eastAsia="sk-SK"/>
        </w:rPr>
        <w:drawing>
          <wp:inline distT="0" distB="0" distL="0" distR="0" wp14:anchorId="79F054C9" wp14:editId="2F0828CB">
            <wp:extent cx="5433060" cy="3291840"/>
            <wp:effectExtent l="0" t="0" r="0" b="3810"/>
            <wp:docPr id="4" name="Obrázok 4" descr="Obrázok, na ktorom je map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9">
                      <a:extLst>
                        <a:ext uri="{28A0092B-C50C-407E-A947-70E740481C1C}">
                          <a14:useLocalDpi xmlns:a14="http://schemas.microsoft.com/office/drawing/2010/main" val="0"/>
                        </a:ext>
                      </a:extLst>
                    </a:blip>
                    <a:stretch>
                      <a:fillRect/>
                    </a:stretch>
                  </pic:blipFill>
                  <pic:spPr>
                    <a:xfrm>
                      <a:off x="0" y="0"/>
                      <a:ext cx="5433060" cy="3291840"/>
                    </a:xfrm>
                    <a:prstGeom prst="rect">
                      <a:avLst/>
                    </a:prstGeom>
                  </pic:spPr>
                </pic:pic>
              </a:graphicData>
            </a:graphic>
          </wp:inline>
        </w:drawing>
      </w:r>
    </w:p>
    <w:p w14:paraId="6565DF38" w14:textId="188F91E2" w:rsidR="002E5A63" w:rsidRDefault="00051D2E" w:rsidP="00C63330">
      <w:pPr>
        <w:spacing w:after="0" w:line="240" w:lineRule="auto"/>
        <w:rPr>
          <w:rFonts w:ascii="Times New Roman" w:hAnsi="Times New Roman" w:cs="Times New Roman"/>
          <w:u w:val="single"/>
        </w:rPr>
      </w:pPr>
      <w:r w:rsidRPr="00C63330">
        <w:rPr>
          <w:rFonts w:ascii="Times New Roman" w:hAnsi="Times New Roman" w:cs="Times New Roman"/>
          <w:u w:val="single"/>
        </w:rPr>
        <w:t xml:space="preserve">Štúdia CZOL446EUS122/SWOG </w:t>
      </w:r>
    </w:p>
    <w:p w14:paraId="5F928835" w14:textId="77777777" w:rsidR="00EA6F7A" w:rsidRDefault="00EA6F7A" w:rsidP="00C63330">
      <w:pPr>
        <w:spacing w:after="0" w:line="240" w:lineRule="auto"/>
        <w:rPr>
          <w:rFonts w:ascii="Times New Roman" w:hAnsi="Times New Roman" w:cs="Times New Roman"/>
          <w:u w:val="single"/>
        </w:rPr>
      </w:pPr>
    </w:p>
    <w:p w14:paraId="5A57AADE" w14:textId="2F54CEC1" w:rsidR="00B75EE4" w:rsidRDefault="00B75EE4" w:rsidP="00C63330">
      <w:pPr>
        <w:spacing w:after="0" w:line="240" w:lineRule="auto"/>
        <w:rPr>
          <w:rFonts w:ascii="Times New Roman" w:hAnsi="Times New Roman" w:cs="Times New Roman"/>
          <w:lang w:val="sk-SK"/>
        </w:rPr>
      </w:pPr>
      <w:r w:rsidRPr="00C63330">
        <w:rPr>
          <w:rFonts w:ascii="Times New Roman" w:hAnsi="Times New Roman" w:cs="Times New Roman"/>
          <w:lang w:val="sk-SK"/>
        </w:rPr>
        <w:t>Primárnym cieľom tejto observačnej štúdie bolo odhadnúť kumulatívny výskyt osteonekrózy čeľuste (ONJ) po 3 rokoch u pacientov s rakovinou s kostnými metastázami, ktorí dostávali kyselinu zoledrónovú.</w:t>
      </w:r>
      <w:r>
        <w:rPr>
          <w:rFonts w:ascii="Times New Roman" w:hAnsi="Times New Roman" w:cs="Times New Roman"/>
          <w:lang w:val="sk-SK"/>
        </w:rPr>
        <w:t xml:space="preserve"> </w:t>
      </w:r>
      <w:r w:rsidRPr="00C63330">
        <w:rPr>
          <w:rFonts w:ascii="Times New Roman" w:hAnsi="Times New Roman" w:cs="Times New Roman"/>
          <w:lang w:val="sk-SK"/>
        </w:rPr>
        <w:t>Terapia inhibíciou osteoklastov, iná terapia rakoviny</w:t>
      </w:r>
      <w:r>
        <w:rPr>
          <w:rFonts w:ascii="Times New Roman" w:hAnsi="Times New Roman" w:cs="Times New Roman"/>
          <w:lang w:val="sk-SK"/>
        </w:rPr>
        <w:t>,</w:t>
      </w:r>
      <w:r w:rsidRPr="00C63330">
        <w:rPr>
          <w:rFonts w:ascii="Times New Roman" w:hAnsi="Times New Roman" w:cs="Times New Roman"/>
          <w:lang w:val="sk-SK"/>
        </w:rPr>
        <w:t xml:space="preserve"> a starostlivosť o zuby sa uskutočňovali podľa klinickej indikácie, aby čo najlepšie reprezentovali akademickú a komunitnú starostlivosť. Odporúčalo sa základné zubné vyšetrenie, ale nebolo povinné.</w:t>
      </w:r>
    </w:p>
    <w:p w14:paraId="128DA8D4" w14:textId="77777777" w:rsidR="00EA6F7A" w:rsidRPr="00CD7BC4" w:rsidRDefault="00EA6F7A" w:rsidP="00C63330">
      <w:pPr>
        <w:spacing w:after="0" w:line="240" w:lineRule="auto"/>
        <w:rPr>
          <w:rFonts w:ascii="Times New Roman" w:hAnsi="Times New Roman" w:cs="Times New Roman"/>
          <w:lang w:val="sk-SK"/>
        </w:rPr>
      </w:pPr>
    </w:p>
    <w:p w14:paraId="4EC3810B" w14:textId="7CB5F28A" w:rsidR="002E5A63" w:rsidRDefault="00B75EE4" w:rsidP="00C63330">
      <w:pPr>
        <w:spacing w:after="0" w:line="240" w:lineRule="auto"/>
        <w:rPr>
          <w:rFonts w:ascii="Times New Roman" w:hAnsi="Times New Roman" w:cs="Times New Roman"/>
          <w:lang w:val="sk-SK"/>
        </w:rPr>
      </w:pPr>
      <w:r w:rsidRPr="00B75EE4">
        <w:rPr>
          <w:rFonts w:ascii="Times New Roman" w:hAnsi="Times New Roman" w:cs="Times New Roman"/>
          <w:lang w:val="sk-SK"/>
        </w:rPr>
        <w:t>Medzi 3491 hodnotiteľnými pacientmi bolo potvrdených 87 prípadov diagnózy ONJ. Celkový odhadovaný kumulatívny výskyt potvrdenej ONJ po 3 rokoch bol 2,8% (95% IS: 2,3 - 3,5%). Miera bola 0,8% v 1. roku a 2,0% v 2. roku. Miera 3-ročného potvrdeného ONJ bola najvyššia u pacientov s myelómom (4,3%) a najnižšia u pacientov s rakovinou prsníka (2,4%). Prípady potvrdenej ONJ boli štatisticky významne vyššie u pacientov s mnohopočetným myelómom (p = 0,03) ako u iných druhov rakoviny spolu.</w:t>
      </w:r>
    </w:p>
    <w:p w14:paraId="1F173958" w14:textId="77777777" w:rsidR="00EA6F7A" w:rsidRPr="003F71D2" w:rsidRDefault="00EA6F7A" w:rsidP="00C63330">
      <w:pPr>
        <w:spacing w:after="0" w:line="240" w:lineRule="auto"/>
        <w:rPr>
          <w:rFonts w:ascii="Times New Roman" w:hAnsi="Times New Roman" w:cs="Times New Roman"/>
          <w:lang w:val="sk-SK"/>
        </w:rPr>
      </w:pPr>
    </w:p>
    <w:p w14:paraId="6D309DA4" w14:textId="7CF66ADD" w:rsidR="009466CE"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u w:val="single"/>
          <w:lang w:val="sk-SK"/>
        </w:rPr>
        <w:t>Výsledky klinických skúšaní liečby TIH</w:t>
      </w:r>
      <w:r w:rsidR="00B75EE4">
        <w:rPr>
          <w:rFonts w:ascii="Times New Roman" w:hAnsi="Times New Roman" w:cs="Times New Roman"/>
          <w:u w:val="single"/>
          <w:lang w:val="sk-SK"/>
        </w:rPr>
        <w:br/>
      </w:r>
      <w:r w:rsidRPr="003F71D2">
        <w:rPr>
          <w:rFonts w:ascii="Times New Roman" w:hAnsi="Times New Roman" w:cs="Times New Roman"/>
          <w:lang w:val="sk-SK"/>
        </w:rPr>
        <w:t xml:space="preserve">Klinické skúšania hyperkalciémie vyvolanej nádorom (TIH) ukázali, že pre účinok kyseliny zoledrónovej je charakteristický pokles vápnika v sére a vylučovania vápnika močom. Vo fáze I sa v klinických skúšaniach na zistenie dávky u pacientov s miernou až stredne </w:t>
      </w:r>
      <w:r w:rsidR="00B8045C" w:rsidRPr="003F71D2">
        <w:rPr>
          <w:rFonts w:ascii="Times New Roman" w:hAnsi="Times New Roman" w:cs="Times New Roman"/>
          <w:lang w:val="sk-SK"/>
        </w:rPr>
        <w:t xml:space="preserve">závažnou </w:t>
      </w:r>
      <w:r w:rsidRPr="003F71D2">
        <w:rPr>
          <w:rFonts w:ascii="Times New Roman" w:hAnsi="Times New Roman" w:cs="Times New Roman"/>
          <w:lang w:val="sk-SK"/>
        </w:rPr>
        <w:t>hyperkalciémiou vyvolanou nádorom (TIH) skúšali účinné dávky v rozmedzí približne 1,2–2,5 mg.</w:t>
      </w:r>
    </w:p>
    <w:p w14:paraId="7D1C9582" w14:textId="146EACA1" w:rsidR="009466CE"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 xml:space="preserve">Na stanovenie účinkov 4 mg kyseliny zoledrónovej v porovnaní s 90 mg pamidronátu sa vo vopred plánovej analýze zlúčili výsledky dvoch pilotných multicentrických skúšaní s pacientmi s TIH. Normalizácia korigovaného vápnika v sére bola rýchlejšia na 4. deň pri </w:t>
      </w:r>
      <w:r w:rsidR="006B77E0">
        <w:rPr>
          <w:rFonts w:ascii="Times New Roman" w:hAnsi="Times New Roman" w:cs="Times New Roman"/>
          <w:lang w:val="sk-SK"/>
        </w:rPr>
        <w:t xml:space="preserve">kyseline </w:t>
      </w:r>
      <w:r w:rsidRPr="003F71D2">
        <w:rPr>
          <w:rFonts w:ascii="Times New Roman" w:hAnsi="Times New Roman" w:cs="Times New Roman"/>
          <w:lang w:val="sk-SK"/>
        </w:rPr>
        <w:t>zoledrónovej a na 7. deň pri 4 mg a 8 mg kyseliny zoledrónovej. Pozorovala sa nasledujúca odpoveď na liečbu:</w:t>
      </w:r>
    </w:p>
    <w:p w14:paraId="4CA0A306" w14:textId="77777777" w:rsidR="009466CE"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b/>
          <w:lang w:val="sk-SK"/>
        </w:rPr>
        <w:lastRenderedPageBreak/>
        <w:t>Tabuľka 5:</w:t>
      </w:r>
      <w:r w:rsidRPr="003F71D2">
        <w:rPr>
          <w:rFonts w:ascii="Times New Roman" w:hAnsi="Times New Roman" w:cs="Times New Roman"/>
          <w:lang w:val="sk-SK"/>
        </w:rPr>
        <w:t xml:space="preserve"> Podiel pacientov s úplnou odpoveďou na liečbu podľa dní v zlúčených klinických skúšaniach TIH</w:t>
      </w:r>
    </w:p>
    <w:tbl>
      <w:tblPr>
        <w:tblW w:w="0" w:type="auto"/>
        <w:tblInd w:w="40" w:type="dxa"/>
        <w:tblLayout w:type="fixed"/>
        <w:tblCellMar>
          <w:left w:w="40" w:type="dxa"/>
          <w:right w:w="40" w:type="dxa"/>
        </w:tblCellMar>
        <w:tblLook w:val="0000" w:firstRow="0" w:lastRow="0" w:firstColumn="0" w:lastColumn="0" w:noHBand="0" w:noVBand="0"/>
      </w:tblPr>
      <w:tblGrid>
        <w:gridCol w:w="2842"/>
        <w:gridCol w:w="2165"/>
        <w:gridCol w:w="2088"/>
        <w:gridCol w:w="1992"/>
      </w:tblGrid>
      <w:tr w:rsidR="009466CE" w:rsidRPr="003F71D2" w14:paraId="6B7965F9" w14:textId="77777777" w:rsidTr="00107A73">
        <w:trPr>
          <w:trHeight w:hRule="exact" w:val="269"/>
        </w:trPr>
        <w:tc>
          <w:tcPr>
            <w:tcW w:w="2842" w:type="dxa"/>
            <w:tcBorders>
              <w:top w:val="single" w:sz="6" w:space="0" w:color="auto"/>
              <w:left w:val="single" w:sz="6" w:space="0" w:color="auto"/>
              <w:bottom w:val="single" w:sz="6" w:space="0" w:color="auto"/>
              <w:right w:val="single" w:sz="6" w:space="0" w:color="auto"/>
            </w:tcBorders>
            <w:shd w:val="clear" w:color="auto" w:fill="FFFFFF"/>
          </w:tcPr>
          <w:p w14:paraId="499AEE54" w14:textId="77777777" w:rsidR="009466CE" w:rsidRPr="003F71D2" w:rsidRDefault="009466CE" w:rsidP="003F71D2">
            <w:pPr>
              <w:shd w:val="clear" w:color="auto" w:fill="FFFFFF"/>
              <w:spacing w:line="240" w:lineRule="auto"/>
              <w:rPr>
                <w:rFonts w:ascii="Times New Roman" w:hAnsi="Times New Roman" w:cs="Times New Roman"/>
                <w:lang w:val="sk-SK"/>
              </w:rPr>
            </w:pP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57B5DB7D"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 xml:space="preserve"> 4. deň</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14:paraId="76B2357B"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 xml:space="preserve"> 7. deň</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14:paraId="2DBA9F2E"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 xml:space="preserve"> 10. deň</w:t>
            </w:r>
          </w:p>
        </w:tc>
      </w:tr>
      <w:tr w:rsidR="009466CE" w:rsidRPr="003F71D2" w14:paraId="666AE360" w14:textId="77777777" w:rsidTr="00107A73">
        <w:trPr>
          <w:trHeight w:hRule="exact" w:val="269"/>
        </w:trPr>
        <w:tc>
          <w:tcPr>
            <w:tcW w:w="2842" w:type="dxa"/>
            <w:tcBorders>
              <w:top w:val="single" w:sz="6" w:space="0" w:color="auto"/>
              <w:left w:val="single" w:sz="6" w:space="0" w:color="auto"/>
              <w:bottom w:val="single" w:sz="6" w:space="0" w:color="auto"/>
              <w:right w:val="single" w:sz="6" w:space="0" w:color="auto"/>
            </w:tcBorders>
            <w:shd w:val="clear" w:color="auto" w:fill="FFFFFF"/>
          </w:tcPr>
          <w:p w14:paraId="2B49FF7D"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4 mg (N=86)</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50DB25F7"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45,3 % (p=0.104)</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14:paraId="024C607B"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spacing w:val="-3"/>
                <w:lang w:val="sk-SK"/>
              </w:rPr>
              <w:t>82,6 % (p=0.005)*</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14:paraId="471E09CD"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spacing w:val="-1"/>
                <w:lang w:val="sk-SK"/>
              </w:rPr>
              <w:t>88,4 %(p=0.002)*</w:t>
            </w:r>
          </w:p>
        </w:tc>
      </w:tr>
      <w:tr w:rsidR="009466CE" w:rsidRPr="003F71D2" w14:paraId="47F66449" w14:textId="77777777" w:rsidTr="00107A73">
        <w:trPr>
          <w:trHeight w:hRule="exact" w:val="269"/>
        </w:trPr>
        <w:tc>
          <w:tcPr>
            <w:tcW w:w="2842" w:type="dxa"/>
            <w:tcBorders>
              <w:top w:val="single" w:sz="6" w:space="0" w:color="auto"/>
              <w:left w:val="single" w:sz="6" w:space="0" w:color="auto"/>
              <w:bottom w:val="single" w:sz="6" w:space="0" w:color="auto"/>
              <w:right w:val="single" w:sz="6" w:space="0" w:color="auto"/>
            </w:tcBorders>
            <w:shd w:val="clear" w:color="auto" w:fill="FFFFFF"/>
          </w:tcPr>
          <w:p w14:paraId="2DA1CBEB"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spacing w:val="-1"/>
                <w:lang w:val="sk-SK"/>
              </w:rPr>
              <w:t>Kyselina zoledrónová</w:t>
            </w:r>
            <w:r w:rsidRPr="003F71D2">
              <w:rPr>
                <w:rFonts w:ascii="Times New Roman" w:hAnsi="Times New Roman" w:cs="Times New Roman"/>
                <w:lang w:val="sk-SK"/>
              </w:rPr>
              <w:t xml:space="preserve"> 8 mg (N=90)</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3318BB62"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55,6 %(p=0.021)*</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14:paraId="56D95D3E"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spacing w:val="-1"/>
                <w:lang w:val="sk-SK"/>
              </w:rPr>
              <w:t>83,3 %(p=0.010)*</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14:paraId="6BDAE7AA"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spacing w:val="-3"/>
                <w:lang w:val="sk-SK"/>
              </w:rPr>
              <w:t>86,7 % (p=0.015)*</w:t>
            </w:r>
          </w:p>
        </w:tc>
      </w:tr>
      <w:tr w:rsidR="009466CE" w:rsidRPr="003F71D2" w14:paraId="057C4934" w14:textId="77777777" w:rsidTr="00107A73">
        <w:trPr>
          <w:trHeight w:hRule="exact" w:val="269"/>
        </w:trPr>
        <w:tc>
          <w:tcPr>
            <w:tcW w:w="2842" w:type="dxa"/>
            <w:tcBorders>
              <w:top w:val="single" w:sz="6" w:space="0" w:color="auto"/>
              <w:left w:val="single" w:sz="6" w:space="0" w:color="auto"/>
              <w:bottom w:val="single" w:sz="6" w:space="0" w:color="auto"/>
              <w:right w:val="single" w:sz="6" w:space="0" w:color="auto"/>
            </w:tcBorders>
            <w:shd w:val="clear" w:color="auto" w:fill="FFFFFF"/>
          </w:tcPr>
          <w:p w14:paraId="5272245A"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spacing w:val="-3"/>
                <w:lang w:val="sk-SK"/>
              </w:rPr>
              <w:t>pamidronát 90 mg (N=99)</w:t>
            </w:r>
          </w:p>
        </w:tc>
        <w:tc>
          <w:tcPr>
            <w:tcW w:w="2165" w:type="dxa"/>
            <w:tcBorders>
              <w:top w:val="single" w:sz="6" w:space="0" w:color="auto"/>
              <w:left w:val="single" w:sz="6" w:space="0" w:color="auto"/>
              <w:bottom w:val="single" w:sz="6" w:space="0" w:color="auto"/>
              <w:right w:val="single" w:sz="6" w:space="0" w:color="auto"/>
            </w:tcBorders>
            <w:shd w:val="clear" w:color="auto" w:fill="FFFFFF"/>
          </w:tcPr>
          <w:p w14:paraId="7FE976BE"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33,3 %</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14:paraId="3A7D665D"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63,6 %</w:t>
            </w:r>
          </w:p>
        </w:tc>
        <w:tc>
          <w:tcPr>
            <w:tcW w:w="1992" w:type="dxa"/>
            <w:tcBorders>
              <w:top w:val="single" w:sz="6" w:space="0" w:color="auto"/>
              <w:left w:val="single" w:sz="6" w:space="0" w:color="auto"/>
              <w:bottom w:val="single" w:sz="6" w:space="0" w:color="auto"/>
              <w:right w:val="single" w:sz="6" w:space="0" w:color="auto"/>
            </w:tcBorders>
            <w:shd w:val="clear" w:color="auto" w:fill="FFFFFF"/>
          </w:tcPr>
          <w:p w14:paraId="77CCC3B1"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69,7 %</w:t>
            </w:r>
          </w:p>
        </w:tc>
      </w:tr>
      <w:tr w:rsidR="009466CE" w:rsidRPr="003F71D2" w14:paraId="01371BCB" w14:textId="77777777" w:rsidTr="00107A73">
        <w:trPr>
          <w:trHeight w:hRule="exact" w:val="278"/>
        </w:trPr>
        <w:tc>
          <w:tcPr>
            <w:tcW w:w="9087" w:type="dxa"/>
            <w:gridSpan w:val="4"/>
            <w:tcBorders>
              <w:top w:val="single" w:sz="6" w:space="0" w:color="auto"/>
              <w:left w:val="single" w:sz="6" w:space="0" w:color="auto"/>
              <w:bottom w:val="single" w:sz="6" w:space="0" w:color="auto"/>
              <w:right w:val="single" w:sz="6" w:space="0" w:color="auto"/>
            </w:tcBorders>
            <w:shd w:val="clear" w:color="auto" w:fill="FFFFFF"/>
          </w:tcPr>
          <w:p w14:paraId="0C10F296" w14:textId="77777777" w:rsidR="009466CE" w:rsidRPr="003F71D2" w:rsidRDefault="00DB3564" w:rsidP="003F71D2">
            <w:pPr>
              <w:shd w:val="clear" w:color="auto" w:fill="FFFFFF"/>
              <w:spacing w:line="240" w:lineRule="auto"/>
              <w:rPr>
                <w:rFonts w:ascii="Times New Roman" w:hAnsi="Times New Roman" w:cs="Times New Roman"/>
                <w:lang w:val="sk-SK"/>
              </w:rPr>
            </w:pPr>
            <w:r w:rsidRPr="003F71D2">
              <w:rPr>
                <w:rFonts w:ascii="Times New Roman" w:hAnsi="Times New Roman" w:cs="Times New Roman"/>
                <w:lang w:val="sk-SK"/>
              </w:rPr>
              <w:t>*hodnoty p v porovnaní s pamidronátom.</w:t>
            </w:r>
          </w:p>
        </w:tc>
      </w:tr>
    </w:tbl>
    <w:p w14:paraId="626CB56E" w14:textId="77777777" w:rsidR="007672A1" w:rsidRPr="003F71D2" w:rsidRDefault="007672A1" w:rsidP="003F71D2">
      <w:pPr>
        <w:spacing w:line="240" w:lineRule="auto"/>
        <w:rPr>
          <w:rFonts w:ascii="Times New Roman" w:hAnsi="Times New Roman" w:cs="Times New Roman"/>
          <w:lang w:val="sk-SK"/>
        </w:rPr>
      </w:pPr>
    </w:p>
    <w:p w14:paraId="28D78F05" w14:textId="77777777" w:rsidR="00EC4CD1" w:rsidRPr="003F71D2" w:rsidRDefault="00DB3564" w:rsidP="003F71D2">
      <w:pPr>
        <w:pStyle w:val="Default"/>
        <w:rPr>
          <w:sz w:val="22"/>
          <w:szCs w:val="22"/>
          <w:lang w:val="sk-SK"/>
        </w:rPr>
      </w:pPr>
      <w:r w:rsidRPr="003F71D2">
        <w:rPr>
          <w:sz w:val="22"/>
          <w:szCs w:val="22"/>
          <w:lang w:val="sk-SK"/>
        </w:rPr>
        <w:t xml:space="preserve">Medián času do dosiahnutia normokalciémie bol 4 dni. Medián času do relapsu (opätovné zvýšenie sérového vápnika korigovaného podľa albumínu na </w:t>
      </w:r>
      <w:r w:rsidRPr="003F71D2">
        <w:rPr>
          <w:spacing w:val="-1"/>
          <w:sz w:val="22"/>
          <w:szCs w:val="22"/>
          <w:lang w:val="sk-SK"/>
        </w:rPr>
        <w:t>≥</w:t>
      </w:r>
      <w:r w:rsidRPr="003F71D2">
        <w:rPr>
          <w:sz w:val="22"/>
          <w:szCs w:val="22"/>
          <w:lang w:val="sk-SK"/>
        </w:rPr>
        <w:t xml:space="preserve"> 2,9 mmol/l) bol 30 až 40 dní u pacientov liečených kyselinou zoledrónovou oproti 17 dňom u pacientov liečených 90 mg pamidronátu (hodnoty p: 0,001 pre 4 mg a 0,007 pre 8 mg kyseliny zoledrónovej). Medzi oboma dávkami kyseliny zoledrónovej neboli štatisticky významné rozdiely. </w:t>
      </w:r>
    </w:p>
    <w:p w14:paraId="7096793F" w14:textId="77777777" w:rsidR="00EC4CD1" w:rsidRPr="003F71D2" w:rsidRDefault="00EC4CD1" w:rsidP="003F71D2">
      <w:pPr>
        <w:pStyle w:val="Default"/>
        <w:rPr>
          <w:sz w:val="22"/>
          <w:szCs w:val="22"/>
          <w:lang w:val="sk-SK"/>
        </w:rPr>
      </w:pPr>
    </w:p>
    <w:p w14:paraId="57B65C33" w14:textId="77777777" w:rsidR="00EC4CD1" w:rsidRPr="003F71D2" w:rsidRDefault="00DB3564" w:rsidP="003F71D2">
      <w:pPr>
        <w:pStyle w:val="Default"/>
        <w:rPr>
          <w:sz w:val="22"/>
          <w:szCs w:val="22"/>
          <w:lang w:val="sk-SK"/>
        </w:rPr>
      </w:pPr>
      <w:r w:rsidRPr="003F71D2">
        <w:rPr>
          <w:sz w:val="22"/>
          <w:szCs w:val="22"/>
          <w:lang w:val="sk-SK"/>
        </w:rPr>
        <w:t xml:space="preserve">V klinických skúšaniach bolo 69 pacientov s relapsom alebo bez odpovede na začiatočnú liečbu (kyselina zoledrónová 4 mg, 8 mg alebo pamidronát 90 mg) opäť liečených 8 mg kyseliny zoledrónovej. Podiel takýchto pacientov, u ktorých sa dosiahla odpoveď, bol asi 52 %. Pretože títo pacienti boli liečení len dávkou 8 mg, nie sú údaje, ktoré by umožnili porovnanie s dávkou 4 mg kyseliny zoledrónovej. </w:t>
      </w:r>
    </w:p>
    <w:p w14:paraId="09FBE32D" w14:textId="77777777" w:rsidR="00EC4CD1" w:rsidRPr="003F71D2" w:rsidRDefault="00EC4CD1" w:rsidP="003F71D2">
      <w:pPr>
        <w:pStyle w:val="Default"/>
        <w:rPr>
          <w:sz w:val="22"/>
          <w:szCs w:val="22"/>
          <w:lang w:val="sk-SK"/>
        </w:rPr>
      </w:pPr>
    </w:p>
    <w:p w14:paraId="1F46F63D" w14:textId="77777777" w:rsidR="00EC4CD1" w:rsidRPr="003F71D2" w:rsidRDefault="00DB3564" w:rsidP="00A25927">
      <w:pPr>
        <w:pStyle w:val="Default"/>
        <w:rPr>
          <w:sz w:val="22"/>
          <w:szCs w:val="22"/>
          <w:lang w:val="sk-SK"/>
        </w:rPr>
      </w:pPr>
      <w:r w:rsidRPr="003F71D2">
        <w:rPr>
          <w:sz w:val="22"/>
          <w:szCs w:val="22"/>
          <w:lang w:val="sk-SK"/>
        </w:rPr>
        <w:t xml:space="preserve">V klinických skúšaniach s pacientmi s hyperkalciémiou vyvolanou nádorom (TIH) bol celkový profil bezpečnosti u všetkých troch skupín liečby (kyselina zoledrónová 4 mg a 8 mg a pamidronát 90 mg) podobný čo do typu a závažnosti. </w:t>
      </w:r>
    </w:p>
    <w:p w14:paraId="18F431F5" w14:textId="77777777" w:rsidR="007672A1" w:rsidRDefault="007672A1" w:rsidP="00C63330">
      <w:pPr>
        <w:spacing w:after="0" w:line="240" w:lineRule="auto"/>
        <w:rPr>
          <w:rFonts w:ascii="Times New Roman" w:hAnsi="Times New Roman" w:cs="Times New Roman"/>
          <w:u w:val="single"/>
          <w:lang w:val="sk-SK"/>
        </w:rPr>
      </w:pPr>
    </w:p>
    <w:p w14:paraId="1F3BED66" w14:textId="515030C8" w:rsidR="00EC4CD1" w:rsidRDefault="00112A45" w:rsidP="0005637C">
      <w:pPr>
        <w:spacing w:after="0" w:line="240" w:lineRule="auto"/>
        <w:rPr>
          <w:rFonts w:ascii="Times New Roman" w:hAnsi="Times New Roman" w:cs="Times New Roman"/>
          <w:lang w:val="sk-SK"/>
        </w:rPr>
      </w:pPr>
      <w:r w:rsidRPr="00C63330">
        <w:rPr>
          <w:rFonts w:ascii="Times New Roman" w:hAnsi="Times New Roman" w:cs="Times New Roman"/>
          <w:i/>
          <w:iCs/>
          <w:u w:val="single"/>
          <w:lang w:val="sk-SK"/>
        </w:rPr>
        <w:t>Pediatrická populácia</w:t>
      </w:r>
      <w:r w:rsidR="007672A1">
        <w:rPr>
          <w:rFonts w:ascii="Times New Roman" w:hAnsi="Times New Roman" w:cs="Times New Roman"/>
          <w:i/>
          <w:iCs/>
          <w:u w:val="single"/>
          <w:lang w:val="sk-SK"/>
        </w:rPr>
        <w:br/>
      </w:r>
      <w:r w:rsidR="00DB3564" w:rsidRPr="00A25927">
        <w:rPr>
          <w:rFonts w:ascii="Times New Roman" w:hAnsi="Times New Roman" w:cs="Times New Roman"/>
          <w:u w:val="single"/>
          <w:lang w:val="sk-SK"/>
        </w:rPr>
        <w:t xml:space="preserve">Výsledky klinických skúšaní v liečbe závažnej osteogenesis imperfecta </w:t>
      </w:r>
      <w:r w:rsidR="003647B2" w:rsidRPr="007672A1">
        <w:rPr>
          <w:rFonts w:ascii="Times New Roman" w:hAnsi="Times New Roman" w:cs="Times New Roman"/>
          <w:u w:val="single"/>
          <w:lang w:val="sk-SK"/>
        </w:rPr>
        <w:t>v pediatrickej populácii</w:t>
      </w:r>
      <w:r w:rsidR="00DB3564" w:rsidRPr="007672A1">
        <w:rPr>
          <w:rFonts w:ascii="Times New Roman" w:hAnsi="Times New Roman" w:cs="Times New Roman"/>
          <w:u w:val="single"/>
          <w:lang w:val="sk-SK"/>
        </w:rPr>
        <w:t xml:space="preserve"> vo veku od 1 do 17 rokov</w:t>
      </w:r>
      <w:r w:rsidR="007672A1" w:rsidRPr="00C63330">
        <w:rPr>
          <w:rFonts w:ascii="Times New Roman" w:hAnsi="Times New Roman" w:cs="Times New Roman"/>
          <w:i/>
          <w:iCs/>
          <w:lang w:val="sk-SK"/>
        </w:rPr>
        <w:br/>
      </w:r>
      <w:r w:rsidR="00DB3564" w:rsidRPr="003F71D2">
        <w:rPr>
          <w:rFonts w:ascii="Times New Roman" w:hAnsi="Times New Roman" w:cs="Times New Roman"/>
          <w:lang w:val="sk-SK"/>
        </w:rPr>
        <w:t>Účinky intravenózne podávanej kyseliny zoledrónovej v liečbe pediatrických pacientov (vo veku od 1 do 17 rokov) so závažnou osteogenesis imperfecta (typy I, III a IV) sa porovnali s intravenózne podávaným pamidronátom v jednej medzinárodnej, multicentrickej, randomizovanej, otvorenej štúdii so 74 a 76 pacientmi v uvedených skupinách liečby. Liečba v štúdii trvala 12 mesiacov a predchádzalo jej 4- až 9-týždňové obdobie skríningu, v ktorom sa počas najmenej 2 týždňov užívali doplnky vitamínu D a elementárneho vápnika. V klinickom programe pacienti vo veku od 1 do &lt; 3 roky dostávali 0,025 mg/kg kyseliny zoledrónovej (až do najvyššej jednorazovej dávky 0,35 mg) každé 3 mesiace a pacienti vo veku od 3 do 17 rokov dostávali 0,05 mg/kg kyseliny zoledrónovej (až do najvyššej jednorazovej dávky 0,83 mg) každé 3 mesiace. Štúdia s extenziou sa vykonala na preskúmanie dlhodobej celkovej bezpečnosti a bezpečnosti pre obličky pri podávaní kyseliny zoledrónovej raz za rok alebo dvakrát za rok počas 12 mesiacov liečby v extenzii u detí, ktoré v základnej štúdii ukončili jeden rok liečby buď kyselinou zoledrónovou, alebo pamidronátom.</w:t>
      </w:r>
    </w:p>
    <w:p w14:paraId="6735C3F3" w14:textId="77777777" w:rsidR="00150AC1" w:rsidRPr="003F71D2" w:rsidRDefault="00150AC1" w:rsidP="00C63330">
      <w:pPr>
        <w:spacing w:after="0" w:line="240" w:lineRule="auto"/>
        <w:rPr>
          <w:rFonts w:ascii="Times New Roman" w:hAnsi="Times New Roman" w:cs="Times New Roman"/>
          <w:lang w:val="sk-SK"/>
        </w:rPr>
      </w:pPr>
    </w:p>
    <w:p w14:paraId="590F23EA" w14:textId="14AB29BB" w:rsidR="00EC4CD1"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Primárnym koncovým ukazovateľom v tejto štúdii bola percentuálna zmena minerálnej denzity kostí (BMD) v lumbálnej chrbtici po 12 mesiacoch liečby oproti východiskovým hodnotám. Odhadované účinky liečby na BMD boli podobné, ale usporiadanie klinického skúšania nepostačovalo na preukázanie noninferiority účinnosti kyseliny zoledrónovej. Najmä účinnosť na incidenciu zlomenín alebo bolesť sa jednoznačne nepreukázala. Zlomeniny dlhých kostí dolných končatín boli hlásené ako nežiaduce udalosti u približne 24 % (femur) a 14 % (tíbia) pacientov so závažnou osteogenesis imperfecta liečených kyselinou zoledrónovou oproti 12 % a 5 % pacientov liečených pamidronátom, bez ohľadu na typ ochorenia a kauzalitu, ale celková incidencia zlomenín bola porovnateľná u pacientov liečených kyselinou zoledrónovou a pamidronátom: 43 % (32/74) oproti 41 % (31/76). Interpretáciu rizika zlomenín komplikuje skutočnosť, že zlomeniny sú ako súčasť priebehu ochorenia častou udalosťou u pacientov so závažnou osteogenesis imperfecta.</w:t>
      </w:r>
    </w:p>
    <w:p w14:paraId="5B44F205" w14:textId="1618B9E0" w:rsidR="00C27390"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lastRenderedPageBreak/>
        <w:t>Typ nežiaducich reakcií, ktoré sa pozorovali u tejto populácie, bol podobný, ako sa predtým zaznamenal u dospelých s pokročilými malignitami s postihnutím kosti (pozri časť 4.8). Nežiaduce reakcie usporiadané podľa frekvencie sú uvedené v Tabuľke 6. Použila sa nasledujúca obvyklá klasifikácia: veľmi časté (1/10), časté (1/100 až &lt;1/10), menej časté (1/1 000 až &lt;1/100), zriedkavé (1/10 000 až &lt;1/1 000), veľmi zriedkavé (&lt;1/10 000), neznáme (z dostupných údajov).</w:t>
      </w:r>
    </w:p>
    <w:p w14:paraId="196B2E1D" w14:textId="77777777" w:rsidR="003150E6" w:rsidRPr="003F71D2" w:rsidRDefault="003150E6" w:rsidP="00C63330">
      <w:pPr>
        <w:spacing w:after="0" w:line="240" w:lineRule="auto"/>
        <w:ind w:firstLine="1560"/>
        <w:rPr>
          <w:rFonts w:ascii="Times New Roman" w:hAnsi="Times New Roman" w:cs="Times New Roman"/>
          <w:lang w:val="sk-SK"/>
        </w:rPr>
      </w:pPr>
    </w:p>
    <w:p w14:paraId="7F05A00D" w14:textId="242A7E7C" w:rsidR="00EC4CD1" w:rsidRPr="003F71D2" w:rsidRDefault="00DB3564" w:rsidP="00C63330">
      <w:pPr>
        <w:spacing w:after="0" w:line="240" w:lineRule="auto"/>
        <w:rPr>
          <w:rFonts w:ascii="Times New Roman" w:hAnsi="Times New Roman" w:cs="Times New Roman"/>
          <w:lang w:val="sk-SK"/>
        </w:rPr>
      </w:pPr>
      <w:r w:rsidRPr="00C63330">
        <w:rPr>
          <w:rFonts w:ascii="Times New Roman" w:hAnsi="Times New Roman" w:cs="Times New Roman"/>
          <w:b/>
          <w:bCs/>
          <w:lang w:val="sk-SK"/>
        </w:rPr>
        <w:t>Tabuľka 6:</w:t>
      </w:r>
      <w:r w:rsidRPr="003F71D2">
        <w:rPr>
          <w:rFonts w:ascii="Times New Roman" w:hAnsi="Times New Roman" w:cs="Times New Roman"/>
          <w:lang w:val="sk-SK"/>
        </w:rPr>
        <w:t xml:space="preserve"> Nežiaduce reakcie pozorované </w:t>
      </w:r>
      <w:r w:rsidR="003647B2" w:rsidRPr="003F71D2">
        <w:rPr>
          <w:rFonts w:ascii="Times New Roman" w:hAnsi="Times New Roman" w:cs="Times New Roman"/>
          <w:lang w:val="sk-SK"/>
        </w:rPr>
        <w:t> v pediatrickej populácii</w:t>
      </w:r>
      <w:r w:rsidRPr="003F71D2">
        <w:rPr>
          <w:rFonts w:ascii="Times New Roman" w:hAnsi="Times New Roman" w:cs="Times New Roman"/>
          <w:lang w:val="sk-SK"/>
        </w:rPr>
        <w:t xml:space="preserve"> so závažnou osteogenesis imperfecta</w:t>
      </w:r>
      <w:r w:rsidR="00A5090B" w:rsidRPr="00C63330">
        <w:rPr>
          <w:rFonts w:ascii="Times New Roman" w:hAnsi="Times New Roman" w:cs="Times New Roman"/>
          <w:vertAlign w:val="superscript"/>
          <w:lang w:val="sk-SK"/>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9"/>
        <w:gridCol w:w="3385"/>
      </w:tblGrid>
      <w:tr w:rsidR="00EC4CD1" w:rsidRPr="003F71D2" w14:paraId="67F2B86A" w14:textId="77777777" w:rsidTr="00C63330">
        <w:tc>
          <w:tcPr>
            <w:tcW w:w="9394" w:type="dxa"/>
            <w:gridSpan w:val="2"/>
            <w:tcBorders>
              <w:bottom w:val="nil"/>
            </w:tcBorders>
          </w:tcPr>
          <w:p w14:paraId="15DA04B1" w14:textId="77777777" w:rsidR="00EC4CD1" w:rsidRPr="003F71D2" w:rsidRDefault="00DB3564" w:rsidP="00C63330">
            <w:pPr>
              <w:tabs>
                <w:tab w:val="left" w:pos="4550"/>
              </w:tabs>
              <w:spacing w:after="0" w:line="240" w:lineRule="auto"/>
              <w:ind w:right="5747"/>
              <w:rPr>
                <w:rFonts w:ascii="Times New Roman" w:hAnsi="Times New Roman" w:cs="Times New Roman"/>
                <w:b/>
                <w:i/>
                <w:lang w:val="sk-SK"/>
              </w:rPr>
            </w:pPr>
            <w:r w:rsidRPr="003F71D2">
              <w:rPr>
                <w:rFonts w:ascii="Times New Roman" w:hAnsi="Times New Roman" w:cs="Times New Roman"/>
                <w:b/>
                <w:i/>
                <w:lang w:val="sk-SK"/>
              </w:rPr>
              <w:t>Poruchy nervového systému</w:t>
            </w:r>
          </w:p>
        </w:tc>
      </w:tr>
      <w:tr w:rsidR="00EC4CD1" w:rsidRPr="003F71D2" w14:paraId="12F6B590" w14:textId="77777777" w:rsidTr="00C63330">
        <w:trPr>
          <w:trHeight w:val="107"/>
        </w:trPr>
        <w:tc>
          <w:tcPr>
            <w:tcW w:w="8358" w:type="dxa"/>
            <w:tcBorders>
              <w:top w:val="nil"/>
              <w:right w:val="nil"/>
            </w:tcBorders>
          </w:tcPr>
          <w:p w14:paraId="6599AA99" w14:textId="0C6C39BB" w:rsidR="00EC4CD1" w:rsidRPr="003F71D2" w:rsidRDefault="00DB3564" w:rsidP="00C63330">
            <w:pPr>
              <w:spacing w:after="0" w:line="240" w:lineRule="auto"/>
              <w:ind w:left="1163" w:firstLine="142"/>
              <w:rPr>
                <w:rFonts w:ascii="Times New Roman" w:hAnsi="Times New Roman" w:cs="Times New Roman"/>
                <w:lang w:val="sk-SK"/>
              </w:rPr>
            </w:pPr>
            <w:r w:rsidRPr="003F71D2">
              <w:rPr>
                <w:rFonts w:ascii="Times New Roman" w:hAnsi="Times New Roman" w:cs="Times New Roman"/>
                <w:lang w:val="sk-SK"/>
              </w:rPr>
              <w:t>Časté:</w:t>
            </w:r>
          </w:p>
        </w:tc>
        <w:tc>
          <w:tcPr>
            <w:tcW w:w="1036" w:type="dxa"/>
            <w:tcBorders>
              <w:top w:val="nil"/>
              <w:left w:val="nil"/>
            </w:tcBorders>
          </w:tcPr>
          <w:p w14:paraId="59079547" w14:textId="67F90BA4" w:rsidR="00EC4CD1"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Bolesť hlavy</w:t>
            </w:r>
          </w:p>
        </w:tc>
      </w:tr>
      <w:tr w:rsidR="00EC4CD1" w:rsidRPr="003F71D2" w14:paraId="219D469D" w14:textId="77777777" w:rsidTr="00C63330">
        <w:tc>
          <w:tcPr>
            <w:tcW w:w="9394" w:type="dxa"/>
            <w:gridSpan w:val="2"/>
            <w:tcBorders>
              <w:bottom w:val="nil"/>
            </w:tcBorders>
          </w:tcPr>
          <w:p w14:paraId="1DA016F4" w14:textId="77777777" w:rsidR="00EC4CD1" w:rsidRPr="003F71D2" w:rsidRDefault="00DB3564" w:rsidP="00C63330">
            <w:pPr>
              <w:spacing w:after="0" w:line="240" w:lineRule="auto"/>
              <w:rPr>
                <w:rFonts w:ascii="Times New Roman" w:hAnsi="Times New Roman" w:cs="Times New Roman"/>
                <w:b/>
                <w:i/>
                <w:lang w:val="sk-SK"/>
              </w:rPr>
            </w:pPr>
            <w:r w:rsidRPr="003F71D2">
              <w:rPr>
                <w:rFonts w:ascii="Times New Roman" w:hAnsi="Times New Roman" w:cs="Times New Roman"/>
                <w:b/>
                <w:i/>
                <w:lang w:val="sk-SK"/>
              </w:rPr>
              <w:t>Poruchy srdca a srdcovej činnosti</w:t>
            </w:r>
          </w:p>
        </w:tc>
      </w:tr>
      <w:tr w:rsidR="00EC4CD1" w:rsidRPr="003F71D2" w14:paraId="07C3D555" w14:textId="77777777" w:rsidTr="00C63330">
        <w:trPr>
          <w:trHeight w:val="541"/>
        </w:trPr>
        <w:tc>
          <w:tcPr>
            <w:tcW w:w="8358" w:type="dxa"/>
            <w:tcBorders>
              <w:top w:val="nil"/>
              <w:right w:val="nil"/>
            </w:tcBorders>
          </w:tcPr>
          <w:p w14:paraId="29AAC2D0" w14:textId="2EEF82F1" w:rsidR="00EC4CD1" w:rsidRPr="003F71D2" w:rsidRDefault="00DB3564" w:rsidP="00C63330">
            <w:pPr>
              <w:shd w:val="clear" w:color="auto" w:fill="FFFFFF"/>
              <w:spacing w:after="0" w:line="240" w:lineRule="auto"/>
              <w:ind w:left="1305"/>
              <w:rPr>
                <w:rFonts w:ascii="Times New Roman" w:hAnsi="Times New Roman" w:cs="Times New Roman"/>
                <w:lang w:val="sk-SK"/>
              </w:rPr>
            </w:pPr>
            <w:r w:rsidRPr="003F71D2">
              <w:rPr>
                <w:rFonts w:ascii="Times New Roman" w:hAnsi="Times New Roman" w:cs="Times New Roman"/>
                <w:lang w:val="sk-SK"/>
              </w:rPr>
              <w:t>Časté:</w:t>
            </w:r>
          </w:p>
        </w:tc>
        <w:tc>
          <w:tcPr>
            <w:tcW w:w="1036" w:type="dxa"/>
            <w:tcBorders>
              <w:top w:val="nil"/>
              <w:left w:val="nil"/>
            </w:tcBorders>
          </w:tcPr>
          <w:p w14:paraId="0683C25B" w14:textId="58408930" w:rsidR="00EC4CD1"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Tachykardia</w:t>
            </w:r>
          </w:p>
        </w:tc>
      </w:tr>
      <w:tr w:rsidR="00EC4CD1" w:rsidRPr="003F71D2" w14:paraId="5459E671" w14:textId="77777777" w:rsidTr="00C63330">
        <w:tc>
          <w:tcPr>
            <w:tcW w:w="9394" w:type="dxa"/>
            <w:gridSpan w:val="2"/>
            <w:tcBorders>
              <w:bottom w:val="nil"/>
            </w:tcBorders>
          </w:tcPr>
          <w:p w14:paraId="7EDBE129" w14:textId="77777777" w:rsidR="00EC4CD1" w:rsidRPr="003F71D2" w:rsidRDefault="00DB3564" w:rsidP="00C63330">
            <w:pPr>
              <w:spacing w:after="0" w:line="240" w:lineRule="auto"/>
              <w:ind w:right="1739"/>
              <w:rPr>
                <w:rFonts w:ascii="Times New Roman" w:hAnsi="Times New Roman" w:cs="Times New Roman"/>
                <w:b/>
                <w:i/>
                <w:lang w:val="sk-SK"/>
              </w:rPr>
            </w:pPr>
            <w:r w:rsidRPr="003F71D2">
              <w:rPr>
                <w:rFonts w:ascii="Times New Roman" w:hAnsi="Times New Roman" w:cs="Times New Roman"/>
                <w:b/>
                <w:i/>
                <w:lang w:val="sk-SK"/>
              </w:rPr>
              <w:t>Poruchy dýchacej sústavy, hrudníka a mediastína</w:t>
            </w:r>
          </w:p>
        </w:tc>
      </w:tr>
      <w:tr w:rsidR="00EC4CD1" w:rsidRPr="003F71D2" w14:paraId="530B0FB6" w14:textId="77777777" w:rsidTr="00C63330">
        <w:trPr>
          <w:trHeight w:val="443"/>
        </w:trPr>
        <w:tc>
          <w:tcPr>
            <w:tcW w:w="8358" w:type="dxa"/>
            <w:tcBorders>
              <w:top w:val="nil"/>
              <w:right w:val="nil"/>
            </w:tcBorders>
          </w:tcPr>
          <w:p w14:paraId="17EA6355" w14:textId="357F2062" w:rsidR="00EC4CD1" w:rsidRPr="003F71D2" w:rsidRDefault="00DB3564" w:rsidP="00C63330">
            <w:pPr>
              <w:spacing w:after="0" w:line="240" w:lineRule="auto"/>
              <w:ind w:left="1302" w:right="1739"/>
              <w:rPr>
                <w:rFonts w:ascii="Times New Roman" w:hAnsi="Times New Roman" w:cs="Times New Roman"/>
                <w:lang w:val="sk-SK"/>
              </w:rPr>
            </w:pPr>
            <w:r w:rsidRPr="003F71D2">
              <w:rPr>
                <w:rFonts w:ascii="Times New Roman" w:hAnsi="Times New Roman" w:cs="Times New Roman"/>
                <w:lang w:val="sk-SK"/>
              </w:rPr>
              <w:t>Časté:</w:t>
            </w:r>
          </w:p>
        </w:tc>
        <w:tc>
          <w:tcPr>
            <w:tcW w:w="1036" w:type="dxa"/>
            <w:tcBorders>
              <w:top w:val="nil"/>
              <w:left w:val="nil"/>
            </w:tcBorders>
          </w:tcPr>
          <w:p w14:paraId="68BDC3BD" w14:textId="3EDBE4E2" w:rsidR="00EC4CD1" w:rsidRPr="003F71D2" w:rsidRDefault="00DB3564" w:rsidP="00C63330">
            <w:pPr>
              <w:spacing w:line="240" w:lineRule="auto"/>
              <w:ind w:right="1739"/>
              <w:rPr>
                <w:rFonts w:ascii="Times New Roman" w:hAnsi="Times New Roman" w:cs="Times New Roman"/>
                <w:lang w:val="sk-SK"/>
              </w:rPr>
            </w:pPr>
            <w:r w:rsidRPr="003F71D2">
              <w:rPr>
                <w:rFonts w:ascii="Times New Roman" w:hAnsi="Times New Roman" w:cs="Times New Roman"/>
                <w:lang w:val="sk-SK"/>
              </w:rPr>
              <w:t>Nazofaryngitída</w:t>
            </w:r>
          </w:p>
        </w:tc>
      </w:tr>
      <w:tr w:rsidR="00EC4CD1" w:rsidRPr="003F71D2" w14:paraId="7E65388C" w14:textId="77777777" w:rsidTr="00C63330">
        <w:tc>
          <w:tcPr>
            <w:tcW w:w="9394" w:type="dxa"/>
            <w:gridSpan w:val="2"/>
            <w:tcBorders>
              <w:bottom w:val="nil"/>
            </w:tcBorders>
          </w:tcPr>
          <w:p w14:paraId="6A66A217" w14:textId="77777777" w:rsidR="00EC4CD1" w:rsidRPr="003F71D2" w:rsidRDefault="00DB3564" w:rsidP="00C63330">
            <w:pPr>
              <w:spacing w:after="100" w:afterAutospacing="1" w:line="240" w:lineRule="auto"/>
              <w:ind w:right="1167"/>
              <w:rPr>
                <w:rFonts w:ascii="Times New Roman" w:hAnsi="Times New Roman" w:cs="Times New Roman"/>
                <w:b/>
                <w:i/>
                <w:lang w:val="sk-SK"/>
              </w:rPr>
            </w:pPr>
            <w:r w:rsidRPr="003F71D2">
              <w:rPr>
                <w:rFonts w:ascii="Times New Roman" w:hAnsi="Times New Roman" w:cs="Times New Roman"/>
                <w:b/>
                <w:i/>
                <w:lang w:val="sk-SK"/>
              </w:rPr>
              <w:t>Poruchy gastrointestinálneho traktu</w:t>
            </w:r>
          </w:p>
        </w:tc>
      </w:tr>
      <w:tr w:rsidR="00EC4CD1" w:rsidRPr="003F71D2" w14:paraId="58BB22D0" w14:textId="77777777" w:rsidTr="00C63330">
        <w:tc>
          <w:tcPr>
            <w:tcW w:w="8358" w:type="dxa"/>
            <w:tcBorders>
              <w:top w:val="nil"/>
              <w:bottom w:val="nil"/>
              <w:right w:val="nil"/>
            </w:tcBorders>
          </w:tcPr>
          <w:p w14:paraId="0C375E28" w14:textId="690A185B" w:rsidR="00EC4CD1" w:rsidRPr="003F71D2" w:rsidRDefault="00DB3564" w:rsidP="00C63330">
            <w:pPr>
              <w:spacing w:after="0" w:line="240" w:lineRule="auto"/>
              <w:ind w:left="1305"/>
              <w:rPr>
                <w:rFonts w:ascii="Times New Roman" w:hAnsi="Times New Roman" w:cs="Times New Roman"/>
                <w:lang w:val="sk-SK"/>
              </w:rPr>
            </w:pPr>
            <w:r w:rsidRPr="003F71D2">
              <w:rPr>
                <w:rFonts w:ascii="Times New Roman" w:hAnsi="Times New Roman" w:cs="Times New Roman"/>
                <w:lang w:val="sk-SK"/>
              </w:rPr>
              <w:t>Veľmi časté:</w:t>
            </w:r>
          </w:p>
        </w:tc>
        <w:tc>
          <w:tcPr>
            <w:tcW w:w="1036" w:type="dxa"/>
            <w:tcBorders>
              <w:top w:val="nil"/>
              <w:left w:val="nil"/>
              <w:bottom w:val="nil"/>
            </w:tcBorders>
          </w:tcPr>
          <w:p w14:paraId="4F3FAC20" w14:textId="14E881E7" w:rsidR="00EC4CD1"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Vracanie, nauzea</w:t>
            </w:r>
          </w:p>
        </w:tc>
      </w:tr>
      <w:tr w:rsidR="00EC4CD1" w:rsidRPr="003F71D2" w14:paraId="6540A67D" w14:textId="77777777" w:rsidTr="00C63330">
        <w:tc>
          <w:tcPr>
            <w:tcW w:w="8358" w:type="dxa"/>
            <w:tcBorders>
              <w:top w:val="nil"/>
              <w:right w:val="nil"/>
            </w:tcBorders>
          </w:tcPr>
          <w:p w14:paraId="1E336194" w14:textId="43554336" w:rsidR="00EC4CD1" w:rsidRPr="003F71D2" w:rsidRDefault="00DB3564" w:rsidP="00C63330">
            <w:pPr>
              <w:spacing w:after="0" w:line="240" w:lineRule="auto"/>
              <w:ind w:left="1305"/>
              <w:rPr>
                <w:rFonts w:ascii="Times New Roman" w:hAnsi="Times New Roman" w:cs="Times New Roman"/>
                <w:lang w:val="sk-SK"/>
              </w:rPr>
            </w:pPr>
            <w:r w:rsidRPr="003F71D2">
              <w:rPr>
                <w:rFonts w:ascii="Times New Roman" w:hAnsi="Times New Roman" w:cs="Times New Roman"/>
                <w:lang w:val="sk-SK"/>
              </w:rPr>
              <w:t>Časté:</w:t>
            </w:r>
          </w:p>
        </w:tc>
        <w:tc>
          <w:tcPr>
            <w:tcW w:w="1036" w:type="dxa"/>
            <w:tcBorders>
              <w:top w:val="nil"/>
              <w:left w:val="nil"/>
            </w:tcBorders>
          </w:tcPr>
          <w:p w14:paraId="286C7E93" w14:textId="36CC3F8E" w:rsidR="00EC4CD1"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Bolesť brucha</w:t>
            </w:r>
          </w:p>
        </w:tc>
      </w:tr>
      <w:tr w:rsidR="00EC4CD1" w:rsidRPr="003F71D2" w14:paraId="3F927FA6" w14:textId="77777777" w:rsidTr="00C63330">
        <w:tc>
          <w:tcPr>
            <w:tcW w:w="9394" w:type="dxa"/>
            <w:gridSpan w:val="2"/>
            <w:tcBorders>
              <w:bottom w:val="nil"/>
            </w:tcBorders>
          </w:tcPr>
          <w:p w14:paraId="7C40087C" w14:textId="77777777" w:rsidR="00EC4CD1" w:rsidRPr="003F71D2" w:rsidRDefault="00DB3564" w:rsidP="00C63330">
            <w:pPr>
              <w:spacing w:after="0" w:line="240" w:lineRule="auto"/>
              <w:rPr>
                <w:rFonts w:ascii="Times New Roman" w:hAnsi="Times New Roman" w:cs="Times New Roman"/>
                <w:b/>
                <w:i/>
                <w:lang w:val="sk-SK"/>
              </w:rPr>
            </w:pPr>
            <w:r w:rsidRPr="003F71D2">
              <w:rPr>
                <w:rFonts w:ascii="Times New Roman" w:hAnsi="Times New Roman" w:cs="Times New Roman"/>
                <w:b/>
                <w:i/>
                <w:lang w:val="sk-SK"/>
              </w:rPr>
              <w:t>Poruchy kostrovej a svalovej sústavy a spojivového tkaniva</w:t>
            </w:r>
          </w:p>
        </w:tc>
      </w:tr>
      <w:tr w:rsidR="00EC4CD1" w:rsidRPr="003F71D2" w14:paraId="19741E62" w14:textId="77777777" w:rsidTr="00C63330">
        <w:tc>
          <w:tcPr>
            <w:tcW w:w="8358" w:type="dxa"/>
            <w:tcBorders>
              <w:top w:val="nil"/>
              <w:right w:val="nil"/>
            </w:tcBorders>
          </w:tcPr>
          <w:p w14:paraId="7237CDDB" w14:textId="39003487" w:rsidR="00EC4CD1" w:rsidRPr="003F71D2" w:rsidRDefault="00DB3564" w:rsidP="00C63330">
            <w:pPr>
              <w:shd w:val="clear" w:color="auto" w:fill="FFFFFF"/>
              <w:spacing w:after="0" w:line="240" w:lineRule="auto"/>
              <w:ind w:firstLine="1305"/>
              <w:rPr>
                <w:rFonts w:ascii="Times New Roman" w:hAnsi="Times New Roman" w:cs="Times New Roman"/>
                <w:lang w:val="sk-SK"/>
              </w:rPr>
            </w:pPr>
            <w:r w:rsidRPr="003F71D2">
              <w:rPr>
                <w:rFonts w:ascii="Times New Roman" w:hAnsi="Times New Roman" w:cs="Times New Roman"/>
                <w:lang w:val="sk-SK"/>
              </w:rPr>
              <w:t xml:space="preserve"> Časté:</w:t>
            </w:r>
          </w:p>
        </w:tc>
        <w:tc>
          <w:tcPr>
            <w:tcW w:w="1036" w:type="dxa"/>
            <w:tcBorders>
              <w:top w:val="nil"/>
              <w:left w:val="nil"/>
            </w:tcBorders>
          </w:tcPr>
          <w:p w14:paraId="61E1407E" w14:textId="77777777" w:rsidR="00EC4CD1"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Bolesť končatín, bolesť kĺbov, bolesť svalov a kostí</w:t>
            </w:r>
          </w:p>
        </w:tc>
      </w:tr>
      <w:tr w:rsidR="00EC4CD1" w:rsidRPr="003F71D2" w14:paraId="1D6AF16A" w14:textId="77777777" w:rsidTr="00C63330">
        <w:tc>
          <w:tcPr>
            <w:tcW w:w="9394" w:type="dxa"/>
            <w:gridSpan w:val="2"/>
            <w:tcBorders>
              <w:bottom w:val="nil"/>
            </w:tcBorders>
          </w:tcPr>
          <w:p w14:paraId="16BE4BB4" w14:textId="77777777" w:rsidR="00EC4CD1" w:rsidRPr="003F71D2" w:rsidRDefault="00DB3564" w:rsidP="00C63330">
            <w:pPr>
              <w:spacing w:after="0" w:line="240" w:lineRule="auto"/>
              <w:rPr>
                <w:rFonts w:ascii="Times New Roman" w:hAnsi="Times New Roman" w:cs="Times New Roman"/>
                <w:b/>
                <w:i/>
                <w:lang w:val="sk-SK"/>
              </w:rPr>
            </w:pPr>
            <w:r w:rsidRPr="003F71D2">
              <w:rPr>
                <w:rFonts w:ascii="Times New Roman" w:hAnsi="Times New Roman" w:cs="Times New Roman"/>
                <w:b/>
                <w:i/>
                <w:lang w:val="sk-SK"/>
              </w:rPr>
              <w:t>Celkové poruchy a reakcie v mieste podania</w:t>
            </w:r>
          </w:p>
        </w:tc>
      </w:tr>
      <w:tr w:rsidR="00EC4CD1" w:rsidRPr="003F71D2" w14:paraId="359275F1" w14:textId="77777777" w:rsidTr="00C63330">
        <w:tc>
          <w:tcPr>
            <w:tcW w:w="8358" w:type="dxa"/>
            <w:tcBorders>
              <w:top w:val="nil"/>
              <w:bottom w:val="nil"/>
              <w:right w:val="nil"/>
            </w:tcBorders>
          </w:tcPr>
          <w:p w14:paraId="2ABC2BC0" w14:textId="57EBE493" w:rsidR="00EC4CD1" w:rsidRPr="003F71D2" w:rsidRDefault="00DB3564" w:rsidP="00C63330">
            <w:pPr>
              <w:spacing w:after="0" w:line="240" w:lineRule="auto"/>
              <w:ind w:left="1447"/>
              <w:rPr>
                <w:rFonts w:ascii="Times New Roman" w:hAnsi="Times New Roman" w:cs="Times New Roman"/>
                <w:lang w:val="sk-SK"/>
              </w:rPr>
            </w:pPr>
            <w:r w:rsidRPr="003F71D2">
              <w:rPr>
                <w:rFonts w:ascii="Times New Roman" w:hAnsi="Times New Roman" w:cs="Times New Roman"/>
                <w:lang w:val="sk-SK"/>
              </w:rPr>
              <w:t>Veľmi časté:</w:t>
            </w:r>
          </w:p>
        </w:tc>
        <w:tc>
          <w:tcPr>
            <w:tcW w:w="1036" w:type="dxa"/>
            <w:tcBorders>
              <w:top w:val="nil"/>
              <w:left w:val="nil"/>
              <w:bottom w:val="nil"/>
            </w:tcBorders>
          </w:tcPr>
          <w:p w14:paraId="0FE74017" w14:textId="77777777" w:rsidR="00EC4CD1"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Pyrexia, únava</w:t>
            </w:r>
          </w:p>
        </w:tc>
      </w:tr>
      <w:tr w:rsidR="00EC4CD1" w:rsidRPr="003F71D2" w14:paraId="713DFC5A" w14:textId="77777777" w:rsidTr="00C63330">
        <w:trPr>
          <w:trHeight w:val="281"/>
        </w:trPr>
        <w:tc>
          <w:tcPr>
            <w:tcW w:w="8358" w:type="dxa"/>
            <w:tcBorders>
              <w:top w:val="nil"/>
              <w:right w:val="nil"/>
            </w:tcBorders>
          </w:tcPr>
          <w:p w14:paraId="4EC3723F" w14:textId="0FACCAD3" w:rsidR="00EC4CD1" w:rsidRPr="003F71D2" w:rsidRDefault="00DB3564" w:rsidP="00C63330">
            <w:pPr>
              <w:spacing w:after="0" w:line="240" w:lineRule="auto"/>
              <w:ind w:left="880" w:firstLine="708"/>
              <w:rPr>
                <w:rFonts w:ascii="Times New Roman" w:hAnsi="Times New Roman" w:cs="Times New Roman"/>
                <w:lang w:val="sk-SK"/>
              </w:rPr>
            </w:pPr>
            <w:r w:rsidRPr="003F71D2">
              <w:rPr>
                <w:rFonts w:ascii="Times New Roman" w:hAnsi="Times New Roman" w:cs="Times New Roman"/>
                <w:lang w:val="sk-SK"/>
              </w:rPr>
              <w:t>Časté:</w:t>
            </w:r>
          </w:p>
        </w:tc>
        <w:tc>
          <w:tcPr>
            <w:tcW w:w="1036" w:type="dxa"/>
            <w:tcBorders>
              <w:top w:val="nil"/>
              <w:left w:val="nil"/>
            </w:tcBorders>
          </w:tcPr>
          <w:p w14:paraId="3B02B09B" w14:textId="77777777" w:rsidR="00EC4CD1"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Reakcia akútnej fázy, bolesť</w:t>
            </w:r>
          </w:p>
        </w:tc>
      </w:tr>
      <w:tr w:rsidR="00EC4CD1" w:rsidRPr="003F71D2" w14:paraId="1254D83C" w14:textId="77777777" w:rsidTr="00C63330">
        <w:tc>
          <w:tcPr>
            <w:tcW w:w="9394" w:type="dxa"/>
            <w:gridSpan w:val="2"/>
            <w:tcBorders>
              <w:bottom w:val="nil"/>
            </w:tcBorders>
          </w:tcPr>
          <w:p w14:paraId="720704EC" w14:textId="77777777" w:rsidR="00EC4CD1" w:rsidRPr="003F71D2" w:rsidRDefault="00DB3564" w:rsidP="00C63330">
            <w:pPr>
              <w:spacing w:after="0" w:line="240" w:lineRule="auto"/>
              <w:rPr>
                <w:rFonts w:ascii="Times New Roman" w:hAnsi="Times New Roman" w:cs="Times New Roman"/>
                <w:b/>
                <w:i/>
                <w:lang w:val="sk-SK"/>
              </w:rPr>
            </w:pPr>
            <w:r w:rsidRPr="003F71D2">
              <w:rPr>
                <w:rFonts w:ascii="Times New Roman" w:hAnsi="Times New Roman" w:cs="Times New Roman"/>
                <w:b/>
                <w:i/>
                <w:lang w:val="sk-SK"/>
              </w:rPr>
              <w:t>Laboratórne a funkčné vyšetrenia</w:t>
            </w:r>
          </w:p>
        </w:tc>
      </w:tr>
      <w:tr w:rsidR="00EC4CD1" w:rsidRPr="003F71D2" w14:paraId="41F99036" w14:textId="77777777" w:rsidTr="00C63330">
        <w:tc>
          <w:tcPr>
            <w:tcW w:w="8358" w:type="dxa"/>
            <w:tcBorders>
              <w:top w:val="nil"/>
              <w:bottom w:val="nil"/>
              <w:right w:val="nil"/>
            </w:tcBorders>
          </w:tcPr>
          <w:p w14:paraId="5BF82B12" w14:textId="72EDB7F2" w:rsidR="00EC4CD1"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Veľmi časté:</w:t>
            </w:r>
          </w:p>
        </w:tc>
        <w:tc>
          <w:tcPr>
            <w:tcW w:w="1036" w:type="dxa"/>
            <w:tcBorders>
              <w:top w:val="nil"/>
              <w:left w:val="nil"/>
              <w:bottom w:val="nil"/>
            </w:tcBorders>
          </w:tcPr>
          <w:p w14:paraId="5A9930FF" w14:textId="77777777" w:rsidR="00EC4CD1"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Hypokalciémia</w:t>
            </w:r>
          </w:p>
        </w:tc>
      </w:tr>
      <w:tr w:rsidR="00EC4CD1" w:rsidRPr="003F71D2" w14:paraId="0BE7F3CB" w14:textId="77777777" w:rsidTr="00C63330">
        <w:trPr>
          <w:trHeight w:val="342"/>
        </w:trPr>
        <w:tc>
          <w:tcPr>
            <w:tcW w:w="8358" w:type="dxa"/>
            <w:tcBorders>
              <w:top w:val="nil"/>
              <w:right w:val="nil"/>
            </w:tcBorders>
          </w:tcPr>
          <w:p w14:paraId="1E1E3ED6" w14:textId="24B6C111" w:rsidR="00EC4CD1" w:rsidRPr="003F71D2"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Časté:</w:t>
            </w:r>
          </w:p>
        </w:tc>
        <w:tc>
          <w:tcPr>
            <w:tcW w:w="1036" w:type="dxa"/>
            <w:tcBorders>
              <w:top w:val="nil"/>
              <w:left w:val="nil"/>
            </w:tcBorders>
          </w:tcPr>
          <w:p w14:paraId="5D93D890" w14:textId="54AEECBF" w:rsidR="00EC4CD1"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Hypofosfatémia</w:t>
            </w:r>
          </w:p>
        </w:tc>
      </w:tr>
    </w:tbl>
    <w:p w14:paraId="43FB5498" w14:textId="12197049" w:rsidR="00EC4CD1" w:rsidRPr="003F71D2" w:rsidRDefault="004561CB" w:rsidP="00C63330">
      <w:pPr>
        <w:spacing w:after="0" w:line="240" w:lineRule="auto"/>
        <w:rPr>
          <w:rFonts w:ascii="Times New Roman" w:hAnsi="Times New Roman" w:cs="Times New Roman"/>
          <w:lang w:val="sk-SK"/>
        </w:rPr>
      </w:pPr>
      <w:r w:rsidRPr="00C63330">
        <w:rPr>
          <w:rFonts w:ascii="Times New Roman" w:hAnsi="Times New Roman" w:cs="Times New Roman"/>
          <w:vertAlign w:val="superscript"/>
          <w:lang w:val="sk-SK"/>
        </w:rPr>
        <w:t xml:space="preserve">1 </w:t>
      </w:r>
      <w:r>
        <w:rPr>
          <w:rFonts w:ascii="Times New Roman" w:hAnsi="Times New Roman" w:cs="Times New Roman"/>
          <w:vertAlign w:val="superscript"/>
          <w:lang w:val="sk-SK"/>
        </w:rPr>
        <w:t xml:space="preserve">   </w:t>
      </w:r>
      <w:r w:rsidR="00DB3564" w:rsidRPr="003F71D2">
        <w:rPr>
          <w:rFonts w:ascii="Times New Roman" w:hAnsi="Times New Roman" w:cs="Times New Roman"/>
          <w:lang w:val="sk-SK"/>
        </w:rPr>
        <w:t>Nežiaduce udalosti vyskytujúce sa s frekvenciou &lt; 5 % boli medicínsky vyhodnotené a ukázalo sa, že tieto prípady zodpovedajú overenému profilu bezpečnosti kyseliny zoledrónovej (pozri časť 4.8).</w:t>
      </w:r>
    </w:p>
    <w:p w14:paraId="196EEB1A" w14:textId="77777777" w:rsidR="003150E6" w:rsidRDefault="003150E6" w:rsidP="00C63330">
      <w:pPr>
        <w:spacing w:after="0" w:line="240" w:lineRule="auto"/>
        <w:rPr>
          <w:rFonts w:ascii="Times New Roman" w:hAnsi="Times New Roman" w:cs="Times New Roman"/>
          <w:lang w:val="sk-SK"/>
        </w:rPr>
      </w:pPr>
    </w:p>
    <w:p w14:paraId="1BE93745" w14:textId="74F56274" w:rsidR="00EC4CD1" w:rsidRDefault="003647B2"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V pediatrickej populácii</w:t>
      </w:r>
      <w:r w:rsidR="00DB3564" w:rsidRPr="003F71D2">
        <w:rPr>
          <w:rFonts w:ascii="Times New Roman" w:hAnsi="Times New Roman" w:cs="Times New Roman"/>
          <w:lang w:val="sk-SK"/>
        </w:rPr>
        <w:t xml:space="preserve"> so závažnou osteogenesis imperfecta sa zdá, že kyselina zoledrónová je v porovnaní s pamidronátom spojená s výraznejším rizikom reakcie akútnej fázy, hypokalciémie a nevysvetlenej tachykardie, ale tieto rozdiely sa znižovali pri následných infúziách.</w:t>
      </w:r>
    </w:p>
    <w:p w14:paraId="7F4BC91A" w14:textId="77777777" w:rsidR="003150E6" w:rsidRPr="003F71D2" w:rsidRDefault="003150E6" w:rsidP="00C63330">
      <w:pPr>
        <w:spacing w:after="0" w:line="240" w:lineRule="auto"/>
        <w:rPr>
          <w:rFonts w:ascii="Times New Roman" w:hAnsi="Times New Roman" w:cs="Times New Roman"/>
          <w:lang w:val="sk-SK"/>
        </w:rPr>
      </w:pPr>
    </w:p>
    <w:p w14:paraId="5CFA02B2" w14:textId="629EB0A4" w:rsidR="00EC4CD1"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 xml:space="preserve">Európska agentúra pre lieky udelila výnimku z povinnosti predložiť výsledky štúdií pre kyselinu zoledrónovú s ohľadom na všetky vekové podskupiny </w:t>
      </w:r>
      <w:r w:rsidR="003647B2" w:rsidRPr="003F71D2">
        <w:rPr>
          <w:rFonts w:ascii="Times New Roman" w:hAnsi="Times New Roman" w:cs="Times New Roman"/>
          <w:lang w:val="sk-SK"/>
        </w:rPr>
        <w:t> v pediatrickej populácii</w:t>
      </w:r>
      <w:r w:rsidRPr="003F71D2">
        <w:rPr>
          <w:rFonts w:ascii="Times New Roman" w:hAnsi="Times New Roman" w:cs="Times New Roman"/>
          <w:lang w:val="sk-SK"/>
        </w:rPr>
        <w:t xml:space="preserve"> v liečbe hyperkalciémie vyvolanej nádorom a v prevencii príhod súvisiacich so skeletom u pacientov s postihnutím kostí pri pokročilých malignitách (pozri časť 4.2 pre informáciu o použití </w:t>
      </w:r>
      <w:r w:rsidR="003647B2" w:rsidRPr="003F71D2">
        <w:rPr>
          <w:rFonts w:ascii="Times New Roman" w:hAnsi="Times New Roman" w:cs="Times New Roman"/>
          <w:lang w:val="sk-SK"/>
        </w:rPr>
        <w:t>v pediatrickej populácii</w:t>
      </w:r>
      <w:r w:rsidR="00A23A31" w:rsidRPr="003F71D2">
        <w:rPr>
          <w:rFonts w:ascii="Times New Roman" w:hAnsi="Times New Roman" w:cs="Times New Roman"/>
          <w:lang w:val="sk-SK"/>
        </w:rPr>
        <w:t>)</w:t>
      </w:r>
      <w:r w:rsidR="003647B2" w:rsidRPr="003F71D2">
        <w:rPr>
          <w:rFonts w:ascii="Times New Roman" w:hAnsi="Times New Roman" w:cs="Times New Roman"/>
          <w:lang w:val="sk-SK"/>
        </w:rPr>
        <w:t>.</w:t>
      </w:r>
    </w:p>
    <w:p w14:paraId="4F3DF346" w14:textId="77777777" w:rsidR="003150E6" w:rsidRPr="003F71D2" w:rsidRDefault="003150E6" w:rsidP="00C63330">
      <w:pPr>
        <w:spacing w:after="0" w:line="240" w:lineRule="auto"/>
        <w:rPr>
          <w:rFonts w:ascii="Times New Roman" w:hAnsi="Times New Roman" w:cs="Times New Roman"/>
          <w:lang w:val="sk-SK"/>
        </w:rPr>
      </w:pPr>
    </w:p>
    <w:p w14:paraId="7E463C14" w14:textId="04CEF65A" w:rsidR="00EC4CD1" w:rsidRDefault="00DB3564" w:rsidP="00C63330">
      <w:pPr>
        <w:spacing w:after="0" w:line="240" w:lineRule="auto"/>
        <w:rPr>
          <w:rFonts w:ascii="Times New Roman" w:hAnsi="Times New Roman" w:cs="Times New Roman"/>
          <w:b/>
          <w:lang w:val="sk-SK"/>
        </w:rPr>
      </w:pPr>
      <w:r w:rsidRPr="003F71D2">
        <w:rPr>
          <w:rFonts w:ascii="Times New Roman" w:hAnsi="Times New Roman" w:cs="Times New Roman"/>
          <w:b/>
          <w:lang w:val="sk-SK"/>
        </w:rPr>
        <w:t>5.2</w:t>
      </w:r>
      <w:r w:rsidRPr="003F71D2">
        <w:rPr>
          <w:rFonts w:ascii="Times New Roman" w:hAnsi="Times New Roman" w:cs="Times New Roman"/>
          <w:b/>
          <w:lang w:val="sk-SK"/>
        </w:rPr>
        <w:tab/>
        <w:t>Farmakokinetické vlastnosti</w:t>
      </w:r>
    </w:p>
    <w:p w14:paraId="67E7ADEA" w14:textId="77777777" w:rsidR="00BB18CF" w:rsidRPr="003F71D2" w:rsidRDefault="00BB18CF" w:rsidP="00C63330">
      <w:pPr>
        <w:spacing w:after="0" w:line="240" w:lineRule="auto"/>
        <w:rPr>
          <w:rFonts w:ascii="Times New Roman" w:hAnsi="Times New Roman" w:cs="Times New Roman"/>
          <w:b/>
          <w:lang w:val="sk-SK"/>
        </w:rPr>
      </w:pPr>
    </w:p>
    <w:p w14:paraId="677BCE2A" w14:textId="77777777" w:rsidR="00EC4CD1"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Pri jednorazových a opakovaných infúziách trvajúcich 5 a 15 minút, ktorými sa podalo 2, 4, 8 a 16 mg kyseliny zoledrónovej 64 pacientom s metastázami v kostiach, sa zistili nasledujúce farmakokinetické údaje, ktoré nezáviseli od dávky.</w:t>
      </w:r>
    </w:p>
    <w:p w14:paraId="3E07E08B" w14:textId="77777777" w:rsidR="00BB18CF" w:rsidRPr="003F71D2" w:rsidRDefault="00BB18CF" w:rsidP="00C63330">
      <w:pPr>
        <w:spacing w:after="0" w:line="240" w:lineRule="auto"/>
        <w:rPr>
          <w:rFonts w:ascii="Times New Roman" w:hAnsi="Times New Roman" w:cs="Times New Roman"/>
          <w:lang w:val="sk-SK"/>
        </w:rPr>
      </w:pPr>
    </w:p>
    <w:p w14:paraId="13A107B0" w14:textId="77777777" w:rsidR="00EC4CD1" w:rsidRDefault="00DB3564" w:rsidP="00C63330">
      <w:pPr>
        <w:spacing w:after="0" w:line="240" w:lineRule="auto"/>
        <w:rPr>
          <w:rFonts w:ascii="Times New Roman" w:hAnsi="Times New Roman" w:cs="Times New Roman"/>
          <w:lang w:val="sk-SK"/>
        </w:rPr>
      </w:pPr>
      <w:r w:rsidRPr="003F71D2">
        <w:rPr>
          <w:rFonts w:ascii="Times New Roman" w:hAnsi="Times New Roman" w:cs="Times New Roman"/>
          <w:lang w:val="sk-SK"/>
        </w:rPr>
        <w:t>Po začatí infúzie kyseliny zoledrónovej sa plazmatické koncentrácie kyseliny zoledrónovej rýchlo zvýšili a dosiahli maximum na konci podania infúzie, po ktorom nasledoval rýchly pokles na &lt; 10 % maxima po 4 hodinách a &lt; 1 % maxima po 24 hodinách, s následným dlhým obdobím veľmi nízkych koncentrácií nepresahujúcich 0,1 % maxima pred druhou infúziou kyseliny zoledrónovej na 28. deň.</w:t>
      </w:r>
    </w:p>
    <w:p w14:paraId="4F3E1BF9" w14:textId="77777777" w:rsidR="00BB18CF" w:rsidRPr="003F71D2" w:rsidRDefault="00BB18CF" w:rsidP="00C63330">
      <w:pPr>
        <w:spacing w:after="0" w:line="240" w:lineRule="auto"/>
        <w:rPr>
          <w:rFonts w:ascii="Times New Roman" w:hAnsi="Times New Roman" w:cs="Times New Roman"/>
          <w:lang w:val="sk-SK"/>
        </w:rPr>
      </w:pPr>
    </w:p>
    <w:p w14:paraId="23B0AA07" w14:textId="77777777" w:rsidR="00795740" w:rsidRPr="003F71D2" w:rsidRDefault="00DB3564" w:rsidP="003F71D2">
      <w:pPr>
        <w:pStyle w:val="Default"/>
        <w:rPr>
          <w:sz w:val="22"/>
          <w:szCs w:val="22"/>
          <w:lang w:val="sk-SK"/>
        </w:rPr>
      </w:pPr>
      <w:r w:rsidRPr="003F71D2">
        <w:rPr>
          <w:sz w:val="22"/>
          <w:szCs w:val="22"/>
          <w:lang w:val="sk-SK"/>
        </w:rPr>
        <w:lastRenderedPageBreak/>
        <w:t xml:space="preserve">Intravenózne podaná kyselina zoledrónová sa eliminuje trojfázovým procesom: rýchle dvojfázové vymiznutie zo systémového obehu s polčasmi </w:t>
      </w:r>
      <w:r w:rsidRPr="003F71D2">
        <w:rPr>
          <w:spacing w:val="-4"/>
          <w:sz w:val="22"/>
          <w:szCs w:val="22"/>
          <w:lang w:val="sk-SK"/>
        </w:rPr>
        <w:t>t</w:t>
      </w:r>
      <w:r w:rsidRPr="003F71D2">
        <w:rPr>
          <w:spacing w:val="-4"/>
          <w:sz w:val="22"/>
          <w:szCs w:val="22"/>
          <w:vertAlign w:val="subscript"/>
          <w:lang w:val="sk-SK"/>
        </w:rPr>
        <w:t xml:space="preserve">1/2α </w:t>
      </w:r>
      <w:r w:rsidRPr="003F71D2">
        <w:rPr>
          <w:spacing w:val="-4"/>
          <w:sz w:val="22"/>
          <w:szCs w:val="22"/>
          <w:lang w:val="sk-SK"/>
        </w:rPr>
        <w:t xml:space="preserve">0.24 a </w:t>
      </w:r>
      <w:r w:rsidRPr="003F71D2">
        <w:rPr>
          <w:spacing w:val="-2"/>
          <w:sz w:val="22"/>
          <w:szCs w:val="22"/>
          <w:lang w:val="sk-SK"/>
        </w:rPr>
        <w:t>t</w:t>
      </w:r>
      <w:r w:rsidRPr="003F71D2">
        <w:rPr>
          <w:spacing w:val="-2"/>
          <w:sz w:val="22"/>
          <w:szCs w:val="22"/>
          <w:vertAlign w:val="subscript"/>
          <w:lang w:val="sk-SK"/>
        </w:rPr>
        <w:t xml:space="preserve">1/2β </w:t>
      </w:r>
      <w:r w:rsidRPr="003F71D2">
        <w:rPr>
          <w:spacing w:val="-4"/>
          <w:sz w:val="22"/>
          <w:szCs w:val="22"/>
          <w:lang w:val="sk-SK"/>
        </w:rPr>
        <w:t xml:space="preserve"> </w:t>
      </w:r>
      <w:r w:rsidRPr="003F71D2">
        <w:rPr>
          <w:sz w:val="22"/>
          <w:szCs w:val="22"/>
          <w:lang w:val="sk-SK"/>
        </w:rPr>
        <w:t xml:space="preserve">1,87 hodiny, po ktorých nasleduje dlhá eliminačná fáza s konečným polčasom eliminácie t1/2. 146 hodín. Po opakovanom podávaní každých 28 dní nedošlo k akumulácii kyseliny zoledrónovej v plazme. Kyselina zoledrónová sa nemetabolizuje a vylučuje sa nezmenená obličkami. Počas prvých 24 hodín sa v moči nájde 39 ± 16 % podanej dávky, zatiaľ čo zvyšok sa v zásade viaže na tkanivo kostí. Z kostného tkaniva sa veľmi pomaly uvoľňuje späť do systémového obehu a vylučuje sa obličkami. Celkový telesný klírens je 5,04 ± 2,5 l/hod, a to nezávisle od dávky a bez ovplyvnenia pohlavím, vekom, rasou a telesnou hmotnosťou. Predĺženie infúzie z 5 na 15 minút znížilo koncentráciu kyseliny zoledrónovej na konci infúzie o 30 %, ale neovplyvnilo plochu pod krivkou koncentrácie oproti času. </w:t>
      </w:r>
    </w:p>
    <w:p w14:paraId="4B77A622" w14:textId="77777777" w:rsidR="00795740" w:rsidRPr="003F71D2" w:rsidRDefault="00795740" w:rsidP="003F71D2">
      <w:pPr>
        <w:pStyle w:val="Default"/>
        <w:rPr>
          <w:sz w:val="22"/>
          <w:szCs w:val="22"/>
          <w:lang w:val="sk-SK"/>
        </w:rPr>
      </w:pPr>
    </w:p>
    <w:p w14:paraId="482D4D27" w14:textId="679A30BD" w:rsidR="00795740" w:rsidRDefault="00DB3564" w:rsidP="003F71D2">
      <w:pPr>
        <w:pStyle w:val="Default"/>
        <w:rPr>
          <w:sz w:val="22"/>
          <w:szCs w:val="22"/>
          <w:lang w:val="sk-SK"/>
        </w:rPr>
      </w:pPr>
      <w:r w:rsidRPr="003F71D2">
        <w:rPr>
          <w:sz w:val="22"/>
          <w:szCs w:val="22"/>
          <w:lang w:val="sk-SK"/>
        </w:rPr>
        <w:t xml:space="preserve">Tak ako aj pri iných bisfosfonátoch, variabilita farmakokinetických parametrov kyseliny zoledrónovej medzi pacientmi bola vysoká. </w:t>
      </w:r>
    </w:p>
    <w:p w14:paraId="214CC350" w14:textId="77777777" w:rsidR="00A25927" w:rsidRPr="003F71D2" w:rsidRDefault="00A25927" w:rsidP="003F71D2">
      <w:pPr>
        <w:pStyle w:val="Default"/>
        <w:rPr>
          <w:sz w:val="22"/>
          <w:szCs w:val="22"/>
          <w:lang w:val="sk-SK"/>
        </w:rPr>
      </w:pPr>
    </w:p>
    <w:p w14:paraId="0CF5B31A" w14:textId="77777777" w:rsidR="00795740" w:rsidRPr="003F71D2" w:rsidRDefault="00DB3564" w:rsidP="003F71D2">
      <w:pPr>
        <w:pStyle w:val="Default"/>
        <w:rPr>
          <w:sz w:val="22"/>
          <w:szCs w:val="22"/>
          <w:lang w:val="sk-SK"/>
        </w:rPr>
      </w:pPr>
      <w:r w:rsidRPr="003F71D2">
        <w:rPr>
          <w:sz w:val="22"/>
          <w:szCs w:val="22"/>
          <w:lang w:val="sk-SK"/>
        </w:rPr>
        <w:t xml:space="preserve">Nie sú dostupné farmakokinetické údaje o kyseline zoledrónovej u pacientov s hyperkalciémiou alebo u pacientov s insuficienciou pečene. Kyselina zoledrónová neinhibuje ľudské enzýmy P450 </w:t>
      </w:r>
      <w:r w:rsidRPr="003F71D2">
        <w:rPr>
          <w:i/>
          <w:iCs/>
          <w:sz w:val="22"/>
          <w:szCs w:val="22"/>
          <w:lang w:val="sk-SK"/>
        </w:rPr>
        <w:t>in vitro</w:t>
      </w:r>
      <w:r w:rsidRPr="003F71D2">
        <w:rPr>
          <w:sz w:val="22"/>
          <w:szCs w:val="22"/>
          <w:lang w:val="sk-SK"/>
        </w:rPr>
        <w:t xml:space="preserve">, nevykazuje biotransformáciu a v štúdiách na zvieratách sa v stolici našli &lt; 3% podanej dávky, čo naznačuje, že funkcia pečene nezohráva významnú úlohu vo farmakokinetike kyseliny zoledrónovej. </w:t>
      </w:r>
    </w:p>
    <w:p w14:paraId="708030BC" w14:textId="77777777" w:rsidR="00A25927" w:rsidRDefault="00A25927" w:rsidP="003F71D2">
      <w:pPr>
        <w:pStyle w:val="Default"/>
        <w:rPr>
          <w:sz w:val="22"/>
          <w:szCs w:val="22"/>
          <w:lang w:val="sk-SK"/>
        </w:rPr>
      </w:pPr>
    </w:p>
    <w:p w14:paraId="48E4AF6E" w14:textId="18EDA92F" w:rsidR="00795740" w:rsidRPr="003F71D2" w:rsidRDefault="00DB3564" w:rsidP="003F71D2">
      <w:pPr>
        <w:pStyle w:val="Default"/>
        <w:rPr>
          <w:sz w:val="22"/>
          <w:szCs w:val="22"/>
          <w:lang w:val="sk-SK"/>
        </w:rPr>
      </w:pPr>
      <w:r w:rsidRPr="003F71D2">
        <w:rPr>
          <w:sz w:val="22"/>
          <w:szCs w:val="22"/>
          <w:lang w:val="sk-SK"/>
        </w:rPr>
        <w:t xml:space="preserve">Pri určení vzťahu medzi obličkovým klírensom kyseliny zoledrónovej a klírensom kreatinínu predstavoval obličkový klírens 75 </w:t>
      </w:r>
      <w:r w:rsidRPr="003F71D2">
        <w:rPr>
          <w:spacing w:val="-1"/>
          <w:sz w:val="22"/>
          <w:szCs w:val="22"/>
          <w:lang w:val="sk-SK"/>
        </w:rPr>
        <w:t>±</w:t>
      </w:r>
      <w:r w:rsidRPr="003F71D2">
        <w:rPr>
          <w:sz w:val="22"/>
          <w:szCs w:val="22"/>
          <w:lang w:val="sk-SK"/>
        </w:rPr>
        <w:t xml:space="preserve"> 33 % klírensu kreatinínu, ktorého priemerná hodnota bola 84 </w:t>
      </w:r>
      <w:r w:rsidRPr="003F71D2">
        <w:rPr>
          <w:spacing w:val="-1"/>
          <w:sz w:val="22"/>
          <w:szCs w:val="22"/>
          <w:lang w:val="sk-SK"/>
        </w:rPr>
        <w:t>±</w:t>
      </w:r>
      <w:r w:rsidRPr="003F71D2">
        <w:rPr>
          <w:sz w:val="22"/>
          <w:szCs w:val="22"/>
          <w:lang w:val="sk-SK"/>
        </w:rPr>
        <w:t xml:space="preserve"> 29 ml/min (rozmedzie 22–143 ml/min) u 64 sledovaných pacientov s karcinómami. Analýza v tejto skupine ukázala, že u pacienta s klírensom kreatinínu 20 ml/min (</w:t>
      </w:r>
      <w:r w:rsidR="00B8045C" w:rsidRPr="003F71D2">
        <w:rPr>
          <w:sz w:val="22"/>
          <w:szCs w:val="22"/>
          <w:lang w:val="sk-SK"/>
        </w:rPr>
        <w:t xml:space="preserve">závažná </w:t>
      </w:r>
      <w:r w:rsidRPr="003F71D2">
        <w:rPr>
          <w:sz w:val="22"/>
          <w:szCs w:val="22"/>
          <w:lang w:val="sk-SK"/>
        </w:rPr>
        <w:t>p</w:t>
      </w:r>
      <w:r w:rsidR="00B8045C" w:rsidRPr="003F71D2">
        <w:rPr>
          <w:sz w:val="22"/>
          <w:szCs w:val="22"/>
          <w:lang w:val="sk-SK"/>
        </w:rPr>
        <w:t>orucha</w:t>
      </w:r>
      <w:r w:rsidRPr="003F71D2">
        <w:rPr>
          <w:sz w:val="22"/>
          <w:szCs w:val="22"/>
          <w:lang w:val="sk-SK"/>
        </w:rPr>
        <w:t xml:space="preserve"> funkcie obličiek) alebo 50 ml/min (stredne </w:t>
      </w:r>
      <w:r w:rsidR="00B8045C" w:rsidRPr="003F71D2">
        <w:rPr>
          <w:sz w:val="22"/>
          <w:szCs w:val="22"/>
          <w:lang w:val="sk-SK"/>
        </w:rPr>
        <w:t>závažná</w:t>
      </w:r>
      <w:r w:rsidRPr="003F71D2">
        <w:rPr>
          <w:sz w:val="22"/>
          <w:szCs w:val="22"/>
          <w:lang w:val="sk-SK"/>
        </w:rPr>
        <w:t xml:space="preserve"> po</w:t>
      </w:r>
      <w:r w:rsidR="00B8045C" w:rsidRPr="003F71D2">
        <w:rPr>
          <w:sz w:val="22"/>
          <w:szCs w:val="22"/>
          <w:lang w:val="sk-SK"/>
        </w:rPr>
        <w:t>rucha</w:t>
      </w:r>
      <w:r w:rsidRPr="003F71D2">
        <w:rPr>
          <w:sz w:val="22"/>
          <w:szCs w:val="22"/>
          <w:lang w:val="sk-SK"/>
        </w:rPr>
        <w:t>) bude zodpovedajúci predpokladaný klírens kyseliny zoledrónovej 37 % alebo 72% hodnoty pacienta, ktorý má klírens kreatinínu 84 ml/min. Sú dostupné len obmedzené farmakokinetické údaje o pacientoch s</w:t>
      </w:r>
      <w:r w:rsidR="00B8045C" w:rsidRPr="003F71D2">
        <w:rPr>
          <w:sz w:val="22"/>
          <w:szCs w:val="22"/>
          <w:lang w:val="sk-SK"/>
        </w:rPr>
        <w:t>o</w:t>
      </w:r>
      <w:r w:rsidRPr="003F71D2">
        <w:rPr>
          <w:sz w:val="22"/>
          <w:szCs w:val="22"/>
          <w:lang w:val="sk-SK"/>
        </w:rPr>
        <w:t xml:space="preserve"> </w:t>
      </w:r>
      <w:r w:rsidR="00B8045C" w:rsidRPr="003F71D2">
        <w:rPr>
          <w:sz w:val="22"/>
          <w:szCs w:val="22"/>
          <w:lang w:val="sk-SK"/>
        </w:rPr>
        <w:t xml:space="preserve">závažnou </w:t>
      </w:r>
      <w:r w:rsidRPr="003F71D2">
        <w:rPr>
          <w:sz w:val="22"/>
          <w:szCs w:val="22"/>
          <w:lang w:val="sk-SK"/>
        </w:rPr>
        <w:t xml:space="preserve">insuficienciou obličiek (klírens kreatinínu &lt; 30 ml/min). </w:t>
      </w:r>
    </w:p>
    <w:p w14:paraId="082AF7A4" w14:textId="77777777" w:rsidR="002C38F4" w:rsidRPr="003F71D2" w:rsidRDefault="002C38F4" w:rsidP="003F71D2">
      <w:pPr>
        <w:pStyle w:val="Default"/>
        <w:rPr>
          <w:sz w:val="22"/>
          <w:szCs w:val="22"/>
          <w:lang w:val="sk-SK"/>
        </w:rPr>
      </w:pPr>
    </w:p>
    <w:p w14:paraId="736AF889" w14:textId="77777777" w:rsidR="000746D9" w:rsidRPr="003F71D2" w:rsidRDefault="000746D9" w:rsidP="003F71D2">
      <w:pPr>
        <w:pStyle w:val="Default"/>
        <w:rPr>
          <w:sz w:val="22"/>
          <w:szCs w:val="22"/>
          <w:lang w:val="sk-SK"/>
        </w:rPr>
      </w:pPr>
      <w:r w:rsidRPr="003F71D2">
        <w:rPr>
          <w:sz w:val="22"/>
          <w:szCs w:val="22"/>
          <w:lang w:val="sk-SK"/>
        </w:rPr>
        <w:t xml:space="preserve">V </w:t>
      </w:r>
      <w:r w:rsidRPr="003F71D2">
        <w:rPr>
          <w:i/>
          <w:iCs/>
          <w:sz w:val="22"/>
          <w:szCs w:val="22"/>
          <w:lang w:val="sk-SK"/>
        </w:rPr>
        <w:t xml:space="preserve">in vitro </w:t>
      </w:r>
      <w:r w:rsidRPr="003F71D2">
        <w:rPr>
          <w:sz w:val="22"/>
          <w:szCs w:val="22"/>
          <w:lang w:val="sk-SK"/>
        </w:rPr>
        <w:t xml:space="preserve">štúdii vykazovala kyselina zoledrónová nízku afinitu ku krvinkám ľudskej krvi s priemernou hodnotou pomeru koncentrácii v krvi a plazme 0,59 pri rozsahu koncentrácii 30 ng/ml až 5000 ng/ml. Väzba na bielkoviny je nízka, neviazaná frakcia predstavuje 60% pri 2 ng/ml až 77% pri 2000 ng/ml kyseliny zoledrónovej. </w:t>
      </w:r>
    </w:p>
    <w:p w14:paraId="69CD952E" w14:textId="77777777" w:rsidR="000746D9" w:rsidRPr="003F71D2" w:rsidRDefault="000746D9" w:rsidP="003F71D2">
      <w:pPr>
        <w:pStyle w:val="Default"/>
        <w:rPr>
          <w:sz w:val="22"/>
          <w:szCs w:val="22"/>
          <w:lang w:val="sk-SK"/>
        </w:rPr>
      </w:pPr>
    </w:p>
    <w:p w14:paraId="0EE0F7D4" w14:textId="77777777" w:rsidR="00795740" w:rsidRPr="003F71D2" w:rsidRDefault="00DB3564" w:rsidP="003F71D2">
      <w:pPr>
        <w:pStyle w:val="Default"/>
        <w:rPr>
          <w:sz w:val="22"/>
          <w:szCs w:val="22"/>
          <w:u w:val="single"/>
          <w:lang w:val="sk-SK"/>
        </w:rPr>
      </w:pPr>
      <w:r w:rsidRPr="003F71D2">
        <w:rPr>
          <w:sz w:val="22"/>
          <w:szCs w:val="22"/>
          <w:u w:val="single"/>
          <w:lang w:val="sk-SK"/>
        </w:rPr>
        <w:t>Osobitné skupiny pacientov</w:t>
      </w:r>
    </w:p>
    <w:p w14:paraId="25C03028" w14:textId="744F6E95" w:rsidR="00795740" w:rsidRPr="003F71D2" w:rsidRDefault="00112A45" w:rsidP="003F71D2">
      <w:pPr>
        <w:pStyle w:val="Default"/>
        <w:rPr>
          <w:sz w:val="22"/>
          <w:szCs w:val="22"/>
          <w:lang w:val="sk-SK"/>
        </w:rPr>
      </w:pPr>
      <w:r w:rsidRPr="003F71D2">
        <w:rPr>
          <w:i/>
          <w:iCs/>
          <w:sz w:val="22"/>
          <w:szCs w:val="22"/>
          <w:lang w:val="sk-SK"/>
        </w:rPr>
        <w:t>Pediatrick</w:t>
      </w:r>
      <w:r w:rsidR="00A25927">
        <w:rPr>
          <w:i/>
          <w:iCs/>
          <w:sz w:val="22"/>
          <w:szCs w:val="22"/>
          <w:lang w:val="sk-SK"/>
        </w:rPr>
        <w:t>í pacienti</w:t>
      </w:r>
    </w:p>
    <w:p w14:paraId="5904430D" w14:textId="4CD402BA" w:rsidR="00795740" w:rsidRPr="003F71D2" w:rsidRDefault="00DB3564" w:rsidP="003F71D2">
      <w:pPr>
        <w:pStyle w:val="Default"/>
        <w:rPr>
          <w:sz w:val="22"/>
          <w:szCs w:val="22"/>
          <w:lang w:val="sk-SK"/>
        </w:rPr>
      </w:pPr>
      <w:r w:rsidRPr="003F71D2">
        <w:rPr>
          <w:sz w:val="22"/>
          <w:szCs w:val="22"/>
          <w:lang w:val="sk-SK"/>
        </w:rPr>
        <w:t xml:space="preserve">Obmedzené farmakokinetické údaje u detí so závažnou osteogenesis imperfecta naznačujú, že farmakokinetika kyseliny zoledrónovej u detí vo veku 3 až 17 rokov je podobná ako u dospelých pri podobnej hladine dávok mg/kg. Vek, telesná hmotnosť, pohlavie a klírens kreatinínu zrejme nemajú žiadny vplyv na systémovú expozíciu kyseline zoledrónovej. </w:t>
      </w:r>
    </w:p>
    <w:p w14:paraId="138D1F5E" w14:textId="77777777" w:rsidR="00795740" w:rsidRPr="003F71D2" w:rsidRDefault="00795740" w:rsidP="003F71D2">
      <w:pPr>
        <w:pStyle w:val="Default"/>
        <w:rPr>
          <w:b/>
          <w:bCs/>
          <w:sz w:val="22"/>
          <w:szCs w:val="22"/>
          <w:lang w:val="sk-SK"/>
        </w:rPr>
      </w:pPr>
    </w:p>
    <w:p w14:paraId="27F9243A" w14:textId="77777777" w:rsidR="00795740" w:rsidRPr="003F71D2" w:rsidRDefault="00DB3564" w:rsidP="003F71D2">
      <w:pPr>
        <w:pStyle w:val="Default"/>
        <w:rPr>
          <w:sz w:val="22"/>
          <w:szCs w:val="22"/>
          <w:lang w:val="sk-SK"/>
        </w:rPr>
      </w:pPr>
      <w:r w:rsidRPr="003F71D2">
        <w:rPr>
          <w:b/>
          <w:bCs/>
          <w:sz w:val="22"/>
          <w:szCs w:val="22"/>
          <w:lang w:val="sk-SK"/>
        </w:rPr>
        <w:t xml:space="preserve">5.3 </w:t>
      </w:r>
      <w:r w:rsidRPr="003F71D2">
        <w:rPr>
          <w:b/>
          <w:bCs/>
          <w:sz w:val="22"/>
          <w:szCs w:val="22"/>
          <w:lang w:val="sk-SK"/>
        </w:rPr>
        <w:tab/>
        <w:t xml:space="preserve">Predklinické údaje o bezpečnosti </w:t>
      </w:r>
    </w:p>
    <w:p w14:paraId="1BEF9F10" w14:textId="77777777" w:rsidR="00DA1845" w:rsidRPr="003F71D2" w:rsidRDefault="00DA1845" w:rsidP="003F71D2">
      <w:pPr>
        <w:pStyle w:val="Default"/>
        <w:rPr>
          <w:sz w:val="22"/>
          <w:szCs w:val="22"/>
          <w:lang w:val="sk-SK"/>
        </w:rPr>
      </w:pPr>
    </w:p>
    <w:p w14:paraId="52B5E20F" w14:textId="77777777" w:rsidR="00795740" w:rsidRPr="003F71D2" w:rsidRDefault="00DB3564" w:rsidP="003F71D2">
      <w:pPr>
        <w:pStyle w:val="Default"/>
        <w:rPr>
          <w:sz w:val="22"/>
          <w:szCs w:val="22"/>
          <w:u w:val="single"/>
          <w:lang w:val="sk-SK"/>
        </w:rPr>
      </w:pPr>
      <w:r w:rsidRPr="003F71D2">
        <w:rPr>
          <w:sz w:val="22"/>
          <w:szCs w:val="22"/>
          <w:u w:val="single"/>
          <w:lang w:val="sk-SK"/>
        </w:rPr>
        <w:t xml:space="preserve">Akútna toxicita </w:t>
      </w:r>
    </w:p>
    <w:p w14:paraId="26AE2A99" w14:textId="77777777" w:rsidR="00795740" w:rsidRPr="003F71D2" w:rsidRDefault="00DB3564" w:rsidP="003F71D2">
      <w:pPr>
        <w:pStyle w:val="Default"/>
        <w:rPr>
          <w:sz w:val="22"/>
          <w:szCs w:val="22"/>
          <w:lang w:val="sk-SK"/>
        </w:rPr>
      </w:pPr>
      <w:r w:rsidRPr="003F71D2">
        <w:rPr>
          <w:sz w:val="22"/>
          <w:szCs w:val="22"/>
          <w:lang w:val="sk-SK"/>
        </w:rPr>
        <w:t xml:space="preserve">Najvyššia neletálna jednorazová intravenózna dávka bola 10 mg/kg telesnej hmotnosti u myší a 0,6 mg/kg u potkanov. </w:t>
      </w:r>
    </w:p>
    <w:p w14:paraId="02A4FE8F" w14:textId="77777777" w:rsidR="00DA1845" w:rsidRPr="003F71D2" w:rsidRDefault="00DA1845" w:rsidP="003F71D2">
      <w:pPr>
        <w:pStyle w:val="Default"/>
        <w:rPr>
          <w:sz w:val="22"/>
          <w:szCs w:val="22"/>
          <w:lang w:val="sk-SK"/>
        </w:rPr>
      </w:pPr>
    </w:p>
    <w:p w14:paraId="0EC678A9" w14:textId="77777777" w:rsidR="00795740" w:rsidRPr="003F71D2" w:rsidRDefault="00DB3564" w:rsidP="003F71D2">
      <w:pPr>
        <w:pStyle w:val="Default"/>
        <w:rPr>
          <w:sz w:val="22"/>
          <w:szCs w:val="22"/>
          <w:u w:val="single"/>
          <w:lang w:val="sk-SK"/>
        </w:rPr>
      </w:pPr>
      <w:r w:rsidRPr="003F71D2">
        <w:rPr>
          <w:sz w:val="22"/>
          <w:szCs w:val="22"/>
          <w:u w:val="single"/>
          <w:lang w:val="sk-SK"/>
        </w:rPr>
        <w:t xml:space="preserve">Subchronická a chronická toxicita </w:t>
      </w:r>
    </w:p>
    <w:p w14:paraId="6F0FB486" w14:textId="77777777" w:rsidR="00795740" w:rsidRPr="003F71D2" w:rsidRDefault="00DB3564" w:rsidP="003F71D2">
      <w:pPr>
        <w:pStyle w:val="Default"/>
        <w:rPr>
          <w:sz w:val="22"/>
          <w:szCs w:val="22"/>
          <w:lang w:val="sk-SK"/>
        </w:rPr>
      </w:pPr>
      <w:r w:rsidRPr="003F71D2">
        <w:rPr>
          <w:sz w:val="22"/>
          <w:szCs w:val="22"/>
          <w:lang w:val="sk-SK"/>
        </w:rPr>
        <w:t>Kyselina zoledrónová sa dobre znášala, keď sa podávala subkutánne potkanom a intravenózne psom v dávkach do 0,02 mg/kg denne počas 4 týždňov. Podávanie 0,001 mg/kg/deň subkutánne potkanom a 0,005 mg/kg intravenózne psom raz za 2</w:t>
      </w:r>
      <w:r w:rsidRPr="003F71D2">
        <w:rPr>
          <w:b/>
          <w:bCs/>
          <w:i/>
          <w:iCs/>
          <w:sz w:val="22"/>
          <w:szCs w:val="22"/>
          <w:lang w:val="sk-SK"/>
        </w:rPr>
        <w:t>–</w:t>
      </w:r>
      <w:r w:rsidRPr="003F71D2">
        <w:rPr>
          <w:sz w:val="22"/>
          <w:szCs w:val="22"/>
          <w:lang w:val="sk-SK"/>
        </w:rPr>
        <w:t xml:space="preserve">3 dni počas až 52 týždňov sa tiež dobre znášalo. </w:t>
      </w:r>
    </w:p>
    <w:p w14:paraId="488D7450" w14:textId="77777777" w:rsidR="00DA1845" w:rsidRPr="003F71D2" w:rsidRDefault="00DA1845" w:rsidP="003F71D2">
      <w:pPr>
        <w:pStyle w:val="Default"/>
        <w:rPr>
          <w:sz w:val="22"/>
          <w:szCs w:val="22"/>
          <w:lang w:val="sk-SK"/>
        </w:rPr>
      </w:pPr>
    </w:p>
    <w:p w14:paraId="75B3EFCF" w14:textId="77777777" w:rsidR="00795740" w:rsidRPr="003F71D2" w:rsidRDefault="00DB3564" w:rsidP="003F71D2">
      <w:pPr>
        <w:pStyle w:val="Default"/>
        <w:rPr>
          <w:sz w:val="22"/>
          <w:szCs w:val="22"/>
          <w:lang w:val="sk-SK"/>
        </w:rPr>
      </w:pPr>
      <w:r w:rsidRPr="003F71D2">
        <w:rPr>
          <w:sz w:val="22"/>
          <w:szCs w:val="22"/>
          <w:lang w:val="sk-SK"/>
        </w:rPr>
        <w:t xml:space="preserve">Najčastejším nálezom v štúdiách pri opakovanom podávaní bolo zväčšenie primárnej trabekulárnej časti kosti v metafýzach dlhých kostí u rastúcich zvierat pri takmer všetkých dávkach, čo bol nález v súlade s farmakologickou antiresorpčnou účinnosťou látky. </w:t>
      </w:r>
    </w:p>
    <w:p w14:paraId="1303D4BC" w14:textId="77777777" w:rsidR="00DA1845" w:rsidRPr="003F71D2" w:rsidRDefault="00DA1845" w:rsidP="003F71D2">
      <w:pPr>
        <w:pStyle w:val="Default"/>
        <w:rPr>
          <w:sz w:val="22"/>
          <w:szCs w:val="22"/>
          <w:lang w:val="sk-SK"/>
        </w:rPr>
      </w:pPr>
    </w:p>
    <w:p w14:paraId="1504DF94" w14:textId="77777777" w:rsidR="00EC4CD1" w:rsidRPr="003F71D2" w:rsidRDefault="00DB3564" w:rsidP="003F71D2">
      <w:pPr>
        <w:pStyle w:val="Default"/>
        <w:rPr>
          <w:sz w:val="22"/>
          <w:szCs w:val="22"/>
          <w:lang w:val="sk-SK"/>
        </w:rPr>
      </w:pPr>
      <w:r w:rsidRPr="003F71D2">
        <w:rPr>
          <w:sz w:val="22"/>
          <w:szCs w:val="22"/>
          <w:lang w:val="sk-SK"/>
        </w:rPr>
        <w:t xml:space="preserve">Bezpečné rozmedzie dávok vzhľadom na účinky na obličky bolo úzke v štúdiách pri dlhodobom opakovanom parenterálnom podávaní zvieratám, ale kumulatívne hladiny bez nežiaducich príhod v štúdiách pri jednorazovom podaní (1,6 mg/kg) a pri opakovanom podávaní až do jedného mesiaca (0,06–0,6 mg/kg/deň) nenaznačili účinky na obličky pri dávkach ekvivalentných alebo prevyšujúcich najvyššiu plánovanú terapeutickú dávku u ľudí. Dlhodobejšie opakované podávanie v dávkach, ktoré zahrnulo aj najvyššiu plánovanú terapeutickú dávku kyseliny zoledrónovej u ľudí, vyvolalo toxické účinky v iných orgánoch vrátane gastrointestinálneho traktu, pečene, sleziny a pľúc, ako aj v mieste podania intravenóznej injekcie. </w:t>
      </w:r>
    </w:p>
    <w:p w14:paraId="7701FBD7" w14:textId="77777777" w:rsidR="002C38F4" w:rsidRPr="003F71D2" w:rsidRDefault="002C38F4" w:rsidP="003F71D2">
      <w:pPr>
        <w:pStyle w:val="Default"/>
        <w:rPr>
          <w:sz w:val="22"/>
          <w:szCs w:val="22"/>
          <w:lang w:val="sk-SK"/>
        </w:rPr>
      </w:pPr>
    </w:p>
    <w:p w14:paraId="22276776" w14:textId="77777777" w:rsidR="00DA1845" w:rsidRPr="003F71D2" w:rsidRDefault="00DB3564" w:rsidP="003F71D2">
      <w:pPr>
        <w:pStyle w:val="Default"/>
        <w:rPr>
          <w:sz w:val="22"/>
          <w:szCs w:val="22"/>
          <w:u w:val="single"/>
          <w:lang w:val="sk-SK"/>
        </w:rPr>
      </w:pPr>
      <w:r w:rsidRPr="003F71D2">
        <w:rPr>
          <w:sz w:val="22"/>
          <w:szCs w:val="22"/>
          <w:u w:val="single"/>
          <w:lang w:val="sk-SK"/>
        </w:rPr>
        <w:t xml:space="preserve">Reprodukčná toxicita </w:t>
      </w:r>
    </w:p>
    <w:p w14:paraId="5CB8D330" w14:textId="77777777" w:rsidR="00DA1845" w:rsidRPr="003F71D2" w:rsidRDefault="00DB3564" w:rsidP="003F71D2">
      <w:pPr>
        <w:pStyle w:val="Default"/>
        <w:rPr>
          <w:sz w:val="22"/>
          <w:szCs w:val="22"/>
          <w:lang w:val="sk-SK"/>
        </w:rPr>
      </w:pPr>
      <w:r w:rsidRPr="003F71D2">
        <w:rPr>
          <w:sz w:val="22"/>
          <w:szCs w:val="22"/>
          <w:lang w:val="sk-SK"/>
        </w:rPr>
        <w:t xml:space="preserve">Kyselina zoledrónová bola teratogénna u potkanov v subkutánnych dávkach &gt;  0,2 mg/kg. Hoci sa u králikov nepozorovala žiadna teratogenita alebo fetotoxicita, zistila sa toxicita pre matky. Dystokia sa pozorovala pri najnižšej skúšanej dávke u potkanov (0,01 mg/kg telesnej hmotnosti). </w:t>
      </w:r>
    </w:p>
    <w:p w14:paraId="398AB08E" w14:textId="77777777" w:rsidR="002C38F4" w:rsidRPr="003F71D2" w:rsidRDefault="002C38F4" w:rsidP="003F71D2">
      <w:pPr>
        <w:pStyle w:val="Default"/>
        <w:rPr>
          <w:sz w:val="22"/>
          <w:szCs w:val="22"/>
          <w:lang w:val="sk-SK"/>
        </w:rPr>
      </w:pPr>
    </w:p>
    <w:p w14:paraId="18A40271" w14:textId="77777777" w:rsidR="00DA1845" w:rsidRPr="003F71D2" w:rsidRDefault="00DB3564" w:rsidP="003F71D2">
      <w:pPr>
        <w:pStyle w:val="Default"/>
        <w:rPr>
          <w:sz w:val="22"/>
          <w:szCs w:val="22"/>
          <w:u w:val="single"/>
          <w:lang w:val="sk-SK"/>
        </w:rPr>
      </w:pPr>
      <w:r w:rsidRPr="003F71D2">
        <w:rPr>
          <w:sz w:val="22"/>
          <w:szCs w:val="22"/>
          <w:u w:val="single"/>
          <w:lang w:val="sk-SK"/>
        </w:rPr>
        <w:t xml:space="preserve">Mutagenita a karcinogenita </w:t>
      </w:r>
    </w:p>
    <w:p w14:paraId="66FE6E22" w14:textId="77777777" w:rsidR="00DA1845" w:rsidRPr="003F71D2" w:rsidRDefault="00DB3564" w:rsidP="003F71D2">
      <w:pPr>
        <w:pStyle w:val="Default"/>
        <w:rPr>
          <w:sz w:val="22"/>
          <w:szCs w:val="22"/>
          <w:lang w:val="sk-SK"/>
        </w:rPr>
      </w:pPr>
      <w:r w:rsidRPr="003F71D2">
        <w:rPr>
          <w:sz w:val="22"/>
          <w:szCs w:val="22"/>
          <w:lang w:val="sk-SK"/>
        </w:rPr>
        <w:t xml:space="preserve">Kyselina zoledrónová nebola mutagénna vo vykonaných testoch mutagenity a testy na karcinogenitu neposkytli žiadne dôkazy o karcinogénnom potenciále. </w:t>
      </w:r>
    </w:p>
    <w:p w14:paraId="49D3FA53" w14:textId="77777777" w:rsidR="00DA1845" w:rsidRPr="003F71D2" w:rsidRDefault="00DA1845" w:rsidP="003F71D2">
      <w:pPr>
        <w:pStyle w:val="Default"/>
        <w:rPr>
          <w:sz w:val="22"/>
          <w:szCs w:val="22"/>
          <w:lang w:val="sk-SK"/>
        </w:rPr>
      </w:pPr>
    </w:p>
    <w:p w14:paraId="6437122D" w14:textId="77777777" w:rsidR="00917B30" w:rsidRPr="003F71D2" w:rsidRDefault="00917B30" w:rsidP="003F71D2">
      <w:pPr>
        <w:pStyle w:val="Default"/>
        <w:rPr>
          <w:sz w:val="22"/>
          <w:szCs w:val="22"/>
          <w:lang w:val="sk-SK"/>
        </w:rPr>
      </w:pPr>
    </w:p>
    <w:p w14:paraId="2FC121E3" w14:textId="265242FD" w:rsidR="00DA1845" w:rsidRPr="003F71D2" w:rsidRDefault="00DB3564" w:rsidP="003F71D2">
      <w:pPr>
        <w:pStyle w:val="Default"/>
        <w:rPr>
          <w:b/>
          <w:sz w:val="22"/>
          <w:szCs w:val="22"/>
          <w:lang w:val="sk-SK"/>
        </w:rPr>
      </w:pPr>
      <w:r w:rsidRPr="003F71D2">
        <w:rPr>
          <w:b/>
          <w:sz w:val="22"/>
          <w:szCs w:val="22"/>
          <w:lang w:val="sk-SK"/>
        </w:rPr>
        <w:t>6.</w:t>
      </w:r>
      <w:r w:rsidRPr="003F71D2">
        <w:rPr>
          <w:b/>
          <w:sz w:val="22"/>
          <w:szCs w:val="22"/>
          <w:lang w:val="sk-SK"/>
        </w:rPr>
        <w:tab/>
        <w:t>FARMACEUTICKÉ INFORMÁCIE</w:t>
      </w:r>
    </w:p>
    <w:p w14:paraId="1F3DDDA1" w14:textId="77777777" w:rsidR="00DA1845" w:rsidRPr="003F71D2" w:rsidRDefault="00DA1845" w:rsidP="003F71D2">
      <w:pPr>
        <w:pStyle w:val="Default"/>
        <w:rPr>
          <w:b/>
          <w:sz w:val="22"/>
          <w:szCs w:val="22"/>
          <w:lang w:val="sk-SK"/>
        </w:rPr>
      </w:pPr>
    </w:p>
    <w:p w14:paraId="236C2D00" w14:textId="3CE0BD4D" w:rsidR="00DA1845" w:rsidRPr="003F71D2" w:rsidRDefault="00DB3564" w:rsidP="003F71D2">
      <w:pPr>
        <w:pStyle w:val="Default"/>
        <w:rPr>
          <w:b/>
          <w:sz w:val="22"/>
          <w:szCs w:val="22"/>
          <w:lang w:val="sk-SK"/>
        </w:rPr>
      </w:pPr>
      <w:r w:rsidRPr="003F71D2">
        <w:rPr>
          <w:b/>
          <w:sz w:val="22"/>
          <w:szCs w:val="22"/>
          <w:lang w:val="sk-SK"/>
        </w:rPr>
        <w:t>6.1</w:t>
      </w:r>
      <w:r w:rsidRPr="003F71D2">
        <w:rPr>
          <w:b/>
          <w:sz w:val="22"/>
          <w:szCs w:val="22"/>
          <w:lang w:val="sk-SK"/>
        </w:rPr>
        <w:tab/>
        <w:t>Zoznam pomocných látok</w:t>
      </w:r>
    </w:p>
    <w:p w14:paraId="080725BB" w14:textId="77777777" w:rsidR="00DA1845" w:rsidRPr="003F71D2" w:rsidRDefault="00DA1845" w:rsidP="003F71D2">
      <w:pPr>
        <w:pStyle w:val="Default"/>
        <w:rPr>
          <w:sz w:val="22"/>
          <w:szCs w:val="22"/>
          <w:lang w:val="sk-SK"/>
        </w:rPr>
      </w:pPr>
    </w:p>
    <w:p w14:paraId="153F2A6A" w14:textId="64D9284F" w:rsidR="00DA1845" w:rsidRPr="003F71D2" w:rsidRDefault="00716650" w:rsidP="003F71D2">
      <w:pPr>
        <w:pStyle w:val="Default"/>
        <w:rPr>
          <w:sz w:val="22"/>
          <w:szCs w:val="22"/>
          <w:lang w:val="sk-SK"/>
        </w:rPr>
      </w:pPr>
      <w:r w:rsidRPr="003F71D2">
        <w:rPr>
          <w:sz w:val="22"/>
          <w:szCs w:val="22"/>
          <w:lang w:val="sk-SK"/>
        </w:rPr>
        <w:t>m</w:t>
      </w:r>
      <w:r w:rsidR="00DB3564" w:rsidRPr="003F71D2">
        <w:rPr>
          <w:sz w:val="22"/>
          <w:szCs w:val="22"/>
          <w:lang w:val="sk-SK"/>
        </w:rPr>
        <w:t>anitol</w:t>
      </w:r>
    </w:p>
    <w:p w14:paraId="334ACFD1" w14:textId="4AF9CD48" w:rsidR="00F513DA" w:rsidRPr="003F71D2" w:rsidRDefault="00E96A6F" w:rsidP="003F71D2">
      <w:pPr>
        <w:pStyle w:val="Default"/>
        <w:rPr>
          <w:sz w:val="22"/>
          <w:szCs w:val="22"/>
          <w:lang w:val="sk-SK"/>
        </w:rPr>
      </w:pPr>
      <w:r>
        <w:rPr>
          <w:sz w:val="22"/>
          <w:szCs w:val="22"/>
          <w:lang w:val="sk-SK"/>
        </w:rPr>
        <w:t>cit</w:t>
      </w:r>
      <w:r w:rsidRPr="00E96A6F">
        <w:rPr>
          <w:sz w:val="22"/>
          <w:szCs w:val="22"/>
          <w:lang w:val="sk-SK"/>
        </w:rPr>
        <w:t>rónan sodný</w:t>
      </w:r>
    </w:p>
    <w:p w14:paraId="58135E50" w14:textId="7A49C960" w:rsidR="00DA1845" w:rsidRPr="003F71D2" w:rsidRDefault="00716650" w:rsidP="003F71D2">
      <w:pPr>
        <w:pStyle w:val="Default"/>
        <w:rPr>
          <w:sz w:val="22"/>
          <w:szCs w:val="22"/>
          <w:lang w:val="sk-SK"/>
        </w:rPr>
      </w:pPr>
      <w:r w:rsidRPr="003F71D2">
        <w:rPr>
          <w:sz w:val="22"/>
          <w:szCs w:val="22"/>
          <w:lang w:val="sk-SK"/>
        </w:rPr>
        <w:t>v</w:t>
      </w:r>
      <w:r w:rsidR="00DB3564" w:rsidRPr="003F71D2">
        <w:rPr>
          <w:sz w:val="22"/>
          <w:szCs w:val="22"/>
          <w:lang w:val="sk-SK"/>
        </w:rPr>
        <w:t>oda na injekcie</w:t>
      </w:r>
    </w:p>
    <w:p w14:paraId="7A1617A6" w14:textId="77777777" w:rsidR="00DA1845" w:rsidRPr="003F71D2" w:rsidRDefault="00DA1845" w:rsidP="003F71D2">
      <w:pPr>
        <w:pStyle w:val="Default"/>
        <w:rPr>
          <w:sz w:val="22"/>
          <w:szCs w:val="22"/>
          <w:lang w:val="sk-SK"/>
        </w:rPr>
      </w:pPr>
    </w:p>
    <w:p w14:paraId="3C962D6C" w14:textId="6C450F22" w:rsidR="00DA1845" w:rsidRPr="003F71D2" w:rsidRDefault="00DB3564" w:rsidP="003F71D2">
      <w:pPr>
        <w:pStyle w:val="Default"/>
        <w:rPr>
          <w:b/>
          <w:sz w:val="22"/>
          <w:szCs w:val="22"/>
          <w:lang w:val="sk-SK"/>
        </w:rPr>
      </w:pPr>
      <w:r w:rsidRPr="003F71D2">
        <w:rPr>
          <w:b/>
          <w:sz w:val="22"/>
          <w:szCs w:val="22"/>
          <w:lang w:val="sk-SK"/>
        </w:rPr>
        <w:t>6.2</w:t>
      </w:r>
      <w:r w:rsidRPr="003F71D2">
        <w:rPr>
          <w:b/>
          <w:sz w:val="22"/>
          <w:szCs w:val="22"/>
          <w:lang w:val="sk-SK"/>
        </w:rPr>
        <w:tab/>
        <w:t>Inkompatibility</w:t>
      </w:r>
    </w:p>
    <w:p w14:paraId="68595449" w14:textId="77777777" w:rsidR="002C38F4" w:rsidRPr="003F71D2" w:rsidRDefault="002C38F4" w:rsidP="003F71D2">
      <w:pPr>
        <w:pStyle w:val="Default"/>
        <w:rPr>
          <w:b/>
          <w:sz w:val="22"/>
          <w:szCs w:val="22"/>
          <w:lang w:val="sk-SK"/>
        </w:rPr>
      </w:pPr>
    </w:p>
    <w:p w14:paraId="46035C5F" w14:textId="77777777" w:rsidR="00DA1845" w:rsidRPr="003F71D2" w:rsidRDefault="00DB3564" w:rsidP="003F71D2">
      <w:pPr>
        <w:pStyle w:val="Default"/>
        <w:rPr>
          <w:sz w:val="22"/>
          <w:szCs w:val="22"/>
          <w:lang w:val="sk-SK"/>
        </w:rPr>
      </w:pPr>
      <w:r w:rsidRPr="003F71D2">
        <w:rPr>
          <w:sz w:val="22"/>
          <w:szCs w:val="22"/>
          <w:lang w:val="sk-SK"/>
        </w:rPr>
        <w:t>Aby sa zabránilo prípadným inkompatibilitám Zomikos koncentrát sa má zriediť 0,9 % m/V roztokom chloridu sodného alebo 5 % m/V roztokom glukózy.</w:t>
      </w:r>
    </w:p>
    <w:p w14:paraId="09FB78EA" w14:textId="77777777" w:rsidR="00DA1845" w:rsidRPr="003F71D2" w:rsidRDefault="00DA1845" w:rsidP="003F71D2">
      <w:pPr>
        <w:pStyle w:val="Default"/>
        <w:rPr>
          <w:sz w:val="22"/>
          <w:szCs w:val="22"/>
          <w:lang w:val="sk-SK"/>
        </w:rPr>
      </w:pPr>
    </w:p>
    <w:p w14:paraId="0F5A58AA" w14:textId="77777777" w:rsidR="003F6358" w:rsidRPr="003F71D2" w:rsidRDefault="00DB3564" w:rsidP="003F71D2">
      <w:pPr>
        <w:pStyle w:val="Default"/>
        <w:rPr>
          <w:sz w:val="22"/>
          <w:szCs w:val="22"/>
          <w:lang w:val="sk-SK"/>
        </w:rPr>
      </w:pPr>
      <w:r w:rsidRPr="003F71D2">
        <w:rPr>
          <w:sz w:val="22"/>
          <w:szCs w:val="22"/>
          <w:lang w:val="sk-SK"/>
        </w:rPr>
        <w:t>Tento liek sa nesmie miešať s infúznymi roztokmi obsahujúcimi vápnik alebo iné dvojmocné katióny, napr. Ringerovým roztokom s laktátom, a má sa podať ako jednorazový intravenózny roztok osobitnou infúznou súpravou.</w:t>
      </w:r>
    </w:p>
    <w:p w14:paraId="18083951" w14:textId="77777777" w:rsidR="002C38F4" w:rsidRPr="003F71D2" w:rsidRDefault="002C38F4" w:rsidP="003F71D2">
      <w:pPr>
        <w:pStyle w:val="Default"/>
        <w:rPr>
          <w:sz w:val="22"/>
          <w:szCs w:val="22"/>
          <w:lang w:val="sk-SK"/>
        </w:rPr>
      </w:pPr>
    </w:p>
    <w:p w14:paraId="33333169" w14:textId="13FA8997" w:rsidR="000E7948" w:rsidRPr="003F71D2" w:rsidRDefault="00DB3564" w:rsidP="003F71D2">
      <w:pPr>
        <w:spacing w:after="0" w:line="240" w:lineRule="auto"/>
        <w:rPr>
          <w:rFonts w:ascii="Times New Roman" w:hAnsi="Times New Roman" w:cs="Times New Roman"/>
          <w:lang w:val="sk-SK"/>
        </w:rPr>
      </w:pPr>
      <w:r w:rsidRPr="003F71D2">
        <w:rPr>
          <w:rFonts w:ascii="Times New Roman" w:hAnsi="Times New Roman" w:cs="Times New Roman"/>
          <w:lang w:val="sk-SK"/>
        </w:rPr>
        <w:t xml:space="preserve">Štúdie so sklenenou fľašou ako aj rôznymi typmi infúznych vakov a infúznych hadíc vyrobených z polyvinylchloridu, polyetylénu a polypropylénu (naplnených roztokom </w:t>
      </w:r>
      <w:r w:rsidRPr="003F71D2">
        <w:rPr>
          <w:rFonts w:ascii="Times New Roman" w:hAnsi="Times New Roman" w:cs="Times New Roman"/>
          <w:spacing w:val="-1"/>
          <w:lang w:val="sk-SK"/>
        </w:rPr>
        <w:t xml:space="preserve">0.9 % </w:t>
      </w:r>
      <w:r w:rsidRPr="003F71D2">
        <w:rPr>
          <w:rFonts w:ascii="Times New Roman" w:hAnsi="Times New Roman" w:cs="Times New Roman"/>
          <w:lang w:val="sk-SK"/>
        </w:rPr>
        <w:t xml:space="preserve">m/V </w:t>
      </w:r>
      <w:r w:rsidRPr="003F71D2">
        <w:rPr>
          <w:rFonts w:ascii="Times New Roman" w:hAnsi="Times New Roman" w:cs="Times New Roman"/>
          <w:spacing w:val="-1"/>
          <w:lang w:val="sk-SK"/>
        </w:rPr>
        <w:t xml:space="preserve">chloridu sodného alebo </w:t>
      </w:r>
      <w:r w:rsidRPr="003F71D2">
        <w:rPr>
          <w:rFonts w:ascii="Times New Roman" w:hAnsi="Times New Roman" w:cs="Times New Roman"/>
          <w:lang w:val="sk-SK"/>
        </w:rPr>
        <w:t>5 % m/V roztokom glukózy) nepreukázali žiadne inkompatibility s kyselinou zoledrónovou.</w:t>
      </w:r>
    </w:p>
    <w:p w14:paraId="1D31EFAF" w14:textId="77777777" w:rsidR="003F6358" w:rsidRPr="003F71D2" w:rsidRDefault="003F6358" w:rsidP="003F71D2">
      <w:pPr>
        <w:spacing w:after="0" w:line="240" w:lineRule="auto"/>
        <w:rPr>
          <w:rFonts w:ascii="Times New Roman" w:hAnsi="Times New Roman" w:cs="Times New Roman"/>
          <w:lang w:val="sk-SK"/>
        </w:rPr>
      </w:pPr>
    </w:p>
    <w:p w14:paraId="1FC4CC1E" w14:textId="30626C3C" w:rsidR="00DA1845" w:rsidRPr="003F71D2" w:rsidRDefault="00DB3564" w:rsidP="003F71D2">
      <w:pPr>
        <w:pStyle w:val="Default"/>
        <w:rPr>
          <w:sz w:val="22"/>
          <w:szCs w:val="22"/>
          <w:lang w:val="sk-SK"/>
        </w:rPr>
      </w:pPr>
      <w:r w:rsidRPr="003F71D2">
        <w:rPr>
          <w:b/>
          <w:bCs/>
          <w:sz w:val="22"/>
          <w:szCs w:val="22"/>
          <w:lang w:val="sk-SK"/>
        </w:rPr>
        <w:t>6.3</w:t>
      </w:r>
      <w:r w:rsidRPr="003F71D2">
        <w:rPr>
          <w:b/>
          <w:bCs/>
          <w:sz w:val="22"/>
          <w:szCs w:val="22"/>
          <w:lang w:val="sk-SK"/>
        </w:rPr>
        <w:tab/>
        <w:t xml:space="preserve">Čas použiteľnosti </w:t>
      </w:r>
    </w:p>
    <w:p w14:paraId="5BD74F92" w14:textId="77777777" w:rsidR="00DA1845" w:rsidRPr="003F71D2" w:rsidRDefault="00DA1845" w:rsidP="003F71D2">
      <w:pPr>
        <w:pStyle w:val="Default"/>
        <w:rPr>
          <w:sz w:val="22"/>
          <w:szCs w:val="22"/>
          <w:lang w:val="sk-SK"/>
        </w:rPr>
      </w:pPr>
    </w:p>
    <w:p w14:paraId="6E14887A" w14:textId="77777777" w:rsidR="00DA1845" w:rsidRPr="003F71D2" w:rsidRDefault="00E22743" w:rsidP="003F71D2">
      <w:pPr>
        <w:pStyle w:val="Default"/>
        <w:rPr>
          <w:sz w:val="22"/>
          <w:szCs w:val="22"/>
          <w:lang w:val="sk-SK"/>
        </w:rPr>
      </w:pPr>
      <w:r w:rsidRPr="003F71D2">
        <w:rPr>
          <w:sz w:val="22"/>
          <w:szCs w:val="22"/>
          <w:lang w:val="sk-SK"/>
        </w:rPr>
        <w:t xml:space="preserve">3 </w:t>
      </w:r>
      <w:r w:rsidR="00DB3564" w:rsidRPr="003F71D2">
        <w:rPr>
          <w:sz w:val="22"/>
          <w:szCs w:val="22"/>
          <w:lang w:val="sk-SK"/>
        </w:rPr>
        <w:t xml:space="preserve">roky. </w:t>
      </w:r>
    </w:p>
    <w:p w14:paraId="2481C6CC" w14:textId="2FBD914B" w:rsidR="00895ADB" w:rsidRDefault="00895ADB" w:rsidP="003F71D2">
      <w:pPr>
        <w:pStyle w:val="Default"/>
        <w:rPr>
          <w:sz w:val="22"/>
          <w:szCs w:val="22"/>
          <w:lang w:val="sk-SK"/>
        </w:rPr>
      </w:pPr>
    </w:p>
    <w:p w14:paraId="167BC690" w14:textId="005B0798" w:rsidR="006B77E0" w:rsidRDefault="006B77E0" w:rsidP="003F71D2">
      <w:pPr>
        <w:pStyle w:val="Default"/>
        <w:rPr>
          <w:sz w:val="22"/>
          <w:szCs w:val="22"/>
          <w:lang w:val="sk-SK"/>
        </w:rPr>
      </w:pPr>
      <w:r w:rsidRPr="006B77E0">
        <w:rPr>
          <w:sz w:val="22"/>
          <w:szCs w:val="22"/>
          <w:lang w:val="sk-SK"/>
        </w:rPr>
        <w:t>Po aseptickom zriedení je vhodnejšie použiť: Z mikrobiologického hľadiska sa má zriedený infúzny roztok použiť okamžite. Ak sa nepoužije okamžite, za dobu skladovania a podmienky uchovávania pred použitím zodpovedá používateľ. Celkový čas medzi zriedením a skladovaním v</w:t>
      </w:r>
      <w:r>
        <w:rPr>
          <w:sz w:val="22"/>
          <w:szCs w:val="22"/>
          <w:lang w:val="sk-SK"/>
        </w:rPr>
        <w:t> </w:t>
      </w:r>
      <w:r w:rsidRPr="006B77E0">
        <w:rPr>
          <w:sz w:val="22"/>
          <w:szCs w:val="22"/>
          <w:lang w:val="sk-SK"/>
        </w:rPr>
        <w:t>chladničke</w:t>
      </w:r>
      <w:r>
        <w:rPr>
          <w:sz w:val="22"/>
          <w:szCs w:val="22"/>
          <w:lang w:val="sk-SK"/>
        </w:rPr>
        <w:t xml:space="preserve"> používateľa </w:t>
      </w:r>
      <w:r w:rsidRPr="006B77E0">
        <w:rPr>
          <w:sz w:val="22"/>
          <w:szCs w:val="22"/>
          <w:lang w:val="sk-SK"/>
        </w:rPr>
        <w:t>by nemal byť dlhší ako 24 hodín pri 2 °C - 8 °C</w:t>
      </w:r>
      <w:r w:rsidR="00B14728">
        <w:rPr>
          <w:sz w:val="22"/>
          <w:szCs w:val="22"/>
          <w:lang w:val="sk-SK"/>
        </w:rPr>
        <w:t>.</w:t>
      </w:r>
      <w:r w:rsidRPr="006B77E0">
        <w:rPr>
          <w:sz w:val="22"/>
          <w:szCs w:val="22"/>
          <w:lang w:val="sk-SK"/>
        </w:rPr>
        <w:t xml:space="preserve"> </w:t>
      </w:r>
      <w:r w:rsidR="00B14728">
        <w:rPr>
          <w:sz w:val="22"/>
          <w:szCs w:val="22"/>
          <w:lang w:val="sk-SK"/>
        </w:rPr>
        <w:t>Chladený</w:t>
      </w:r>
      <w:r w:rsidRPr="00CD7BC4">
        <w:rPr>
          <w:sz w:val="22"/>
          <w:szCs w:val="22"/>
          <w:lang w:val="sk-SK"/>
        </w:rPr>
        <w:t xml:space="preserve"> roztok by potom mal byť pred podaním ekvilibrovaný na izbovú teplotu</w:t>
      </w:r>
      <w:r w:rsidR="00B14728">
        <w:rPr>
          <w:sz w:val="22"/>
          <w:szCs w:val="22"/>
          <w:lang w:val="sk-SK"/>
        </w:rPr>
        <w:t xml:space="preserve"> a </w:t>
      </w:r>
      <w:r w:rsidRPr="00CD7BC4">
        <w:rPr>
          <w:sz w:val="22"/>
          <w:szCs w:val="22"/>
          <w:lang w:val="sk-SK"/>
        </w:rPr>
        <w:t>nesmie presiahnuť 24 hodín.</w:t>
      </w:r>
    </w:p>
    <w:p w14:paraId="44134549" w14:textId="77777777" w:rsidR="006B77E0" w:rsidRPr="003F71D2" w:rsidRDefault="006B77E0" w:rsidP="003F71D2">
      <w:pPr>
        <w:pStyle w:val="Default"/>
        <w:rPr>
          <w:sz w:val="22"/>
          <w:szCs w:val="22"/>
          <w:lang w:val="sk-SK"/>
        </w:rPr>
      </w:pPr>
    </w:p>
    <w:p w14:paraId="21B440D9" w14:textId="3F3F0818" w:rsidR="00DA1845" w:rsidRPr="003F71D2" w:rsidRDefault="00DB3564" w:rsidP="003F71D2">
      <w:pPr>
        <w:pStyle w:val="Default"/>
        <w:rPr>
          <w:sz w:val="22"/>
          <w:szCs w:val="22"/>
          <w:lang w:val="sk-SK"/>
        </w:rPr>
      </w:pPr>
      <w:r w:rsidRPr="003F71D2">
        <w:rPr>
          <w:b/>
          <w:bCs/>
          <w:sz w:val="22"/>
          <w:szCs w:val="22"/>
          <w:lang w:val="sk-SK"/>
        </w:rPr>
        <w:t>6.4</w:t>
      </w:r>
      <w:r w:rsidRPr="003F71D2">
        <w:rPr>
          <w:b/>
          <w:bCs/>
          <w:sz w:val="22"/>
          <w:szCs w:val="22"/>
          <w:lang w:val="sk-SK"/>
        </w:rPr>
        <w:tab/>
        <w:t xml:space="preserve">Špeciálne upozornenia na uchovávanie </w:t>
      </w:r>
    </w:p>
    <w:p w14:paraId="1B289C47" w14:textId="77777777" w:rsidR="00DA1845" w:rsidRPr="003F71D2" w:rsidRDefault="00DA1845" w:rsidP="003F71D2">
      <w:pPr>
        <w:pStyle w:val="Default"/>
        <w:rPr>
          <w:sz w:val="22"/>
          <w:szCs w:val="22"/>
          <w:lang w:val="sk-SK"/>
        </w:rPr>
      </w:pPr>
    </w:p>
    <w:p w14:paraId="0000024D" w14:textId="77777777" w:rsidR="00895ADB" w:rsidRPr="003F71D2" w:rsidRDefault="00DB3564" w:rsidP="003F71D2">
      <w:pPr>
        <w:pStyle w:val="Default"/>
        <w:rPr>
          <w:sz w:val="22"/>
          <w:szCs w:val="22"/>
          <w:lang w:val="sk-SK"/>
        </w:rPr>
      </w:pPr>
      <w:r w:rsidRPr="003F71D2">
        <w:rPr>
          <w:sz w:val="22"/>
          <w:szCs w:val="22"/>
          <w:lang w:val="sk-SK"/>
        </w:rPr>
        <w:lastRenderedPageBreak/>
        <w:t>Nezmrazovať.</w:t>
      </w:r>
    </w:p>
    <w:p w14:paraId="1B64E16C" w14:textId="77777777" w:rsidR="00DA1845" w:rsidRPr="003F71D2" w:rsidRDefault="00DB3564" w:rsidP="003F71D2">
      <w:pPr>
        <w:pStyle w:val="Default"/>
        <w:rPr>
          <w:sz w:val="22"/>
          <w:szCs w:val="22"/>
          <w:lang w:val="sk-SK"/>
        </w:rPr>
      </w:pPr>
      <w:r w:rsidRPr="003F71D2">
        <w:rPr>
          <w:sz w:val="22"/>
          <w:szCs w:val="22"/>
          <w:lang w:val="sk-SK"/>
        </w:rPr>
        <w:t xml:space="preserve">Podmienky na uchovávanie zriedeného infúzneho roztoku, pozri časť 6.3. </w:t>
      </w:r>
    </w:p>
    <w:p w14:paraId="0828AE7A" w14:textId="77777777" w:rsidR="00DA1845" w:rsidRPr="003F71D2" w:rsidRDefault="00DA1845" w:rsidP="003F71D2">
      <w:pPr>
        <w:pStyle w:val="Default"/>
        <w:rPr>
          <w:b/>
          <w:bCs/>
          <w:sz w:val="22"/>
          <w:szCs w:val="22"/>
          <w:lang w:val="sk-SK"/>
        </w:rPr>
      </w:pPr>
    </w:p>
    <w:p w14:paraId="1BBA2F1A" w14:textId="70264B32" w:rsidR="00DA1845" w:rsidRPr="003F71D2" w:rsidRDefault="00DB3564" w:rsidP="003F71D2">
      <w:pPr>
        <w:pStyle w:val="Default"/>
        <w:rPr>
          <w:b/>
          <w:bCs/>
          <w:sz w:val="22"/>
          <w:szCs w:val="22"/>
          <w:lang w:val="sk-SK"/>
        </w:rPr>
      </w:pPr>
      <w:r w:rsidRPr="003F71D2">
        <w:rPr>
          <w:b/>
          <w:bCs/>
          <w:sz w:val="22"/>
          <w:szCs w:val="22"/>
          <w:lang w:val="sk-SK"/>
        </w:rPr>
        <w:t>6.5</w:t>
      </w:r>
      <w:r w:rsidRPr="003F71D2">
        <w:rPr>
          <w:b/>
          <w:bCs/>
          <w:sz w:val="22"/>
          <w:szCs w:val="22"/>
          <w:lang w:val="sk-SK"/>
        </w:rPr>
        <w:tab/>
        <w:t xml:space="preserve">Druh obalu a obsah balenia </w:t>
      </w:r>
    </w:p>
    <w:p w14:paraId="50ADB570" w14:textId="77777777" w:rsidR="002C38F4" w:rsidRPr="003F71D2" w:rsidRDefault="002C38F4" w:rsidP="003F71D2">
      <w:pPr>
        <w:pStyle w:val="Default"/>
        <w:rPr>
          <w:sz w:val="22"/>
          <w:szCs w:val="22"/>
          <w:lang w:val="sk-SK"/>
        </w:rPr>
      </w:pPr>
    </w:p>
    <w:p w14:paraId="33165DFC" w14:textId="77777777" w:rsidR="00107A73" w:rsidRPr="003F71D2" w:rsidRDefault="00DB3564" w:rsidP="003F71D2">
      <w:pPr>
        <w:pStyle w:val="Default"/>
        <w:rPr>
          <w:sz w:val="22"/>
          <w:szCs w:val="22"/>
          <w:lang w:val="sk-SK"/>
        </w:rPr>
      </w:pPr>
      <w:r w:rsidRPr="003F71D2">
        <w:rPr>
          <w:sz w:val="22"/>
          <w:szCs w:val="22"/>
          <w:lang w:val="sk-SK"/>
        </w:rPr>
        <w:t>Zomikos 4mg/5 ml koncentrát na infúzny roztok je dodávaný v balení po 1, 4 alebo 10 injekčných liekoviek.</w:t>
      </w:r>
    </w:p>
    <w:p w14:paraId="7C204D48" w14:textId="77777777" w:rsidR="00107A73" w:rsidRPr="003F71D2" w:rsidRDefault="00DB3564" w:rsidP="003F71D2">
      <w:pPr>
        <w:pStyle w:val="Default"/>
        <w:rPr>
          <w:sz w:val="22"/>
          <w:szCs w:val="22"/>
          <w:lang w:val="sk-SK"/>
        </w:rPr>
      </w:pPr>
      <w:r w:rsidRPr="003F71D2">
        <w:rPr>
          <w:sz w:val="22"/>
          <w:szCs w:val="22"/>
          <w:lang w:val="sk-SK"/>
        </w:rPr>
        <w:t>Nie všetky veľkosti balenia musia byť uvedené na trh.</w:t>
      </w:r>
    </w:p>
    <w:p w14:paraId="7E41C0F5" w14:textId="75BB7F08" w:rsidR="00DA1845" w:rsidRPr="003F71D2" w:rsidRDefault="00DB3564" w:rsidP="003F71D2">
      <w:pPr>
        <w:spacing w:line="240" w:lineRule="auto"/>
        <w:rPr>
          <w:rFonts w:ascii="Times New Roman" w:hAnsi="Times New Roman" w:cs="Times New Roman"/>
          <w:lang w:val="sk-SK"/>
        </w:rPr>
      </w:pPr>
      <w:r w:rsidRPr="003F71D2">
        <w:rPr>
          <w:rFonts w:ascii="Times New Roman" w:hAnsi="Times New Roman" w:cs="Times New Roman"/>
          <w:lang w:val="sk-SK"/>
        </w:rPr>
        <w:t xml:space="preserve">Fľaša: </w:t>
      </w:r>
      <w:r w:rsidR="00106877" w:rsidRPr="003F71D2">
        <w:rPr>
          <w:rFonts w:ascii="Times New Roman" w:hAnsi="Times New Roman" w:cs="Times New Roman"/>
          <w:lang w:val="sk-SK"/>
        </w:rPr>
        <w:t>6 ml plastová injekčná liekovka vyrobená z cy</w:t>
      </w:r>
      <w:r w:rsidR="00B04F42" w:rsidRPr="003F71D2">
        <w:rPr>
          <w:rFonts w:ascii="Times New Roman" w:hAnsi="Times New Roman" w:cs="Times New Roman"/>
          <w:lang w:val="sk-SK"/>
        </w:rPr>
        <w:t>k</w:t>
      </w:r>
      <w:r w:rsidR="00106877" w:rsidRPr="003F71D2">
        <w:rPr>
          <w:rFonts w:ascii="Times New Roman" w:hAnsi="Times New Roman" w:cs="Times New Roman"/>
          <w:lang w:val="sk-SK"/>
        </w:rPr>
        <w:t>loolefinického kopolyméru alebo 5 ml plastová injekčná liekovka vyrobená z cy</w:t>
      </w:r>
      <w:r w:rsidR="00B04F42" w:rsidRPr="003F71D2">
        <w:rPr>
          <w:rFonts w:ascii="Times New Roman" w:hAnsi="Times New Roman" w:cs="Times New Roman"/>
          <w:lang w:val="sk-SK"/>
        </w:rPr>
        <w:t>k</w:t>
      </w:r>
      <w:r w:rsidR="00106877" w:rsidRPr="003F71D2">
        <w:rPr>
          <w:rFonts w:ascii="Times New Roman" w:hAnsi="Times New Roman" w:cs="Times New Roman"/>
          <w:lang w:val="sk-SK"/>
        </w:rPr>
        <w:t xml:space="preserve">loolefinického polyméru </w:t>
      </w:r>
      <w:r w:rsidR="00B04F42" w:rsidRPr="003F71D2">
        <w:rPr>
          <w:rFonts w:ascii="Times New Roman" w:hAnsi="Times New Roman" w:cs="Times New Roman"/>
          <w:lang w:val="sk-SK"/>
        </w:rPr>
        <w:t>uzavre</w:t>
      </w:r>
      <w:r w:rsidR="00716650" w:rsidRPr="003F71D2">
        <w:rPr>
          <w:rFonts w:ascii="Times New Roman" w:hAnsi="Times New Roman" w:cs="Times New Roman"/>
          <w:lang w:val="sk-SK"/>
        </w:rPr>
        <w:t>t</w:t>
      </w:r>
      <w:r w:rsidR="00B04F42" w:rsidRPr="003F71D2">
        <w:rPr>
          <w:rFonts w:ascii="Times New Roman" w:hAnsi="Times New Roman" w:cs="Times New Roman"/>
          <w:lang w:val="sk-SK"/>
        </w:rPr>
        <w:t xml:space="preserve">á </w:t>
      </w:r>
      <w:r w:rsidR="00106877" w:rsidRPr="003F71D2">
        <w:rPr>
          <w:rFonts w:ascii="Times New Roman" w:hAnsi="Times New Roman" w:cs="Times New Roman"/>
          <w:lang w:val="sk-SK"/>
        </w:rPr>
        <w:t>so šed</w:t>
      </w:r>
      <w:r w:rsidR="00B04F42" w:rsidRPr="003F71D2">
        <w:rPr>
          <w:rFonts w:ascii="Times New Roman" w:hAnsi="Times New Roman" w:cs="Times New Roman"/>
          <w:lang w:val="sk-SK"/>
        </w:rPr>
        <w:t>ou</w:t>
      </w:r>
      <w:r w:rsidR="00106877" w:rsidRPr="003F71D2">
        <w:rPr>
          <w:rFonts w:ascii="Times New Roman" w:hAnsi="Times New Roman" w:cs="Times New Roman"/>
          <w:lang w:val="sk-SK"/>
        </w:rPr>
        <w:t xml:space="preserve"> fluoropolymérov</w:t>
      </w:r>
      <w:r w:rsidR="00B04F42" w:rsidRPr="003F71D2">
        <w:rPr>
          <w:rFonts w:ascii="Times New Roman" w:hAnsi="Times New Roman" w:cs="Times New Roman"/>
          <w:lang w:val="sk-SK"/>
        </w:rPr>
        <w:t xml:space="preserve">ou </w:t>
      </w:r>
      <w:r w:rsidR="00106877" w:rsidRPr="003F71D2">
        <w:rPr>
          <w:rFonts w:ascii="Times New Roman" w:hAnsi="Times New Roman" w:cs="Times New Roman"/>
          <w:lang w:val="sk-SK"/>
        </w:rPr>
        <w:t xml:space="preserve"> brómbutylovou gumenou zátkou a hliníkovým viečkom s modrým plastovým flip-off uzáverom.</w:t>
      </w:r>
    </w:p>
    <w:p w14:paraId="3B94764F" w14:textId="77777777" w:rsidR="00107A73" w:rsidRPr="003F71D2" w:rsidRDefault="00DB3564" w:rsidP="003F71D2">
      <w:pPr>
        <w:pStyle w:val="Default"/>
        <w:rPr>
          <w:b/>
          <w:bCs/>
          <w:sz w:val="22"/>
          <w:szCs w:val="22"/>
          <w:lang w:val="sk-SK"/>
        </w:rPr>
      </w:pPr>
      <w:r w:rsidRPr="003F71D2">
        <w:rPr>
          <w:b/>
          <w:bCs/>
          <w:sz w:val="22"/>
          <w:szCs w:val="22"/>
          <w:lang w:val="sk-SK"/>
        </w:rPr>
        <w:t xml:space="preserve">6.6 </w:t>
      </w:r>
      <w:r w:rsidRPr="003F71D2">
        <w:rPr>
          <w:b/>
          <w:bCs/>
          <w:sz w:val="22"/>
          <w:szCs w:val="22"/>
          <w:lang w:val="sk-SK"/>
        </w:rPr>
        <w:tab/>
        <w:t xml:space="preserve">Špeciálne opatrenia na likvidáciu a iné zaobchádzanie s liekom </w:t>
      </w:r>
    </w:p>
    <w:p w14:paraId="498B7F8D" w14:textId="77777777" w:rsidR="002C38F4" w:rsidRPr="003F71D2" w:rsidRDefault="002C38F4" w:rsidP="003F71D2">
      <w:pPr>
        <w:pStyle w:val="Default"/>
        <w:rPr>
          <w:sz w:val="22"/>
          <w:szCs w:val="22"/>
          <w:lang w:val="sk-SK"/>
        </w:rPr>
      </w:pPr>
    </w:p>
    <w:p w14:paraId="07A92FAC" w14:textId="35054CAB" w:rsidR="00107A73" w:rsidRPr="003F71D2" w:rsidRDefault="00F513DA" w:rsidP="003F71D2">
      <w:pPr>
        <w:pStyle w:val="Default"/>
        <w:rPr>
          <w:sz w:val="22"/>
          <w:szCs w:val="22"/>
          <w:lang w:val="sk-SK"/>
        </w:rPr>
      </w:pPr>
      <w:r w:rsidRPr="003F71D2">
        <w:rPr>
          <w:sz w:val="22"/>
          <w:szCs w:val="22"/>
          <w:lang w:val="sk-SK"/>
        </w:rPr>
        <w:t xml:space="preserve">5,0 ml </w:t>
      </w:r>
      <w:r w:rsidR="00AD7BB5" w:rsidRPr="003F71D2">
        <w:rPr>
          <w:sz w:val="22"/>
          <w:szCs w:val="22"/>
          <w:lang w:val="sk-SK"/>
        </w:rPr>
        <w:t>koncentrátu</w:t>
      </w:r>
      <w:r w:rsidRPr="003F71D2">
        <w:rPr>
          <w:sz w:val="22"/>
          <w:szCs w:val="22"/>
          <w:lang w:val="sk-SK"/>
        </w:rPr>
        <w:t xml:space="preserve"> z jednej </w:t>
      </w:r>
      <w:r w:rsidR="00AD7BB5" w:rsidRPr="003F71D2">
        <w:rPr>
          <w:sz w:val="22"/>
          <w:szCs w:val="22"/>
          <w:lang w:val="sk-SK"/>
        </w:rPr>
        <w:t xml:space="preserve">injekčnej </w:t>
      </w:r>
      <w:r w:rsidR="00826E85" w:rsidRPr="003F71D2">
        <w:rPr>
          <w:sz w:val="22"/>
          <w:szCs w:val="22"/>
          <w:lang w:val="sk-SK"/>
        </w:rPr>
        <w:t>liekovky</w:t>
      </w:r>
      <w:r w:rsidR="00DB3564" w:rsidRPr="003F71D2">
        <w:rPr>
          <w:sz w:val="22"/>
          <w:szCs w:val="22"/>
          <w:lang w:val="sk-SK"/>
        </w:rPr>
        <w:t xml:space="preserve"> </w:t>
      </w:r>
      <w:r w:rsidR="00AD7BB5" w:rsidRPr="003F71D2">
        <w:rPr>
          <w:sz w:val="22"/>
          <w:szCs w:val="22"/>
          <w:lang w:val="sk-SK"/>
        </w:rPr>
        <w:t xml:space="preserve">alebo objem </w:t>
      </w:r>
      <w:r w:rsidR="00DB1527" w:rsidRPr="003F71D2">
        <w:rPr>
          <w:sz w:val="22"/>
          <w:szCs w:val="22"/>
          <w:lang w:val="sk-SK"/>
        </w:rPr>
        <w:t xml:space="preserve">odobratého </w:t>
      </w:r>
      <w:r w:rsidR="00AD7BB5" w:rsidRPr="003F71D2">
        <w:rPr>
          <w:sz w:val="22"/>
          <w:szCs w:val="22"/>
          <w:lang w:val="sk-SK"/>
        </w:rPr>
        <w:t xml:space="preserve">koncentrátu </w:t>
      </w:r>
      <w:r w:rsidR="00DB3564" w:rsidRPr="003F71D2">
        <w:rPr>
          <w:sz w:val="22"/>
          <w:szCs w:val="22"/>
          <w:lang w:val="sk-SK"/>
        </w:rPr>
        <w:t xml:space="preserve">sa </w:t>
      </w:r>
      <w:r w:rsidR="00DB1527" w:rsidRPr="003F71D2">
        <w:rPr>
          <w:sz w:val="22"/>
          <w:szCs w:val="22"/>
          <w:lang w:val="sk-SK"/>
        </w:rPr>
        <w:t xml:space="preserve">musí </w:t>
      </w:r>
      <w:r w:rsidR="00AD7BB5" w:rsidRPr="003F71D2">
        <w:rPr>
          <w:sz w:val="22"/>
          <w:szCs w:val="22"/>
          <w:lang w:val="sk-SK"/>
        </w:rPr>
        <w:t xml:space="preserve">ďalej </w:t>
      </w:r>
      <w:r w:rsidR="00DB3564" w:rsidRPr="003F71D2">
        <w:rPr>
          <w:sz w:val="22"/>
          <w:szCs w:val="22"/>
          <w:lang w:val="sk-SK"/>
        </w:rPr>
        <w:t>riedi</w:t>
      </w:r>
      <w:r w:rsidR="00DB1527" w:rsidRPr="003F71D2">
        <w:rPr>
          <w:sz w:val="22"/>
          <w:szCs w:val="22"/>
          <w:lang w:val="sk-SK"/>
        </w:rPr>
        <w:t>ť</w:t>
      </w:r>
      <w:r w:rsidR="00DB3564" w:rsidRPr="003F71D2">
        <w:rPr>
          <w:sz w:val="22"/>
          <w:szCs w:val="22"/>
          <w:lang w:val="sk-SK"/>
        </w:rPr>
        <w:t xml:space="preserve"> </w:t>
      </w:r>
      <w:r w:rsidR="00BF3078" w:rsidRPr="003F71D2">
        <w:rPr>
          <w:sz w:val="22"/>
          <w:szCs w:val="22"/>
          <w:lang w:val="sk-SK"/>
        </w:rPr>
        <w:t>v</w:t>
      </w:r>
      <w:r w:rsidR="00DB3564" w:rsidRPr="003F71D2">
        <w:rPr>
          <w:sz w:val="22"/>
          <w:szCs w:val="22"/>
          <w:lang w:val="sk-SK"/>
        </w:rPr>
        <w:t xml:space="preserve">100 ml infúzneho roztoku, ktorý neobsahuje vápnik (0,9 % m/V roztok chloridu sodného alebo 5 % m/V roztok glukózy). </w:t>
      </w:r>
      <w:r w:rsidRPr="003F71D2">
        <w:rPr>
          <w:sz w:val="22"/>
          <w:szCs w:val="22"/>
          <w:lang w:val="sk-SK"/>
        </w:rPr>
        <w:t xml:space="preserve">Ak je roztok </w:t>
      </w:r>
      <w:r w:rsidR="00AD7BB5" w:rsidRPr="003F71D2">
        <w:rPr>
          <w:sz w:val="22"/>
          <w:szCs w:val="22"/>
          <w:lang w:val="sk-SK"/>
        </w:rPr>
        <w:t xml:space="preserve">uchovávaný v chladničke, pred podaním sa </w:t>
      </w:r>
      <w:r w:rsidRPr="003F71D2">
        <w:rPr>
          <w:sz w:val="22"/>
          <w:szCs w:val="22"/>
          <w:lang w:val="sk-SK"/>
        </w:rPr>
        <w:t xml:space="preserve"> musí nechať vytemperovať na izbovú teplotu</w:t>
      </w:r>
      <w:r w:rsidR="00AD7BB5" w:rsidRPr="003F71D2">
        <w:rPr>
          <w:sz w:val="22"/>
          <w:szCs w:val="22"/>
          <w:lang w:val="sk-SK"/>
        </w:rPr>
        <w:t xml:space="preserve">. </w:t>
      </w:r>
      <w:r w:rsidR="00DB3564" w:rsidRPr="003F71D2">
        <w:rPr>
          <w:sz w:val="22"/>
          <w:szCs w:val="22"/>
          <w:lang w:val="sk-SK"/>
        </w:rPr>
        <w:t xml:space="preserve">Ďalšie informácie o manipulácii so Zomikosom vrátane pokynov na prípravu znížených dávok sú uvedené v časti 4.2. </w:t>
      </w:r>
    </w:p>
    <w:p w14:paraId="00969F19" w14:textId="77777777" w:rsidR="00107A73" w:rsidRPr="003F71D2" w:rsidRDefault="00DB3564" w:rsidP="003F71D2">
      <w:pPr>
        <w:pStyle w:val="Default"/>
        <w:rPr>
          <w:sz w:val="22"/>
          <w:szCs w:val="22"/>
          <w:lang w:val="sk-SK"/>
        </w:rPr>
      </w:pPr>
      <w:r w:rsidRPr="003F71D2">
        <w:rPr>
          <w:sz w:val="22"/>
          <w:szCs w:val="22"/>
          <w:lang w:val="sk-SK"/>
        </w:rPr>
        <w:t xml:space="preserve">Počas prípravy infúzie sa musia dodržiavať aseptické postupy. Len na jednorazové použitie. </w:t>
      </w:r>
    </w:p>
    <w:p w14:paraId="2D622BBE" w14:textId="77777777" w:rsidR="00107A73" w:rsidRPr="003F71D2" w:rsidRDefault="00DB3564" w:rsidP="003F71D2">
      <w:pPr>
        <w:pStyle w:val="Default"/>
        <w:rPr>
          <w:sz w:val="22"/>
          <w:szCs w:val="22"/>
          <w:lang w:val="sk-SK"/>
        </w:rPr>
      </w:pPr>
      <w:r w:rsidRPr="003F71D2">
        <w:rPr>
          <w:sz w:val="22"/>
          <w:szCs w:val="22"/>
          <w:lang w:val="sk-SK"/>
        </w:rPr>
        <w:t xml:space="preserve">Má sa použiť len číry, nesfarbený roztok bez cudzorodých častíc. </w:t>
      </w:r>
    </w:p>
    <w:p w14:paraId="2A34F191" w14:textId="77777777" w:rsidR="00107A73" w:rsidRPr="003F71D2" w:rsidRDefault="00DB3564" w:rsidP="003F71D2">
      <w:pPr>
        <w:pStyle w:val="Default"/>
        <w:rPr>
          <w:sz w:val="22"/>
          <w:szCs w:val="22"/>
          <w:lang w:val="sk-SK"/>
        </w:rPr>
      </w:pPr>
      <w:r w:rsidRPr="003F71D2">
        <w:rPr>
          <w:sz w:val="22"/>
          <w:szCs w:val="22"/>
          <w:lang w:val="sk-SK"/>
        </w:rPr>
        <w:t xml:space="preserve">Zdravotníckym pracovníkom sa odporúča, aby nelikvidovali nepoužitý Zomikos do kanalizácie. </w:t>
      </w:r>
    </w:p>
    <w:p w14:paraId="4C2408FA" w14:textId="77777777" w:rsidR="00107A73" w:rsidRPr="003F71D2" w:rsidRDefault="0013032A" w:rsidP="003F71D2">
      <w:pPr>
        <w:pStyle w:val="Default"/>
        <w:rPr>
          <w:sz w:val="22"/>
          <w:szCs w:val="22"/>
          <w:lang w:val="sk-SK"/>
        </w:rPr>
      </w:pPr>
      <w:r w:rsidRPr="003F71D2">
        <w:rPr>
          <w:sz w:val="22"/>
          <w:szCs w:val="22"/>
          <w:lang w:val="sk-SK"/>
        </w:rPr>
        <w:t>Všetok n</w:t>
      </w:r>
      <w:r w:rsidR="00DB3564" w:rsidRPr="003F71D2">
        <w:rPr>
          <w:sz w:val="22"/>
          <w:szCs w:val="22"/>
          <w:lang w:val="sk-SK"/>
        </w:rPr>
        <w:t xml:space="preserve">epoužitý liek alebo odpad vzniknutý z lieku </w:t>
      </w:r>
      <w:r w:rsidRPr="003F71D2">
        <w:rPr>
          <w:sz w:val="22"/>
          <w:szCs w:val="22"/>
          <w:lang w:val="sk-SK"/>
        </w:rPr>
        <w:t xml:space="preserve">sa </w:t>
      </w:r>
      <w:r w:rsidR="00DB3564" w:rsidRPr="003F71D2">
        <w:rPr>
          <w:sz w:val="22"/>
          <w:szCs w:val="22"/>
          <w:lang w:val="sk-SK"/>
        </w:rPr>
        <w:t>má zlikvidova</w:t>
      </w:r>
      <w:r w:rsidRPr="003F71D2">
        <w:rPr>
          <w:sz w:val="22"/>
          <w:szCs w:val="22"/>
          <w:lang w:val="sk-SK"/>
        </w:rPr>
        <w:t>ť</w:t>
      </w:r>
      <w:r w:rsidR="00DB3564" w:rsidRPr="003F71D2">
        <w:rPr>
          <w:sz w:val="22"/>
          <w:szCs w:val="22"/>
          <w:lang w:val="sk-SK"/>
        </w:rPr>
        <w:t xml:space="preserve"> v súlade s národnými požiadavkami. </w:t>
      </w:r>
    </w:p>
    <w:p w14:paraId="1D7930FB" w14:textId="77777777" w:rsidR="00E4189D" w:rsidRPr="003F71D2" w:rsidRDefault="00E4189D" w:rsidP="003F71D2">
      <w:pPr>
        <w:pStyle w:val="Default"/>
        <w:rPr>
          <w:b/>
          <w:bCs/>
          <w:sz w:val="22"/>
          <w:szCs w:val="22"/>
          <w:lang w:val="sk-SK"/>
        </w:rPr>
      </w:pPr>
    </w:p>
    <w:p w14:paraId="4D58DA5C" w14:textId="77777777" w:rsidR="00E4189D" w:rsidRPr="003F71D2" w:rsidRDefault="00E4189D" w:rsidP="003F71D2">
      <w:pPr>
        <w:pStyle w:val="Default"/>
        <w:rPr>
          <w:b/>
          <w:bCs/>
          <w:sz w:val="22"/>
          <w:szCs w:val="22"/>
          <w:lang w:val="sk-SK"/>
        </w:rPr>
      </w:pPr>
    </w:p>
    <w:p w14:paraId="64BDD8B5" w14:textId="77777777" w:rsidR="00107A73" w:rsidRPr="003F71D2" w:rsidRDefault="00DB3564" w:rsidP="003F71D2">
      <w:pPr>
        <w:pStyle w:val="Default"/>
        <w:rPr>
          <w:sz w:val="22"/>
          <w:szCs w:val="22"/>
          <w:lang w:val="sk-SK"/>
        </w:rPr>
      </w:pPr>
      <w:r w:rsidRPr="003F71D2">
        <w:rPr>
          <w:b/>
          <w:bCs/>
          <w:sz w:val="22"/>
          <w:szCs w:val="22"/>
          <w:lang w:val="sk-SK"/>
        </w:rPr>
        <w:t xml:space="preserve">7. </w:t>
      </w:r>
      <w:r w:rsidRPr="003F71D2">
        <w:rPr>
          <w:b/>
          <w:bCs/>
          <w:sz w:val="22"/>
          <w:szCs w:val="22"/>
          <w:lang w:val="sk-SK"/>
        </w:rPr>
        <w:tab/>
        <w:t xml:space="preserve">DRŽITEĽ ROZHODNUTIA O REGISTRÁCII </w:t>
      </w:r>
    </w:p>
    <w:p w14:paraId="622F7710" w14:textId="77777777" w:rsidR="00107A73" w:rsidRPr="003F71D2" w:rsidRDefault="00107A73" w:rsidP="003F71D2">
      <w:pPr>
        <w:pStyle w:val="Americana"/>
        <w:spacing w:line="240" w:lineRule="auto"/>
        <w:jc w:val="left"/>
        <w:rPr>
          <w:rFonts w:ascii="Times New Roman" w:hAnsi="Times New Roman" w:cs="Times New Roman"/>
          <w:sz w:val="22"/>
          <w:szCs w:val="22"/>
          <w:lang w:val="sk-SK"/>
        </w:rPr>
      </w:pPr>
    </w:p>
    <w:p w14:paraId="51F77C73" w14:textId="77777777" w:rsidR="00107A73" w:rsidRPr="003F71D2" w:rsidRDefault="00DB3564" w:rsidP="003F71D2">
      <w:pPr>
        <w:pStyle w:val="Americana"/>
        <w:spacing w:line="240" w:lineRule="auto"/>
        <w:jc w:val="left"/>
        <w:rPr>
          <w:rFonts w:ascii="Times New Roman" w:hAnsi="Times New Roman" w:cs="Times New Roman"/>
          <w:sz w:val="22"/>
          <w:szCs w:val="22"/>
          <w:lang w:val="sk-SK"/>
        </w:rPr>
      </w:pPr>
      <w:r w:rsidRPr="003F71D2">
        <w:rPr>
          <w:rFonts w:ascii="Times New Roman" w:hAnsi="Times New Roman" w:cs="Times New Roman"/>
          <w:sz w:val="22"/>
          <w:szCs w:val="22"/>
          <w:lang w:val="sk-SK"/>
        </w:rPr>
        <w:t>Vipharm S.A.</w:t>
      </w:r>
    </w:p>
    <w:p w14:paraId="1E6E273D" w14:textId="77777777" w:rsidR="00107A73" w:rsidRPr="003F71D2" w:rsidRDefault="00DB3564" w:rsidP="003F71D2">
      <w:pPr>
        <w:pStyle w:val="Americana"/>
        <w:spacing w:line="240" w:lineRule="auto"/>
        <w:jc w:val="left"/>
        <w:rPr>
          <w:rFonts w:ascii="Times New Roman" w:hAnsi="Times New Roman" w:cs="Times New Roman"/>
          <w:sz w:val="22"/>
          <w:szCs w:val="22"/>
          <w:lang w:val="sk-SK"/>
        </w:rPr>
      </w:pPr>
      <w:r w:rsidRPr="003F71D2">
        <w:rPr>
          <w:rFonts w:ascii="Times New Roman" w:hAnsi="Times New Roman" w:cs="Times New Roman"/>
          <w:sz w:val="22"/>
          <w:szCs w:val="22"/>
          <w:lang w:val="sk-SK"/>
        </w:rPr>
        <w:t xml:space="preserve">A.i F. Radziwiłłów 9 </w:t>
      </w:r>
    </w:p>
    <w:p w14:paraId="545C90A6" w14:textId="77777777" w:rsidR="00235631" w:rsidRPr="003F71D2" w:rsidRDefault="00DB3564" w:rsidP="003F71D2">
      <w:pPr>
        <w:spacing w:after="0" w:line="240" w:lineRule="auto"/>
        <w:rPr>
          <w:rFonts w:ascii="Times New Roman" w:hAnsi="Times New Roman" w:cs="Times New Roman"/>
          <w:lang w:val="sk-SK"/>
        </w:rPr>
      </w:pPr>
      <w:r w:rsidRPr="003F71D2">
        <w:rPr>
          <w:rFonts w:ascii="Times New Roman" w:hAnsi="Times New Roman" w:cs="Times New Roman"/>
          <w:lang w:val="sk-SK"/>
        </w:rPr>
        <w:t>05-850 Ożarów Mazowiecki</w:t>
      </w:r>
    </w:p>
    <w:p w14:paraId="02E41260" w14:textId="67F920E7" w:rsidR="00107A73" w:rsidRPr="003F71D2" w:rsidRDefault="00DB3564" w:rsidP="003F71D2">
      <w:pPr>
        <w:spacing w:after="0" w:line="240" w:lineRule="auto"/>
        <w:rPr>
          <w:rFonts w:ascii="Times New Roman" w:hAnsi="Times New Roman" w:cs="Times New Roman"/>
          <w:lang w:val="sk-SK"/>
        </w:rPr>
      </w:pPr>
      <w:r w:rsidRPr="003F71D2">
        <w:rPr>
          <w:rFonts w:ascii="Times New Roman" w:hAnsi="Times New Roman" w:cs="Times New Roman"/>
          <w:lang w:val="sk-SK"/>
        </w:rPr>
        <w:t>Poľsko</w:t>
      </w:r>
    </w:p>
    <w:p w14:paraId="02A19DBB" w14:textId="77777777" w:rsidR="00107A73" w:rsidRPr="003F71D2" w:rsidRDefault="00DB3564" w:rsidP="003F71D2">
      <w:pPr>
        <w:tabs>
          <w:tab w:val="left" w:pos="2520"/>
        </w:tabs>
        <w:spacing w:after="0" w:line="240" w:lineRule="auto"/>
        <w:rPr>
          <w:rFonts w:ascii="Times New Roman" w:hAnsi="Times New Roman" w:cs="Times New Roman"/>
          <w:lang w:val="sk-SK"/>
        </w:rPr>
      </w:pPr>
      <w:r w:rsidRPr="003F71D2">
        <w:rPr>
          <w:rFonts w:ascii="Times New Roman" w:hAnsi="Times New Roman" w:cs="Times New Roman"/>
          <w:lang w:val="sk-SK"/>
        </w:rPr>
        <w:t>tel.: (+4822) 679 51 35</w:t>
      </w:r>
    </w:p>
    <w:p w14:paraId="0D2CD2E6" w14:textId="77777777" w:rsidR="00107A73" w:rsidRPr="003F71D2" w:rsidRDefault="00DB3564" w:rsidP="003F71D2">
      <w:pPr>
        <w:tabs>
          <w:tab w:val="left" w:pos="2520"/>
        </w:tabs>
        <w:spacing w:after="0" w:line="240" w:lineRule="auto"/>
        <w:rPr>
          <w:rFonts w:ascii="Times New Roman" w:hAnsi="Times New Roman" w:cs="Times New Roman"/>
          <w:lang w:val="sk-SK"/>
        </w:rPr>
      </w:pPr>
      <w:r w:rsidRPr="003F71D2">
        <w:rPr>
          <w:rFonts w:ascii="Times New Roman" w:hAnsi="Times New Roman" w:cs="Times New Roman"/>
          <w:lang w:val="sk-SK"/>
        </w:rPr>
        <w:t>fax: (+4822) 678 92 87</w:t>
      </w:r>
    </w:p>
    <w:p w14:paraId="0BA3825E" w14:textId="77777777" w:rsidR="00917B30" w:rsidRPr="003F71D2" w:rsidRDefault="00917B30" w:rsidP="003F71D2">
      <w:pPr>
        <w:tabs>
          <w:tab w:val="left" w:pos="2520"/>
        </w:tabs>
        <w:spacing w:after="0" w:line="240" w:lineRule="auto"/>
        <w:rPr>
          <w:rFonts w:ascii="Times New Roman" w:hAnsi="Times New Roman" w:cs="Times New Roman"/>
          <w:lang w:val="sk-SK"/>
        </w:rPr>
      </w:pPr>
    </w:p>
    <w:p w14:paraId="04211738" w14:textId="77777777" w:rsidR="00060A4C" w:rsidRPr="003F71D2" w:rsidRDefault="00060A4C" w:rsidP="003F71D2">
      <w:pPr>
        <w:tabs>
          <w:tab w:val="left" w:pos="2520"/>
        </w:tabs>
        <w:spacing w:after="0" w:line="240" w:lineRule="auto"/>
        <w:rPr>
          <w:rFonts w:ascii="Times New Roman" w:hAnsi="Times New Roman" w:cs="Times New Roman"/>
          <w:lang w:val="sk-SK"/>
        </w:rPr>
      </w:pPr>
    </w:p>
    <w:p w14:paraId="1ACD0093" w14:textId="5B7022C5" w:rsidR="00917B30" w:rsidRPr="003F71D2" w:rsidRDefault="00DB3564" w:rsidP="003F71D2">
      <w:pPr>
        <w:pStyle w:val="Default"/>
        <w:rPr>
          <w:b/>
          <w:bCs/>
          <w:sz w:val="22"/>
          <w:szCs w:val="22"/>
          <w:lang w:val="sk-SK"/>
        </w:rPr>
      </w:pPr>
      <w:r w:rsidRPr="003F71D2">
        <w:rPr>
          <w:b/>
          <w:bCs/>
          <w:sz w:val="22"/>
          <w:szCs w:val="22"/>
          <w:lang w:val="sk-SK"/>
        </w:rPr>
        <w:t>8.</w:t>
      </w:r>
      <w:r w:rsidRPr="003F71D2">
        <w:rPr>
          <w:b/>
          <w:bCs/>
          <w:sz w:val="22"/>
          <w:szCs w:val="22"/>
          <w:lang w:val="sk-SK"/>
        </w:rPr>
        <w:tab/>
        <w:t>REGISTRAČNÉ ČÍSLO</w:t>
      </w:r>
    </w:p>
    <w:p w14:paraId="459BC011" w14:textId="77777777" w:rsidR="006B7C8E" w:rsidRPr="003F71D2" w:rsidRDefault="006B7C8E" w:rsidP="003F71D2">
      <w:pPr>
        <w:pStyle w:val="Default"/>
        <w:rPr>
          <w:b/>
          <w:bCs/>
          <w:sz w:val="22"/>
          <w:szCs w:val="22"/>
          <w:lang w:val="sk-SK"/>
        </w:rPr>
      </w:pPr>
    </w:p>
    <w:p w14:paraId="03242A71" w14:textId="77777777" w:rsidR="00107A73" w:rsidRPr="003F71D2" w:rsidRDefault="00E84B93" w:rsidP="003F71D2">
      <w:pPr>
        <w:pStyle w:val="Default"/>
        <w:rPr>
          <w:bCs/>
          <w:sz w:val="22"/>
          <w:szCs w:val="22"/>
          <w:lang w:val="sk-SK"/>
        </w:rPr>
      </w:pPr>
      <w:r w:rsidRPr="003F71D2">
        <w:rPr>
          <w:bCs/>
          <w:sz w:val="22"/>
          <w:szCs w:val="22"/>
          <w:lang w:val="sk-SK"/>
        </w:rPr>
        <w:t xml:space="preserve">87/0326/12-S </w:t>
      </w:r>
    </w:p>
    <w:p w14:paraId="1D7CD17F" w14:textId="77777777" w:rsidR="0001392B" w:rsidRPr="003F71D2" w:rsidRDefault="0001392B" w:rsidP="003F71D2">
      <w:pPr>
        <w:pStyle w:val="Default"/>
        <w:rPr>
          <w:bCs/>
          <w:sz w:val="22"/>
          <w:szCs w:val="22"/>
          <w:lang w:val="sk-SK"/>
        </w:rPr>
      </w:pPr>
    </w:p>
    <w:p w14:paraId="587DC191" w14:textId="77777777" w:rsidR="00107A73" w:rsidRPr="003F71D2" w:rsidRDefault="00107A73" w:rsidP="003F71D2">
      <w:pPr>
        <w:pStyle w:val="Default"/>
        <w:rPr>
          <w:b/>
          <w:bCs/>
          <w:sz w:val="22"/>
          <w:szCs w:val="22"/>
          <w:lang w:val="sk-SK"/>
        </w:rPr>
      </w:pPr>
    </w:p>
    <w:p w14:paraId="6B77ACA4" w14:textId="45DAA6CD" w:rsidR="00107A73" w:rsidRPr="003F71D2" w:rsidRDefault="00DB3564" w:rsidP="003F71D2">
      <w:pPr>
        <w:pStyle w:val="Default"/>
        <w:rPr>
          <w:sz w:val="22"/>
          <w:szCs w:val="22"/>
          <w:lang w:val="sk-SK"/>
        </w:rPr>
      </w:pPr>
      <w:r w:rsidRPr="003F71D2">
        <w:rPr>
          <w:b/>
          <w:bCs/>
          <w:sz w:val="22"/>
          <w:szCs w:val="22"/>
          <w:lang w:val="sk-SK"/>
        </w:rPr>
        <w:t>9.</w:t>
      </w:r>
      <w:r w:rsidRPr="003F71D2">
        <w:rPr>
          <w:b/>
          <w:bCs/>
          <w:sz w:val="22"/>
          <w:szCs w:val="22"/>
          <w:lang w:val="sk-SK"/>
        </w:rPr>
        <w:tab/>
        <w:t xml:space="preserve">DÁTUM PRVEJ REGISTRÁCIE/PREDĹŽENIA REGISTRÁCIE </w:t>
      </w:r>
    </w:p>
    <w:p w14:paraId="69270F07" w14:textId="77777777" w:rsidR="00107A73" w:rsidRPr="003F71D2" w:rsidRDefault="00107A73" w:rsidP="003F71D2">
      <w:pPr>
        <w:pStyle w:val="Default"/>
        <w:rPr>
          <w:sz w:val="22"/>
          <w:szCs w:val="22"/>
          <w:lang w:val="sk-SK"/>
        </w:rPr>
      </w:pPr>
    </w:p>
    <w:p w14:paraId="1A787EB3" w14:textId="275B1237" w:rsidR="00107A73" w:rsidRPr="003F71D2" w:rsidRDefault="00DB3564" w:rsidP="003F71D2">
      <w:pPr>
        <w:pStyle w:val="Default"/>
        <w:rPr>
          <w:sz w:val="22"/>
          <w:szCs w:val="22"/>
          <w:lang w:val="sk-SK"/>
        </w:rPr>
      </w:pPr>
      <w:r w:rsidRPr="003F71D2">
        <w:rPr>
          <w:sz w:val="22"/>
          <w:szCs w:val="22"/>
          <w:lang w:val="sk-SK"/>
        </w:rPr>
        <w:t xml:space="preserve">Dátum prvej registrácie: </w:t>
      </w:r>
      <w:r w:rsidR="00FE23AA" w:rsidRPr="003F71D2">
        <w:rPr>
          <w:sz w:val="22"/>
          <w:szCs w:val="22"/>
          <w:lang w:val="sk-SK"/>
        </w:rPr>
        <w:t>29.</w:t>
      </w:r>
      <w:r w:rsidR="00DF4E84" w:rsidRPr="003F71D2">
        <w:rPr>
          <w:sz w:val="22"/>
          <w:szCs w:val="22"/>
          <w:lang w:val="sk-SK"/>
        </w:rPr>
        <w:t xml:space="preserve"> júna</w:t>
      </w:r>
      <w:r w:rsidR="00FE23AA" w:rsidRPr="003F71D2">
        <w:rPr>
          <w:sz w:val="22"/>
          <w:szCs w:val="22"/>
          <w:lang w:val="sk-SK"/>
        </w:rPr>
        <w:t xml:space="preserve"> 2012</w:t>
      </w:r>
    </w:p>
    <w:p w14:paraId="1BA155DF" w14:textId="4A9C04B7" w:rsidR="00107A73" w:rsidRPr="003F71D2" w:rsidRDefault="00C13138" w:rsidP="003F71D2">
      <w:pPr>
        <w:pStyle w:val="Default"/>
        <w:rPr>
          <w:b/>
          <w:bCs/>
          <w:sz w:val="22"/>
          <w:szCs w:val="22"/>
          <w:lang w:val="sk-SK"/>
        </w:rPr>
      </w:pPr>
      <w:r w:rsidRPr="003F71D2">
        <w:rPr>
          <w:sz w:val="22"/>
          <w:szCs w:val="22"/>
          <w:lang w:val="sk-SK"/>
        </w:rPr>
        <w:t>Dátum posledného predĺženia registrácie</w:t>
      </w:r>
      <w:r w:rsidR="00235631" w:rsidRPr="003F71D2">
        <w:rPr>
          <w:sz w:val="22"/>
          <w:szCs w:val="22"/>
          <w:lang w:val="sk-SK"/>
        </w:rPr>
        <w:t>: 29. júna 2017</w:t>
      </w:r>
    </w:p>
    <w:p w14:paraId="1768125F" w14:textId="77777777" w:rsidR="00917B30" w:rsidRPr="003F71D2" w:rsidRDefault="00917B30" w:rsidP="003F71D2">
      <w:pPr>
        <w:pStyle w:val="Default"/>
        <w:rPr>
          <w:b/>
          <w:bCs/>
          <w:sz w:val="22"/>
          <w:szCs w:val="22"/>
          <w:lang w:val="sk-SK"/>
        </w:rPr>
      </w:pPr>
    </w:p>
    <w:p w14:paraId="1AA4DC49" w14:textId="77777777" w:rsidR="00C13138" w:rsidRPr="003F71D2" w:rsidRDefault="00C13138" w:rsidP="003F71D2">
      <w:pPr>
        <w:pStyle w:val="Default"/>
        <w:rPr>
          <w:b/>
          <w:bCs/>
          <w:sz w:val="22"/>
          <w:szCs w:val="22"/>
          <w:lang w:val="sk-SK"/>
        </w:rPr>
      </w:pPr>
    </w:p>
    <w:p w14:paraId="0E958F7F" w14:textId="77F2CC22" w:rsidR="00107A73" w:rsidRPr="003F71D2" w:rsidRDefault="00DB3564" w:rsidP="003F71D2">
      <w:pPr>
        <w:pStyle w:val="Default"/>
        <w:rPr>
          <w:b/>
          <w:bCs/>
          <w:sz w:val="22"/>
          <w:szCs w:val="22"/>
          <w:lang w:val="sk-SK"/>
        </w:rPr>
      </w:pPr>
      <w:r w:rsidRPr="003F71D2">
        <w:rPr>
          <w:b/>
          <w:bCs/>
          <w:sz w:val="22"/>
          <w:szCs w:val="22"/>
          <w:lang w:val="sk-SK"/>
        </w:rPr>
        <w:t>10.</w:t>
      </w:r>
      <w:r w:rsidRPr="003F71D2">
        <w:rPr>
          <w:b/>
          <w:bCs/>
          <w:sz w:val="22"/>
          <w:szCs w:val="22"/>
          <w:lang w:val="sk-SK"/>
        </w:rPr>
        <w:tab/>
        <w:t xml:space="preserve">DÁTUM REVÍZIE TEXTU </w:t>
      </w:r>
    </w:p>
    <w:p w14:paraId="1AAEAB78" w14:textId="77777777" w:rsidR="00FE23AA" w:rsidRPr="003F71D2" w:rsidRDefault="00FE23AA" w:rsidP="003F71D2">
      <w:pPr>
        <w:pStyle w:val="Default"/>
        <w:rPr>
          <w:sz w:val="22"/>
          <w:szCs w:val="22"/>
          <w:lang w:val="sk-SK"/>
        </w:rPr>
      </w:pPr>
    </w:p>
    <w:p w14:paraId="007B2FBD" w14:textId="5280D49E" w:rsidR="00107A73" w:rsidRPr="003F71D2" w:rsidRDefault="0089461B" w:rsidP="003F71D2">
      <w:pPr>
        <w:spacing w:line="240" w:lineRule="auto"/>
        <w:rPr>
          <w:rFonts w:ascii="Times New Roman" w:hAnsi="Times New Roman" w:cs="Times New Roman"/>
          <w:lang w:val="sk-SK"/>
        </w:rPr>
      </w:pPr>
      <w:r>
        <w:rPr>
          <w:rFonts w:ascii="Times New Roman" w:hAnsi="Times New Roman" w:cs="Times New Roman"/>
          <w:lang w:val="sk-SK"/>
        </w:rPr>
        <w:t>0</w:t>
      </w:r>
      <w:r w:rsidR="00C63330">
        <w:rPr>
          <w:rFonts w:ascii="Times New Roman" w:hAnsi="Times New Roman" w:cs="Times New Roman"/>
          <w:lang w:val="sk-SK"/>
        </w:rPr>
        <w:t>3</w:t>
      </w:r>
      <w:bookmarkStart w:id="1" w:name="_GoBack"/>
      <w:bookmarkEnd w:id="1"/>
      <w:r w:rsidR="00137C4B">
        <w:rPr>
          <w:rFonts w:ascii="Times New Roman" w:hAnsi="Times New Roman" w:cs="Times New Roman"/>
          <w:lang w:val="sk-SK"/>
        </w:rPr>
        <w:t>/</w:t>
      </w:r>
      <w:r>
        <w:rPr>
          <w:rFonts w:ascii="Times New Roman" w:hAnsi="Times New Roman" w:cs="Times New Roman"/>
          <w:lang w:val="sk-SK"/>
        </w:rPr>
        <w:t>2021</w:t>
      </w:r>
    </w:p>
    <w:sectPr w:rsidR="00107A73" w:rsidRPr="003F71D2" w:rsidSect="003F71D2">
      <w:headerReference w:type="default" r:id="rId10"/>
      <w:footerReference w:type="default" r:id="rId11"/>
      <w:headerReference w:type="first" r:id="rId12"/>
      <w:footerReference w:type="first" r:id="rId13"/>
      <w:pgSz w:w="12240" w:h="15840" w:code="1"/>
      <w:pgMar w:top="1134" w:right="1418" w:bottom="1134" w:left="1418" w:header="737" w:footer="73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03CD2" w14:textId="77777777" w:rsidR="00250824" w:rsidRDefault="00250824" w:rsidP="00C72AD1">
      <w:pPr>
        <w:spacing w:after="0" w:line="240" w:lineRule="auto"/>
      </w:pPr>
      <w:r>
        <w:separator/>
      </w:r>
    </w:p>
  </w:endnote>
  <w:endnote w:type="continuationSeparator" w:id="0">
    <w:p w14:paraId="5DF4EDF1" w14:textId="77777777" w:rsidR="00250824" w:rsidRDefault="00250824" w:rsidP="00C7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larendon Lt L2">
    <w:altName w:val="Tahoma"/>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509363"/>
      <w:docPartObj>
        <w:docPartGallery w:val="Page Numbers (Bottom of Page)"/>
        <w:docPartUnique/>
      </w:docPartObj>
    </w:sdtPr>
    <w:sdtEndPr/>
    <w:sdtContent>
      <w:p w14:paraId="03F043BA" w14:textId="77777777" w:rsidR="00430EE0" w:rsidRDefault="00430EE0">
        <w:pPr>
          <w:pStyle w:val="Pta"/>
          <w:jc w:val="center"/>
        </w:pPr>
        <w:r w:rsidRPr="00EE34A0">
          <w:rPr>
            <w:rFonts w:ascii="Times New Roman" w:hAnsi="Times New Roman" w:cs="Times New Roman"/>
            <w:sz w:val="18"/>
            <w:szCs w:val="18"/>
          </w:rPr>
          <w:fldChar w:fldCharType="begin"/>
        </w:r>
        <w:r w:rsidRPr="00EE34A0">
          <w:rPr>
            <w:rFonts w:ascii="Times New Roman" w:hAnsi="Times New Roman" w:cs="Times New Roman"/>
            <w:sz w:val="18"/>
            <w:szCs w:val="18"/>
          </w:rPr>
          <w:instrText>PAGE   \* MERGEFORMAT</w:instrText>
        </w:r>
        <w:r w:rsidRPr="00EE34A0">
          <w:rPr>
            <w:rFonts w:ascii="Times New Roman" w:hAnsi="Times New Roman" w:cs="Times New Roman"/>
            <w:sz w:val="18"/>
            <w:szCs w:val="18"/>
          </w:rPr>
          <w:fldChar w:fldCharType="separate"/>
        </w:r>
        <w:r w:rsidR="00C63330" w:rsidRPr="00C63330">
          <w:rPr>
            <w:rFonts w:ascii="Times New Roman" w:hAnsi="Times New Roman" w:cs="Times New Roman"/>
            <w:noProof/>
            <w:sz w:val="18"/>
            <w:szCs w:val="18"/>
            <w:lang w:val="sk-SK"/>
          </w:rPr>
          <w:t>18</w:t>
        </w:r>
        <w:r w:rsidRPr="00EE34A0">
          <w:rPr>
            <w:rFonts w:ascii="Times New Roman" w:hAnsi="Times New Roman" w:cs="Times New Roman"/>
            <w:sz w:val="18"/>
            <w:szCs w:val="18"/>
          </w:rPr>
          <w:fldChar w:fldCharType="end"/>
        </w:r>
      </w:p>
    </w:sdtContent>
  </w:sdt>
  <w:p w14:paraId="3362FB21" w14:textId="77777777" w:rsidR="00430EE0" w:rsidRDefault="00430EE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750588"/>
      <w:docPartObj>
        <w:docPartGallery w:val="Page Numbers (Bottom of Page)"/>
        <w:docPartUnique/>
      </w:docPartObj>
    </w:sdtPr>
    <w:sdtEndPr/>
    <w:sdtContent>
      <w:p w14:paraId="2EBC9916" w14:textId="77777777" w:rsidR="00430EE0" w:rsidRDefault="00430EE0">
        <w:pPr>
          <w:pStyle w:val="Pta"/>
          <w:jc w:val="center"/>
        </w:pPr>
        <w:r w:rsidRPr="00EE34A0">
          <w:rPr>
            <w:rFonts w:ascii="Times New Roman" w:hAnsi="Times New Roman" w:cs="Times New Roman"/>
            <w:sz w:val="18"/>
            <w:szCs w:val="18"/>
          </w:rPr>
          <w:fldChar w:fldCharType="begin"/>
        </w:r>
        <w:r w:rsidRPr="00EE34A0">
          <w:rPr>
            <w:rFonts w:ascii="Times New Roman" w:hAnsi="Times New Roman" w:cs="Times New Roman"/>
            <w:sz w:val="18"/>
            <w:szCs w:val="18"/>
          </w:rPr>
          <w:instrText>PAGE   \* MERGEFORMAT</w:instrText>
        </w:r>
        <w:r w:rsidRPr="00EE34A0">
          <w:rPr>
            <w:rFonts w:ascii="Times New Roman" w:hAnsi="Times New Roman" w:cs="Times New Roman"/>
            <w:sz w:val="18"/>
            <w:szCs w:val="18"/>
          </w:rPr>
          <w:fldChar w:fldCharType="separate"/>
        </w:r>
        <w:r w:rsidRPr="00C15E0E">
          <w:rPr>
            <w:rFonts w:ascii="Times New Roman" w:hAnsi="Times New Roman" w:cs="Times New Roman"/>
            <w:noProof/>
            <w:sz w:val="18"/>
            <w:szCs w:val="18"/>
            <w:lang w:val="sk-SK"/>
          </w:rPr>
          <w:t>1</w:t>
        </w:r>
        <w:r w:rsidRPr="00EE34A0">
          <w:rPr>
            <w:rFonts w:ascii="Times New Roman" w:hAnsi="Times New Roman" w:cs="Times New Roman"/>
            <w:sz w:val="18"/>
            <w:szCs w:val="18"/>
          </w:rPr>
          <w:fldChar w:fldCharType="end"/>
        </w:r>
      </w:p>
    </w:sdtContent>
  </w:sdt>
  <w:p w14:paraId="1449A016" w14:textId="77777777" w:rsidR="00430EE0" w:rsidRDefault="00430EE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22BA5" w14:textId="77777777" w:rsidR="00250824" w:rsidRDefault="00250824" w:rsidP="00C72AD1">
      <w:pPr>
        <w:spacing w:after="0" w:line="240" w:lineRule="auto"/>
      </w:pPr>
      <w:r>
        <w:separator/>
      </w:r>
    </w:p>
  </w:footnote>
  <w:footnote w:type="continuationSeparator" w:id="0">
    <w:p w14:paraId="1070241C" w14:textId="77777777" w:rsidR="00250824" w:rsidRDefault="00250824" w:rsidP="00C72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EA45" w14:textId="0D2635F5" w:rsidR="00430EE0" w:rsidRPr="003C1048" w:rsidRDefault="00430EE0" w:rsidP="00C15E0E">
    <w:pPr>
      <w:pStyle w:val="Hlavika"/>
      <w:rPr>
        <w:rFonts w:ascii="Times New Roman" w:hAnsi="Times New Roman" w:cs="Times New Roman"/>
        <w:sz w:val="18"/>
        <w:szCs w:val="18"/>
      </w:rPr>
    </w:pPr>
    <w:r w:rsidRPr="003C1048">
      <w:rPr>
        <w:rFonts w:ascii="Times New Roman" w:hAnsi="Times New Roman" w:cs="Times New Roman"/>
        <w:sz w:val="18"/>
        <w:szCs w:val="18"/>
      </w:rPr>
      <w:t xml:space="preserve">Príloha č.1 k notifikácii o zmene, ev. č.: </w:t>
    </w:r>
    <w:r w:rsidRPr="00430EE0">
      <w:rPr>
        <w:rFonts w:ascii="Times New Roman" w:hAnsi="Times New Roman" w:cs="Times New Roman"/>
        <w:sz w:val="18"/>
        <w:szCs w:val="18"/>
      </w:rPr>
      <w:t>2020/05133-Z1B</w:t>
    </w:r>
  </w:p>
  <w:p w14:paraId="28306FE4" w14:textId="77777777" w:rsidR="00430EE0" w:rsidRDefault="00430EE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9C25" w14:textId="64C27C90" w:rsidR="00430EE0" w:rsidRPr="003C1048" w:rsidRDefault="00430EE0" w:rsidP="00D36463">
    <w:pPr>
      <w:pStyle w:val="Hlavika"/>
      <w:rPr>
        <w:rFonts w:ascii="Times New Roman" w:hAnsi="Times New Roman" w:cs="Times New Roman"/>
        <w:sz w:val="18"/>
        <w:szCs w:val="18"/>
      </w:rPr>
    </w:pPr>
    <w:r w:rsidRPr="003C1048">
      <w:rPr>
        <w:rFonts w:ascii="Times New Roman" w:hAnsi="Times New Roman" w:cs="Times New Roman"/>
        <w:sz w:val="18"/>
        <w:szCs w:val="18"/>
      </w:rPr>
      <w:t>Príloha č.1 k notifikácii o zmene, ev. č.: 2016/0</w:t>
    </w:r>
    <w:r>
      <w:rPr>
        <w:rFonts w:ascii="Times New Roman" w:hAnsi="Times New Roman" w:cs="Times New Roman"/>
        <w:sz w:val="18"/>
        <w:szCs w:val="18"/>
      </w:rPr>
      <w:t>3926</w:t>
    </w:r>
    <w:r w:rsidRPr="003C1048">
      <w:rPr>
        <w:rFonts w:ascii="Times New Roman" w:hAnsi="Times New Roman" w:cs="Times New Roman"/>
        <w:sz w:val="18"/>
        <w:szCs w:val="18"/>
      </w:rPr>
      <w:t>-Z1A</w:t>
    </w:r>
  </w:p>
  <w:p w14:paraId="69DDEE39" w14:textId="77777777" w:rsidR="00430EE0" w:rsidRPr="00D36463" w:rsidRDefault="00430EE0" w:rsidP="00112A45">
    <w:pPr>
      <w:pStyle w:val="Hlavika"/>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CD2973"/>
    <w:multiLevelType w:val="hybridMultilevel"/>
    <w:tmpl w:val="C91253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489D74"/>
    <w:multiLevelType w:val="hybridMultilevel"/>
    <w:tmpl w:val="64A4800E"/>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A938BC"/>
    <w:multiLevelType w:val="hybridMultilevel"/>
    <w:tmpl w:val="DB30D3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2E2308"/>
    <w:multiLevelType w:val="hybridMultilevel"/>
    <w:tmpl w:val="EC768E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8763C6"/>
    <w:multiLevelType w:val="hybridMultilevel"/>
    <w:tmpl w:val="4F6A32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073835"/>
    <w:multiLevelType w:val="hybridMultilevel"/>
    <w:tmpl w:val="7B6197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D939C3"/>
    <w:multiLevelType w:val="hybridMultilevel"/>
    <w:tmpl w:val="C278279E"/>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981CC7"/>
    <w:multiLevelType w:val="hybridMultilevel"/>
    <w:tmpl w:val="5B80D6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7B52AC9"/>
    <w:multiLevelType w:val="hybridMultilevel"/>
    <w:tmpl w:val="3F8E8218"/>
    <w:lvl w:ilvl="0" w:tplc="11146F4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8240DA"/>
    <w:multiLevelType w:val="hybridMultilevel"/>
    <w:tmpl w:val="708070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C9B6A9A"/>
    <w:multiLevelType w:val="hybridMultilevel"/>
    <w:tmpl w:val="D57AD6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932D0A"/>
    <w:multiLevelType w:val="hybridMultilevel"/>
    <w:tmpl w:val="057CE36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75F4DB0"/>
    <w:multiLevelType w:val="hybridMultilevel"/>
    <w:tmpl w:val="5366F93C"/>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CF01C65"/>
    <w:multiLevelType w:val="hybridMultilevel"/>
    <w:tmpl w:val="0E4008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7"/>
  </w:num>
  <w:num w:numId="8">
    <w:abstractNumId w:val="10"/>
  </w:num>
  <w:num w:numId="9">
    <w:abstractNumId w:val="13"/>
  </w:num>
  <w:num w:numId="10">
    <w:abstractNumId w:val="8"/>
  </w:num>
  <w:num w:numId="11">
    <w:abstractNumId w:val="1"/>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51"/>
    <w:rsid w:val="00002588"/>
    <w:rsid w:val="000042B1"/>
    <w:rsid w:val="00005919"/>
    <w:rsid w:val="00005BE9"/>
    <w:rsid w:val="0001392B"/>
    <w:rsid w:val="00022718"/>
    <w:rsid w:val="00024353"/>
    <w:rsid w:val="00051D2E"/>
    <w:rsid w:val="000526CD"/>
    <w:rsid w:val="0005637C"/>
    <w:rsid w:val="00056810"/>
    <w:rsid w:val="00060A4C"/>
    <w:rsid w:val="000720C6"/>
    <w:rsid w:val="000746D9"/>
    <w:rsid w:val="00081028"/>
    <w:rsid w:val="000A7C9E"/>
    <w:rsid w:val="000B3848"/>
    <w:rsid w:val="000C0878"/>
    <w:rsid w:val="000D43B9"/>
    <w:rsid w:val="000E7948"/>
    <w:rsid w:val="000F0C9C"/>
    <w:rsid w:val="000F0E6C"/>
    <w:rsid w:val="000F4377"/>
    <w:rsid w:val="000F69AC"/>
    <w:rsid w:val="00100356"/>
    <w:rsid w:val="00106877"/>
    <w:rsid w:val="00107A73"/>
    <w:rsid w:val="00110402"/>
    <w:rsid w:val="00112A45"/>
    <w:rsid w:val="00126314"/>
    <w:rsid w:val="0013032A"/>
    <w:rsid w:val="00137C4B"/>
    <w:rsid w:val="00141806"/>
    <w:rsid w:val="00143C84"/>
    <w:rsid w:val="00150AC1"/>
    <w:rsid w:val="00154A9F"/>
    <w:rsid w:val="00164DAF"/>
    <w:rsid w:val="001A0BEF"/>
    <w:rsid w:val="001A386C"/>
    <w:rsid w:val="001B30C5"/>
    <w:rsid w:val="001E670B"/>
    <w:rsid w:val="001F5967"/>
    <w:rsid w:val="00225179"/>
    <w:rsid w:val="002349D5"/>
    <w:rsid w:val="00235631"/>
    <w:rsid w:val="00250824"/>
    <w:rsid w:val="00251E90"/>
    <w:rsid w:val="00255579"/>
    <w:rsid w:val="002678CA"/>
    <w:rsid w:val="00283EB6"/>
    <w:rsid w:val="00294077"/>
    <w:rsid w:val="002A61A3"/>
    <w:rsid w:val="002C38F4"/>
    <w:rsid w:val="002D03DE"/>
    <w:rsid w:val="002E2CD8"/>
    <w:rsid w:val="002E5A63"/>
    <w:rsid w:val="002E69AE"/>
    <w:rsid w:val="002E7994"/>
    <w:rsid w:val="002F71FE"/>
    <w:rsid w:val="00305BD5"/>
    <w:rsid w:val="003150E6"/>
    <w:rsid w:val="003161C1"/>
    <w:rsid w:val="00323324"/>
    <w:rsid w:val="00323A31"/>
    <w:rsid w:val="003242C2"/>
    <w:rsid w:val="003449A7"/>
    <w:rsid w:val="003510C5"/>
    <w:rsid w:val="003647B2"/>
    <w:rsid w:val="0036597C"/>
    <w:rsid w:val="00371563"/>
    <w:rsid w:val="003716F8"/>
    <w:rsid w:val="00396DD0"/>
    <w:rsid w:val="003A4012"/>
    <w:rsid w:val="003C1048"/>
    <w:rsid w:val="003E7FC3"/>
    <w:rsid w:val="003F3731"/>
    <w:rsid w:val="003F5892"/>
    <w:rsid w:val="003F6358"/>
    <w:rsid w:val="003F71D2"/>
    <w:rsid w:val="00430EE0"/>
    <w:rsid w:val="0043242E"/>
    <w:rsid w:val="00432872"/>
    <w:rsid w:val="004506A7"/>
    <w:rsid w:val="004561CB"/>
    <w:rsid w:val="00464751"/>
    <w:rsid w:val="00466830"/>
    <w:rsid w:val="00496277"/>
    <w:rsid w:val="004A62BC"/>
    <w:rsid w:val="004B04A0"/>
    <w:rsid w:val="004B3130"/>
    <w:rsid w:val="004C2195"/>
    <w:rsid w:val="004D6418"/>
    <w:rsid w:val="004E5092"/>
    <w:rsid w:val="004F0232"/>
    <w:rsid w:val="004F72F2"/>
    <w:rsid w:val="005102CD"/>
    <w:rsid w:val="00517DA9"/>
    <w:rsid w:val="00577D24"/>
    <w:rsid w:val="00581C1D"/>
    <w:rsid w:val="0058229A"/>
    <w:rsid w:val="005859A6"/>
    <w:rsid w:val="00591E64"/>
    <w:rsid w:val="00594739"/>
    <w:rsid w:val="00594CE6"/>
    <w:rsid w:val="005A1F2F"/>
    <w:rsid w:val="005A5C37"/>
    <w:rsid w:val="005B7127"/>
    <w:rsid w:val="005D0B3C"/>
    <w:rsid w:val="005D71AE"/>
    <w:rsid w:val="00631660"/>
    <w:rsid w:val="00631E6A"/>
    <w:rsid w:val="00664D8D"/>
    <w:rsid w:val="00677577"/>
    <w:rsid w:val="00686517"/>
    <w:rsid w:val="006B77E0"/>
    <w:rsid w:val="006B7C8E"/>
    <w:rsid w:val="006E2C10"/>
    <w:rsid w:val="006F7902"/>
    <w:rsid w:val="00707820"/>
    <w:rsid w:val="00716650"/>
    <w:rsid w:val="007318F8"/>
    <w:rsid w:val="00735EF5"/>
    <w:rsid w:val="007672A1"/>
    <w:rsid w:val="00790C62"/>
    <w:rsid w:val="00795740"/>
    <w:rsid w:val="007A4310"/>
    <w:rsid w:val="007A52ED"/>
    <w:rsid w:val="007B2241"/>
    <w:rsid w:val="007E02D3"/>
    <w:rsid w:val="007E536D"/>
    <w:rsid w:val="007E6DAE"/>
    <w:rsid w:val="007E7CB3"/>
    <w:rsid w:val="00812382"/>
    <w:rsid w:val="00812726"/>
    <w:rsid w:val="00824734"/>
    <w:rsid w:val="00826E85"/>
    <w:rsid w:val="00833526"/>
    <w:rsid w:val="00854193"/>
    <w:rsid w:val="008560DF"/>
    <w:rsid w:val="00877204"/>
    <w:rsid w:val="0089461B"/>
    <w:rsid w:val="00895ADB"/>
    <w:rsid w:val="008966B1"/>
    <w:rsid w:val="008D39C7"/>
    <w:rsid w:val="008F221C"/>
    <w:rsid w:val="00917B30"/>
    <w:rsid w:val="00932556"/>
    <w:rsid w:val="00932FB3"/>
    <w:rsid w:val="009466CE"/>
    <w:rsid w:val="00955AD5"/>
    <w:rsid w:val="00976E3B"/>
    <w:rsid w:val="009846D7"/>
    <w:rsid w:val="009B03FD"/>
    <w:rsid w:val="009B56F2"/>
    <w:rsid w:val="009C5191"/>
    <w:rsid w:val="009D00E4"/>
    <w:rsid w:val="009D049B"/>
    <w:rsid w:val="009E2B32"/>
    <w:rsid w:val="009F60D6"/>
    <w:rsid w:val="009F6CAA"/>
    <w:rsid w:val="00A02286"/>
    <w:rsid w:val="00A23A31"/>
    <w:rsid w:val="00A245D5"/>
    <w:rsid w:val="00A25927"/>
    <w:rsid w:val="00A312FC"/>
    <w:rsid w:val="00A334F1"/>
    <w:rsid w:val="00A33644"/>
    <w:rsid w:val="00A35C6E"/>
    <w:rsid w:val="00A40EBA"/>
    <w:rsid w:val="00A5090B"/>
    <w:rsid w:val="00A53B6C"/>
    <w:rsid w:val="00A56DEF"/>
    <w:rsid w:val="00A60156"/>
    <w:rsid w:val="00A61746"/>
    <w:rsid w:val="00A64DE1"/>
    <w:rsid w:val="00AA394B"/>
    <w:rsid w:val="00AA3C6C"/>
    <w:rsid w:val="00AB294A"/>
    <w:rsid w:val="00AB4E00"/>
    <w:rsid w:val="00AC75C4"/>
    <w:rsid w:val="00AD7BB5"/>
    <w:rsid w:val="00B03B88"/>
    <w:rsid w:val="00B04F42"/>
    <w:rsid w:val="00B14728"/>
    <w:rsid w:val="00B2624A"/>
    <w:rsid w:val="00B3403A"/>
    <w:rsid w:val="00B36DEB"/>
    <w:rsid w:val="00B41BCF"/>
    <w:rsid w:val="00B44ECA"/>
    <w:rsid w:val="00B5030B"/>
    <w:rsid w:val="00B601B0"/>
    <w:rsid w:val="00B63A4D"/>
    <w:rsid w:val="00B751C4"/>
    <w:rsid w:val="00B75415"/>
    <w:rsid w:val="00B75EE4"/>
    <w:rsid w:val="00B8045C"/>
    <w:rsid w:val="00B93240"/>
    <w:rsid w:val="00BB18CF"/>
    <w:rsid w:val="00BC441E"/>
    <w:rsid w:val="00BD3DC6"/>
    <w:rsid w:val="00BD3E41"/>
    <w:rsid w:val="00BE145C"/>
    <w:rsid w:val="00BE2B33"/>
    <w:rsid w:val="00BF3078"/>
    <w:rsid w:val="00BF6F1B"/>
    <w:rsid w:val="00BF7E12"/>
    <w:rsid w:val="00C005BF"/>
    <w:rsid w:val="00C029F6"/>
    <w:rsid w:val="00C05AEA"/>
    <w:rsid w:val="00C065C2"/>
    <w:rsid w:val="00C0717C"/>
    <w:rsid w:val="00C13138"/>
    <w:rsid w:val="00C15E0E"/>
    <w:rsid w:val="00C27390"/>
    <w:rsid w:val="00C526B4"/>
    <w:rsid w:val="00C5794C"/>
    <w:rsid w:val="00C63330"/>
    <w:rsid w:val="00C72AD1"/>
    <w:rsid w:val="00C81277"/>
    <w:rsid w:val="00C87170"/>
    <w:rsid w:val="00C957D8"/>
    <w:rsid w:val="00CB01C8"/>
    <w:rsid w:val="00CB7AAB"/>
    <w:rsid w:val="00CC254A"/>
    <w:rsid w:val="00CD0C30"/>
    <w:rsid w:val="00CD703A"/>
    <w:rsid w:val="00CD7BC4"/>
    <w:rsid w:val="00CE0F1B"/>
    <w:rsid w:val="00CE1536"/>
    <w:rsid w:val="00CE7021"/>
    <w:rsid w:val="00D01FFD"/>
    <w:rsid w:val="00D0269C"/>
    <w:rsid w:val="00D25FA2"/>
    <w:rsid w:val="00D36463"/>
    <w:rsid w:val="00D61546"/>
    <w:rsid w:val="00D8482C"/>
    <w:rsid w:val="00D84ABC"/>
    <w:rsid w:val="00D86BAE"/>
    <w:rsid w:val="00DA1845"/>
    <w:rsid w:val="00DA395B"/>
    <w:rsid w:val="00DA5ABE"/>
    <w:rsid w:val="00DB1527"/>
    <w:rsid w:val="00DB2830"/>
    <w:rsid w:val="00DB3564"/>
    <w:rsid w:val="00DE6B25"/>
    <w:rsid w:val="00DF4E84"/>
    <w:rsid w:val="00E02ABC"/>
    <w:rsid w:val="00E057FA"/>
    <w:rsid w:val="00E13614"/>
    <w:rsid w:val="00E22743"/>
    <w:rsid w:val="00E31B19"/>
    <w:rsid w:val="00E411B5"/>
    <w:rsid w:val="00E4189D"/>
    <w:rsid w:val="00E57384"/>
    <w:rsid w:val="00E714AA"/>
    <w:rsid w:val="00E769E7"/>
    <w:rsid w:val="00E80732"/>
    <w:rsid w:val="00E81560"/>
    <w:rsid w:val="00E8206A"/>
    <w:rsid w:val="00E84B17"/>
    <w:rsid w:val="00E84B93"/>
    <w:rsid w:val="00E96A6F"/>
    <w:rsid w:val="00EA0D32"/>
    <w:rsid w:val="00EA449A"/>
    <w:rsid w:val="00EA6F7A"/>
    <w:rsid w:val="00EB2190"/>
    <w:rsid w:val="00EB50C9"/>
    <w:rsid w:val="00EC4CD1"/>
    <w:rsid w:val="00EC4EEE"/>
    <w:rsid w:val="00ED0EE7"/>
    <w:rsid w:val="00EE34A0"/>
    <w:rsid w:val="00F21B9D"/>
    <w:rsid w:val="00F2372B"/>
    <w:rsid w:val="00F47B01"/>
    <w:rsid w:val="00F513DA"/>
    <w:rsid w:val="00F525B9"/>
    <w:rsid w:val="00F538B0"/>
    <w:rsid w:val="00F608DF"/>
    <w:rsid w:val="00F74F63"/>
    <w:rsid w:val="00FB0D34"/>
    <w:rsid w:val="00FC79C4"/>
    <w:rsid w:val="00FD09B2"/>
    <w:rsid w:val="00FD37D5"/>
    <w:rsid w:val="00FE23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7E4E4"/>
  <w15:docId w15:val="{18A1BD73-AD97-42B1-8E37-CF45627B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4CE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4751"/>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9466C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66CE"/>
    <w:rPr>
      <w:rFonts w:ascii="Tahoma" w:hAnsi="Tahoma" w:cs="Tahoma"/>
      <w:sz w:val="16"/>
      <w:szCs w:val="16"/>
    </w:rPr>
  </w:style>
  <w:style w:type="paragraph" w:customStyle="1" w:styleId="Americana">
    <w:name w:val="Americana"/>
    <w:basedOn w:val="Normlny"/>
    <w:uiPriority w:val="99"/>
    <w:rsid w:val="00107A73"/>
    <w:pPr>
      <w:spacing w:after="0" w:line="360" w:lineRule="auto"/>
      <w:jc w:val="both"/>
    </w:pPr>
    <w:rPr>
      <w:rFonts w:ascii="Clarendon Lt L2" w:eastAsia="Times New Roman" w:hAnsi="Clarendon Lt L2" w:cs="Clarendon Lt L2"/>
      <w:sz w:val="24"/>
      <w:szCs w:val="24"/>
      <w:lang w:val="en-GB"/>
    </w:rPr>
  </w:style>
  <w:style w:type="paragraph" w:styleId="Hlavika">
    <w:name w:val="header"/>
    <w:basedOn w:val="Normlny"/>
    <w:link w:val="HlavikaChar"/>
    <w:uiPriority w:val="99"/>
    <w:unhideWhenUsed/>
    <w:rsid w:val="00C72A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72AD1"/>
  </w:style>
  <w:style w:type="paragraph" w:styleId="Pta">
    <w:name w:val="footer"/>
    <w:basedOn w:val="Normlny"/>
    <w:link w:val="PtaChar"/>
    <w:uiPriority w:val="99"/>
    <w:unhideWhenUsed/>
    <w:rsid w:val="00C72AD1"/>
    <w:pPr>
      <w:tabs>
        <w:tab w:val="center" w:pos="4536"/>
        <w:tab w:val="right" w:pos="9072"/>
      </w:tabs>
      <w:spacing w:after="0" w:line="240" w:lineRule="auto"/>
    </w:pPr>
  </w:style>
  <w:style w:type="character" w:customStyle="1" w:styleId="PtaChar">
    <w:name w:val="Päta Char"/>
    <w:basedOn w:val="Predvolenpsmoodseku"/>
    <w:link w:val="Pta"/>
    <w:uiPriority w:val="99"/>
    <w:rsid w:val="00C72AD1"/>
  </w:style>
  <w:style w:type="paragraph" w:styleId="Revzia">
    <w:name w:val="Revision"/>
    <w:hidden/>
    <w:uiPriority w:val="99"/>
    <w:semiHidden/>
    <w:rsid w:val="008D39C7"/>
    <w:pPr>
      <w:spacing w:after="0" w:line="240" w:lineRule="auto"/>
    </w:pPr>
  </w:style>
  <w:style w:type="character" w:styleId="Odkaznakomentr">
    <w:name w:val="annotation reference"/>
    <w:basedOn w:val="Predvolenpsmoodseku"/>
    <w:uiPriority w:val="99"/>
    <w:semiHidden/>
    <w:unhideWhenUsed/>
    <w:rsid w:val="00056810"/>
    <w:rPr>
      <w:sz w:val="16"/>
      <w:szCs w:val="16"/>
    </w:rPr>
  </w:style>
  <w:style w:type="paragraph" w:styleId="Textkomentra">
    <w:name w:val="annotation text"/>
    <w:basedOn w:val="Normlny"/>
    <w:link w:val="TextkomentraChar"/>
    <w:uiPriority w:val="99"/>
    <w:semiHidden/>
    <w:unhideWhenUsed/>
    <w:rsid w:val="00056810"/>
    <w:pPr>
      <w:spacing w:line="240" w:lineRule="auto"/>
    </w:pPr>
    <w:rPr>
      <w:sz w:val="20"/>
      <w:szCs w:val="20"/>
    </w:rPr>
  </w:style>
  <w:style w:type="character" w:customStyle="1" w:styleId="TextkomentraChar">
    <w:name w:val="Text komentára Char"/>
    <w:basedOn w:val="Predvolenpsmoodseku"/>
    <w:link w:val="Textkomentra"/>
    <w:uiPriority w:val="99"/>
    <w:semiHidden/>
    <w:rsid w:val="00056810"/>
    <w:rPr>
      <w:sz w:val="20"/>
      <w:szCs w:val="20"/>
    </w:rPr>
  </w:style>
  <w:style w:type="paragraph" w:styleId="Predmetkomentra">
    <w:name w:val="annotation subject"/>
    <w:basedOn w:val="Textkomentra"/>
    <w:next w:val="Textkomentra"/>
    <w:link w:val="PredmetkomentraChar"/>
    <w:uiPriority w:val="99"/>
    <w:semiHidden/>
    <w:unhideWhenUsed/>
    <w:rsid w:val="00056810"/>
    <w:rPr>
      <w:b/>
      <w:bCs/>
    </w:rPr>
  </w:style>
  <w:style w:type="character" w:customStyle="1" w:styleId="PredmetkomentraChar">
    <w:name w:val="Predmet komentára Char"/>
    <w:basedOn w:val="TextkomentraChar"/>
    <w:link w:val="Predmetkomentra"/>
    <w:uiPriority w:val="99"/>
    <w:semiHidden/>
    <w:rsid w:val="00056810"/>
    <w:rPr>
      <w:b/>
      <w:bCs/>
      <w:sz w:val="20"/>
      <w:szCs w:val="20"/>
    </w:rPr>
  </w:style>
  <w:style w:type="character" w:styleId="Hypertextovprepojenie">
    <w:name w:val="Hyperlink"/>
    <w:basedOn w:val="Predvolenpsmoodseku"/>
    <w:uiPriority w:val="99"/>
    <w:unhideWhenUsed/>
    <w:rsid w:val="00294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C8168-BEAB-4E14-AB54-6A06AEA8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7485</Words>
  <Characters>42665</Characters>
  <Application>Microsoft Office Word</Application>
  <DocSecurity>0</DocSecurity>
  <Lines>355</Lines>
  <Paragraphs>100</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with SP2</Company>
  <LinksUpToDate>false</LinksUpToDate>
  <CharactersWithSpaces>50050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Valkovova</dc:creator>
  <cp:lastModifiedBy>zuzana molnarova</cp:lastModifiedBy>
  <cp:revision>8</cp:revision>
  <cp:lastPrinted>2019-12-11T08:16:00Z</cp:lastPrinted>
  <dcterms:created xsi:type="dcterms:W3CDTF">2021-02-16T10:28:00Z</dcterms:created>
  <dcterms:modified xsi:type="dcterms:W3CDTF">2021-03-01T16:38:00Z</dcterms:modified>
</cp:coreProperties>
</file>